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80" w:right="459" w:hanging="4942"/>
        <w:spacing w:after="0" w:line="318" w:lineRule="auto"/>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January 14, 2021 Registration No. 333-249785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8890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6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Amendment No. 4 to</w:t>
      </w:r>
    </w:p>
    <w:p>
      <w:pPr>
        <w:spacing w:after="0" w:line="3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FORM S-4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FS Development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09"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268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620" w:type="dxa"/>
            <w:vAlign w:val="bottom"/>
          </w:tcPr>
          <w:p>
            <w:pPr>
              <w:jc w:val="right"/>
              <w:ind w:right="1053"/>
              <w:spacing w:after="0"/>
              <w:rPr>
                <w:sz w:val="20"/>
                <w:szCs w:val="20"/>
                <w:color w:val="auto"/>
              </w:rPr>
            </w:pPr>
            <w:r>
              <w:rPr>
                <w:rFonts w:ascii="Times New Roman" w:cs="Times New Roman" w:eastAsia="Times New Roman" w:hAnsi="Times New Roman"/>
                <w:sz w:val="16"/>
                <w:szCs w:val="16"/>
                <w:b w:val="1"/>
                <w:bCs w:val="1"/>
                <w:color w:val="auto"/>
              </w:rPr>
              <w:t>6770</w:t>
            </w:r>
          </w:p>
        </w:tc>
        <w:tc>
          <w:tcPr>
            <w:tcW w:w="80" w:type="dxa"/>
            <w:vAlign w:val="bottom"/>
          </w:tcPr>
          <w:p>
            <w:pPr>
              <w:spacing w:after="0"/>
              <w:rPr>
                <w:sz w:val="18"/>
                <w:szCs w:val="18"/>
                <w:color w:val="auto"/>
              </w:rPr>
            </w:pPr>
          </w:p>
        </w:tc>
        <w:tc>
          <w:tcPr>
            <w:tcW w:w="2720" w:type="dxa"/>
            <w:vAlign w:val="bottom"/>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85-1612845</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80" w:type="dxa"/>
            <w:vAlign w:val="bottom"/>
            <w:vMerge w:val="continue"/>
          </w:tcPr>
          <w:p>
            <w:pPr>
              <w:spacing w:after="0"/>
              <w:rPr>
                <w:sz w:val="16"/>
                <w:szCs w:val="16"/>
                <w:color w:val="auto"/>
              </w:rPr>
            </w:pPr>
          </w:p>
        </w:tc>
        <w:tc>
          <w:tcPr>
            <w:tcW w:w="26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(Primary Standard Industrial</w:t>
            </w:r>
          </w:p>
        </w:tc>
        <w:tc>
          <w:tcPr>
            <w:tcW w:w="80" w:type="dxa"/>
            <w:vAlign w:val="bottom"/>
            <w:vMerge w:val="continue"/>
          </w:tcPr>
          <w:p>
            <w:pPr>
              <w:spacing w:after="0"/>
              <w:rPr>
                <w:sz w:val="16"/>
                <w:szCs w:val="16"/>
                <w:color w:val="auto"/>
              </w:rPr>
            </w:pPr>
          </w:p>
        </w:tc>
        <w:tc>
          <w:tcPr>
            <w:tcW w:w="2720" w:type="dxa"/>
            <w:vAlign w:val="bottom"/>
          </w:tcPr>
          <w:p>
            <w:pPr>
              <w:ind w:left="72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bl>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Jim Tananbaum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83"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Joel L. Rubinstein</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Mitchell S. Bloom</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Bryan Luchs</w:t>
            </w:r>
          </w:p>
        </w:tc>
        <w:tc>
          <w:tcPr>
            <w:tcW w:w="316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Jocelyn Arel</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White &amp; Case LLP</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Laurie A. Burlingame</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1221 Avenue of the Americas</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Goodwin Procter LLP</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New York, New York 10020</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100 Northern Avenue</w:t>
            </w:r>
          </w:p>
        </w:tc>
      </w:tr>
      <w:tr>
        <w:trPr>
          <w:trHeight w:val="216"/>
        </w:trPr>
        <w:tc>
          <w:tcPr>
            <w:tcW w:w="316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(212) 819-8200</w:t>
            </w: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Boston, Massachusetts 02210</w:t>
            </w:r>
          </w:p>
        </w:tc>
      </w:tr>
      <w:tr>
        <w:trPr>
          <w:trHeight w:val="238"/>
        </w:trPr>
        <w:tc>
          <w:tcPr>
            <w:tcW w:w="3160" w:type="dxa"/>
            <w:vAlign w:val="bottom"/>
          </w:tcPr>
          <w:p>
            <w:pPr>
              <w:spacing w:after="0"/>
              <w:rPr>
                <w:sz w:val="20"/>
                <w:szCs w:val="20"/>
                <w:color w:val="auto"/>
              </w:rPr>
            </w:pPr>
          </w:p>
        </w:tc>
        <w:tc>
          <w:tcPr>
            <w:tcW w:w="31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(617) 570-1000</w:t>
            </w:r>
          </w:p>
        </w:tc>
      </w:tr>
    </w:tbl>
    <w:p>
      <w:pPr>
        <w:spacing w:after="0" w:line="20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67" w:lineRule="exact"/>
        <w:rPr>
          <w:sz w:val="24"/>
          <w:szCs w:val="24"/>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Approximate date of commencement of proposed sale to the public: As soon as practicable after this Registration Statement becomes effective and after all conditions under the Merger Agreement to consummate the proposed merger are satisfied or waived.</w:t>
      </w:r>
    </w:p>
    <w:p>
      <w:pPr>
        <w:spacing w:after="0" w:line="14" w:lineRule="exact"/>
        <w:rPr>
          <w:sz w:val="24"/>
          <w:szCs w:val="24"/>
          <w:color w:val="auto"/>
        </w:rPr>
      </w:pPr>
    </w:p>
    <w:p>
      <w:pPr>
        <w:jc w:val="both"/>
        <w:ind w:left="460" w:right="479"/>
        <w:spacing w:after="0" w:line="281" w:lineRule="auto"/>
        <w:rPr>
          <w:sz w:val="20"/>
          <w:szCs w:val="20"/>
          <w:color w:val="auto"/>
        </w:rPr>
      </w:pPr>
      <w:r>
        <w:rPr>
          <w:rFonts w:ascii="Times New Roman" w:cs="Times New Roman" w:eastAsia="Times New Roman" w:hAnsi="Times New Roman"/>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Arial" w:cs="Arial" w:eastAsia="Arial" w:hAnsi="Arial"/>
          <w:sz w:val="18"/>
          <w:szCs w:val="18"/>
          <w:color w:val="auto"/>
        </w:rPr>
        <w:t>£</w:t>
      </w: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8"/>
          <w:szCs w:val="18"/>
          <w:color w:val="auto"/>
        </w:rPr>
        <w:t>£</w:t>
      </w:r>
    </w:p>
    <w:p>
      <w:pPr>
        <w:spacing w:after="0" w:line="8" w:lineRule="exact"/>
        <w:rPr>
          <w:sz w:val="24"/>
          <w:szCs w:val="24"/>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and emerging growth company. See the definitions of “large accelerated filer”, “accelerated filer”, “smaller reporting company” and “emerging growth company” in Rule 12b-2 of the Securities Exchange Act of 1934, as amended (the “Exchange Act”).</w:t>
      </w:r>
    </w:p>
    <w:p>
      <w:pPr>
        <w:spacing w:after="0" w:line="135" w:lineRule="exact"/>
        <w:rPr>
          <w:sz w:val="24"/>
          <w:szCs w:val="24"/>
          <w:color w:val="auto"/>
        </w:rPr>
      </w:pPr>
    </w:p>
    <w:tbl>
      <w:tblPr>
        <w:tblLayout w:type="fixed"/>
        <w:tblInd w:w="460" w:type="dxa"/>
        <w:tblCellMar>
          <w:top w:w="0" w:type="dxa"/>
          <w:left w:w="0" w:type="dxa"/>
          <w:bottom w:w="0" w:type="dxa"/>
          <w:right w:w="0" w:type="dxa"/>
        </w:tblCellMar>
      </w:tblPr>
      <w:tr>
        <w:trPr>
          <w:trHeight w:val="243"/>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w:cs="Arial" w:eastAsia="Arial" w:hAnsi="Arial"/>
                <w:sz w:val="18"/>
                <w:szCs w:val="18"/>
                <w:color w:val="auto"/>
              </w:rPr>
              <w:t>£</w:t>
            </w:r>
          </w:p>
        </w:tc>
        <w:tc>
          <w:tcPr>
            <w:tcW w:w="2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w:t>
            </w:r>
          </w:p>
        </w:tc>
        <w:tc>
          <w:tcPr>
            <w:tcW w:w="1380" w:type="dxa"/>
            <w:vAlign w:val="bottom"/>
          </w:tcPr>
          <w:p>
            <w:pPr>
              <w:ind w:left="260"/>
              <w:spacing w:after="0"/>
              <w:rPr>
                <w:sz w:val="20"/>
                <w:szCs w:val="20"/>
                <w:color w:val="auto"/>
              </w:rPr>
            </w:pPr>
            <w:r>
              <w:rPr>
                <w:rFonts w:ascii="Arial" w:cs="Arial" w:eastAsia="Arial" w:hAnsi="Arial"/>
                <w:sz w:val="18"/>
                <w:szCs w:val="18"/>
                <w:color w:val="auto"/>
              </w:rPr>
              <w:t>S</w:t>
            </w:r>
          </w:p>
        </w:tc>
        <w:tc>
          <w:tcPr>
            <w:tcW w:w="31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w:cs="Arial" w:eastAsia="Arial" w:hAnsi="Arial"/>
                <w:sz w:val="18"/>
                <w:szCs w:val="18"/>
                <w:color w:val="auto"/>
              </w:rPr>
              <w:t>S</w:t>
            </w:r>
          </w:p>
        </w:tc>
      </w:tr>
      <w:tr>
        <w:trPr>
          <w:trHeight w:val="284"/>
        </w:trPr>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1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w:cs="Arial" w:eastAsia="Arial" w:hAnsi="Arial"/>
                <w:sz w:val="18"/>
                <w:szCs w:val="18"/>
                <w:color w:val="auto"/>
              </w:rPr>
              <w:t>S</w:t>
            </w:r>
          </w:p>
        </w:tc>
      </w:tr>
    </w:tbl>
    <w:p>
      <w:pPr>
        <w:spacing w:after="0" w:line="221" w:lineRule="exact"/>
        <w:rPr>
          <w:sz w:val="24"/>
          <w:szCs w:val="24"/>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8"/>
          <w:szCs w:val="18"/>
          <w:color w:val="auto"/>
        </w:rPr>
        <w:t>£</w:t>
      </w:r>
    </w:p>
    <w:p>
      <w:pPr>
        <w:spacing w:after="0" w:line="8" w:lineRule="exact"/>
        <w:rPr>
          <w:sz w:val="24"/>
          <w:szCs w:val="24"/>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applicable, place an X in the box to designate the appropriate rule provision relied upon in conducting this transaction:</w:t>
      </w:r>
    </w:p>
    <w:p>
      <w:pPr>
        <w:spacing w:after="0" w:line="130" w:lineRule="exact"/>
        <w:rPr>
          <w:sz w:val="24"/>
          <w:szCs w:val="24"/>
          <w:color w:val="auto"/>
        </w:rPr>
      </w:pPr>
    </w:p>
    <w:p>
      <w:pPr>
        <w:ind w:left="460"/>
        <w:spacing w:after="0"/>
        <w:tabs>
          <w:tab w:leader="none" w:pos="5560" w:val="left"/>
        </w:tabs>
        <w:rPr>
          <w:sz w:val="20"/>
          <w:szCs w:val="20"/>
          <w:color w:val="auto"/>
        </w:rPr>
      </w:pPr>
      <w:r>
        <w:rPr>
          <w:rFonts w:ascii="Times New Roman" w:cs="Times New Roman" w:eastAsia="Times New Roman" w:hAnsi="Times New Roman"/>
          <w:sz w:val="18"/>
          <w:szCs w:val="18"/>
          <w:color w:val="auto"/>
        </w:rPr>
        <w:t>Exchange Act Rule 13e-4(i) (Cross-Border Issuer Tender Offer)</w:t>
      </w:r>
      <w:r>
        <w:rPr>
          <w:sz w:val="20"/>
          <w:szCs w:val="20"/>
          <w:color w:val="auto"/>
        </w:rPr>
        <w:tab/>
      </w:r>
      <w:r>
        <w:rPr>
          <w:rFonts w:ascii="Arial" w:cs="Arial" w:eastAsia="Arial" w:hAnsi="Arial"/>
          <w:sz w:val="17"/>
          <w:szCs w:val="17"/>
          <w:color w:val="auto"/>
        </w:rPr>
        <w:t>£</w:t>
      </w:r>
    </w:p>
    <w:p>
      <w:pPr>
        <w:sectPr>
          <w:pgSz w:w="11900" w:h="16838" w:orient="portrait"/>
          <w:cols w:equalWidth="0" w:num="1">
            <w:col w:w="9019"/>
          </w:cols>
          <w:pgMar w:left="1440" w:top="266" w:right="1440" w:bottom="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color w:val="auto"/>
        </w:rPr>
        <w:t xml:space="preserve">Exchange Act Rule 14d-1(d) (Cross-Border Third-Party Tender Offer)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294640</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2" w:name="page3"/>
    <w:bookmarkEnd w:id="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 to be</w:t>
            </w: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4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Registration</w:t>
            </w:r>
          </w:p>
        </w:tc>
        <w:tc>
          <w:tcPr>
            <w:tcW w:w="0" w:type="dxa"/>
            <w:vAlign w:val="bottom"/>
          </w:tcPr>
          <w:p>
            <w:pPr>
              <w:spacing w:after="0"/>
              <w:rPr>
                <w:sz w:val="1"/>
                <w:szCs w:val="1"/>
                <w:color w:val="auto"/>
              </w:rPr>
            </w:pPr>
          </w:p>
        </w:tc>
      </w:tr>
      <w:tr>
        <w:trPr>
          <w:trHeight w:val="255"/>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Securities to be Registered</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Registered</w:t>
            </w:r>
            <w:r>
              <w:rPr>
                <w:rFonts w:ascii="Times New Roman" w:cs="Times New Roman" w:eastAsia="Times New Roman" w:hAnsi="Times New Roman"/>
                <w:sz w:val="18"/>
                <w:szCs w:val="18"/>
                <w:b w:val="1"/>
                <w:bCs w:val="1"/>
                <w:color w:val="auto"/>
                <w:w w:val="96"/>
                <w:vertAlign w:val="superscript"/>
              </w:rPr>
              <w:t>(2)</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5"/>
              </w:rPr>
              <w:t>Security</w:t>
            </w:r>
            <w:r>
              <w:rPr>
                <w:rFonts w:ascii="Times New Roman" w:cs="Times New Roman" w:eastAsia="Times New Roman" w:hAnsi="Times New Roman"/>
                <w:sz w:val="18"/>
                <w:szCs w:val="18"/>
                <w:b w:val="1"/>
                <w:bCs w:val="1"/>
                <w:color w:val="auto"/>
                <w:w w:val="95"/>
                <w:vertAlign w:val="superscript"/>
              </w:rPr>
              <w:t>(3)</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Price</w:t>
            </w:r>
            <w:r>
              <w:rPr>
                <w:rFonts w:ascii="Times New Roman" w:cs="Times New Roman" w:eastAsia="Times New Roman" w:hAnsi="Times New Roman"/>
                <w:sz w:val="18"/>
                <w:szCs w:val="18"/>
                <w:b w:val="1"/>
                <w:bCs w:val="1"/>
                <w:color w:val="auto"/>
                <w:w w:val="96"/>
                <w:vertAlign w:val="superscript"/>
              </w:rPr>
              <w:t>(1)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Fee</w:t>
            </w:r>
          </w:p>
        </w:tc>
        <w:tc>
          <w:tcPr>
            <w:tcW w:w="0" w:type="dxa"/>
            <w:vAlign w:val="bottom"/>
          </w:tcPr>
          <w:p>
            <w:pPr>
              <w:spacing w:after="0"/>
              <w:rPr>
                <w:sz w:val="1"/>
                <w:szCs w:val="1"/>
                <w:color w:val="auto"/>
              </w:rPr>
            </w:pPr>
          </w:p>
        </w:tc>
      </w:tr>
      <w:tr>
        <w:trPr>
          <w:trHeight w:val="26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21,500,000</w:t>
            </w:r>
            <w:r>
              <w:rPr>
                <w:rFonts w:ascii="Times New Roman" w:cs="Times New Roman" w:eastAsia="Times New Roman" w:hAnsi="Times New Roman"/>
                <w:sz w:val="20"/>
                <w:szCs w:val="20"/>
                <w:color w:val="auto"/>
                <w:w w:val="95"/>
                <w:vertAlign w:val="superscript"/>
              </w:rPr>
              <w:t>(1)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c>
          <w:tcPr>
            <w:tcW w:w="11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$ 217,150,000</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ind w:left="480"/>
              <w:spacing w:after="0" w:line="268" w:lineRule="exact"/>
              <w:rPr>
                <w:sz w:val="20"/>
                <w:szCs w:val="20"/>
                <w:color w:val="auto"/>
              </w:rPr>
            </w:pPr>
            <w:r>
              <w:rPr>
                <w:rFonts w:ascii="Times New Roman" w:cs="Times New Roman" w:eastAsia="Times New Roman" w:hAnsi="Times New Roman"/>
                <w:sz w:val="31"/>
                <w:szCs w:val="31"/>
                <w:color w:val="auto"/>
                <w:w w:val="92"/>
                <w:vertAlign w:val="subscript"/>
              </w:rPr>
              <w:t>23,692</w:t>
            </w:r>
            <w:r>
              <w:rPr>
                <w:rFonts w:ascii="Times New Roman" w:cs="Times New Roman" w:eastAsia="Times New Roman" w:hAnsi="Times New Roman"/>
                <w:sz w:val="10"/>
                <w:szCs w:val="10"/>
                <w:color w:val="auto"/>
                <w:w w:val="92"/>
              </w:rPr>
              <w:t>(4)(5)</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480" w:type="dxa"/>
            <w:vAlign w:val="bottom"/>
            <w:gridSpan w:val="2"/>
            <w:vMerge w:val="continue"/>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21,500,000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10.10</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$ 217,150,000</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23,692</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932"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maximum number of shares of Class A Common Stock, $0.0001 par value per share, of the registrant issuable upon a business combination (the “</w:t>
      </w:r>
      <w:r>
        <w:rPr>
          <w:rFonts w:ascii="Times New Roman" w:cs="Times New Roman" w:eastAsia="Times New Roman" w:hAnsi="Times New Roman"/>
          <w:sz w:val="16"/>
          <w:szCs w:val="16"/>
          <w:b w:val="1"/>
          <w:bCs w:val="1"/>
          <w:color w:val="auto"/>
        </w:rPr>
        <w:t>Business Combination</w:t>
      </w:r>
      <w:r>
        <w:rPr>
          <w:rFonts w:ascii="Times New Roman" w:cs="Times New Roman" w:eastAsia="Times New Roman" w:hAnsi="Times New Roman"/>
          <w:sz w:val="16"/>
          <w:szCs w:val="16"/>
          <w:color w:val="auto"/>
        </w:rPr>
        <w:t>”) involving FS Development Corp. (“</w:t>
      </w:r>
      <w:r>
        <w:rPr>
          <w:rFonts w:ascii="Times New Roman" w:cs="Times New Roman" w:eastAsia="Times New Roman" w:hAnsi="Times New Roman"/>
          <w:sz w:val="16"/>
          <w:szCs w:val="16"/>
          <w:b w:val="1"/>
          <w:bCs w:val="1"/>
          <w:color w:val="auto"/>
        </w:rPr>
        <w:t>FS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Development</w:t>
      </w:r>
      <w:r>
        <w:rPr>
          <w:rFonts w:ascii="Times New Roman" w:cs="Times New Roman" w:eastAsia="Times New Roman" w:hAnsi="Times New Roman"/>
          <w:sz w:val="16"/>
          <w:szCs w:val="16"/>
          <w:color w:val="auto"/>
        </w:rPr>
        <w:t>”) and Gemini Therapeutics, Inc. (“</w:t>
      </w:r>
      <w:r>
        <w:rPr>
          <w:rFonts w:ascii="Times New Roman" w:cs="Times New Roman" w:eastAsia="Times New Roman" w:hAnsi="Times New Roman"/>
          <w:sz w:val="16"/>
          <w:szCs w:val="16"/>
          <w:b w:val="1"/>
          <w:bCs w:val="1"/>
          <w:color w:val="auto"/>
        </w:rPr>
        <w:t>Gemini</w:t>
      </w:r>
      <w:r>
        <w:rPr>
          <w:rFonts w:ascii="Times New Roman" w:cs="Times New Roman" w:eastAsia="Times New Roman" w:hAnsi="Times New Roman"/>
          <w:sz w:val="16"/>
          <w:szCs w:val="16"/>
          <w:color w:val="auto"/>
        </w:rPr>
        <w:t>”). This number is based on 21,500,000, the maximum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number of shares of common stock of FS Development that are expected to be issued pursuant to the Business Combination.</w:t>
      </w:r>
    </w:p>
    <w:p>
      <w:pPr>
        <w:jc w:val="both"/>
        <w:ind w:left="880" w:right="479" w:hanging="426"/>
        <w:spacing w:after="0" w:line="264" w:lineRule="auto"/>
        <w:tabs>
          <w:tab w:leader="none" w:pos="947"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of the Securities Act of 1933, there are also being registered an indeterminable number of additional securities as may be issued to prevent dilution resulting from stock splits, stock dividends or similar transaction.</w:t>
      </w:r>
    </w:p>
    <w:p>
      <w:pPr>
        <w:jc w:val="both"/>
        <w:ind w:left="880" w:right="459" w:hanging="426"/>
        <w:spacing w:after="0" w:line="264" w:lineRule="auto"/>
        <w:tabs>
          <w:tab w:leader="none" w:pos="88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solely for the purpose of calculating the registration fee, based on the average of the high and low prices of the shares of common stock of FS Development on the Nasdaq Capital Market on October 26, 2020 ($10.10 per share). This calculation is in accordance with Rule 457(f)(1) of the Securities Act.</w:t>
      </w:r>
    </w:p>
    <w:p>
      <w:pPr>
        <w:ind w:left="880" w:right="479" w:hanging="426"/>
        <w:spacing w:after="0" w:line="264" w:lineRule="auto"/>
        <w:tabs>
          <w:tab w:leader="none" w:pos="93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pursuant to Rule 457 under the Securities Act by multiplying the proposed maximum aggregate offering price of securities by 0.0001091.</w:t>
      </w: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fee has been previously paid.</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128"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41910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85090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359410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D2232A"/>
        </w:rPr>
        <w:t>The information in this preliminary proxy statement/prospectus is not complete and may be changed. These securities may not be issued until the registration statement filed with the Securities and Exchange Commission is effective. This preliminary proxy statement/prospectus is not an offer to sell these securities and it is not soliciting an offer to buy these securities in any jurisdiction where the offer or sale is not permitted.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SUBJECT TO COMPLETION, DATED JANUARY 14, 2021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FS Development Corp.:</w:t>
      </w:r>
    </w:p>
    <w:p>
      <w:pPr>
        <w:spacing w:after="0" w:line="15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behalf of the board of directors of FS Development Corp. (“</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we are pleased to enclose the proxy statement/prospectus relating to the proposed merger of FSG Merger Sub, Inc., a Delaware corporation and a wholly-owned subsidiary of FS Development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with and into Gemini Therapeutics, Inc., a Delaware corporation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with Gemini surviving the merger as a wholly-owned subsidiary of FS Development (the “</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pursuant to the terms of a merger agreement, dated October 15, 2020, among FS Development, Merger Sub, Gemini and Shareholder Representative Services LLC (as it may be amended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and such merger and the other transactions contemplated by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In connection with the Business Combination, FS Development will be renamed “Gemini Therapeutics, Inc.” A copy of the Merger Agreement is attached to the accompanying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and the other matters described herein, you are cordially invited to attend the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FS Development. The Special</w:t>
      </w: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Meeting will be held on , 2021, at Eastern time, via a virtual meeting. In light of the novel coronavirus (referred to as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pandemic and to support the well-being of FS Development’s stockholders, directors and management, the Special Meeting will be completely virtual. You may attend the Special Meeting and vote your shares electronically during the Special Meeting via live webcast by visiting</w:t>
      </w:r>
    </w:p>
    <w:p>
      <w:pPr>
        <w:spacing w:after="0" w:line="2" w:lineRule="exact"/>
        <w:rPr>
          <w:sz w:val="20"/>
          <w:szCs w:val="20"/>
          <w:color w:val="auto"/>
        </w:rPr>
      </w:pPr>
    </w:p>
    <w:p>
      <w:pPr>
        <w:jc w:val="both"/>
        <w:ind w:left="460" w:right="459" w:firstLine="381"/>
        <w:spacing w:after="0" w:line="253" w:lineRule="auto"/>
        <w:tabs>
          <w:tab w:leader="none" w:pos="9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need the 12-digit meeting control number that is 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121"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At the Special Meeting, FS Development stockholders will be asked to consider and vote upon the following proposals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right="479" w:hanging="434"/>
        <w:spacing w:after="0" w:line="282" w:lineRule="auto"/>
        <w:tabs>
          <w:tab w:leader="none" w:pos="13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adopt and approve the Merger Agreement and (b) approve the Business Combination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FS Development Class A Common Stock, par value $0.0001 per share,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Acquisition of Gemini; Merger Consideration</w:t>
      </w:r>
      <w:r>
        <w:rPr>
          <w:rFonts w:ascii="Times New Roman" w:cs="Times New Roman" w:eastAsia="Times New Roman" w:hAnsi="Times New Roman"/>
          <w:sz w:val="18"/>
          <w:szCs w:val="18"/>
          <w:color w:val="auto"/>
        </w:rPr>
        <w:t>” and (b) the issuance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9,506,000 newly issued shares of FS Development Class A Common Stock in a private placement concurrent with the Business Combination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to the extent such issuances would require a stockholder vote under the applicable Nasdaq Listing Rule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Issuance Proposal</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dated August 11, 2020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and which Proposed Charter will be in effect upon the closing of the Business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following material differences between the Proposed Charter and the Current Charter, which are being presented in accordance with the requirements of the Securities and Exchange Commission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760" w:hanging="442"/>
        <w:spacing w:after="0"/>
        <w:tabs>
          <w:tab w:leader="none" w:pos="1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FS Development Class</w:t>
      </w:r>
    </w:p>
    <w:p>
      <w:pPr>
        <w:spacing w:after="0" w:line="31" w:lineRule="exact"/>
        <w:rPr>
          <w:sz w:val="20"/>
          <w:szCs w:val="20"/>
          <w:color w:val="auto"/>
        </w:rPr>
      </w:pPr>
    </w:p>
    <w:p>
      <w:pPr>
        <w:ind w:left="1760"/>
        <w:spacing w:after="0"/>
        <w:tabs>
          <w:tab w:leader="none" w:pos="3840" w:val="left"/>
        </w:tabs>
        <w:rPr>
          <w:sz w:val="20"/>
          <w:szCs w:val="20"/>
          <w:color w:val="auto"/>
        </w:rPr>
      </w:pPr>
      <w:r>
        <w:rPr>
          <w:rFonts w:ascii="Times New Roman" w:cs="Times New Roman" w:eastAsia="Times New Roman" w:hAnsi="Times New Roman"/>
          <w:sz w:val="18"/>
          <w:szCs w:val="18"/>
          <w:color w:val="auto"/>
        </w:rPr>
        <w:t>A Common Stock to</w:t>
      </w:r>
      <w:r>
        <w:rPr>
          <w:sz w:val="20"/>
          <w:szCs w:val="20"/>
          <w:color w:val="auto"/>
        </w:rPr>
        <w:tab/>
      </w:r>
      <w:r>
        <w:rPr>
          <w:rFonts w:ascii="Times New Roman" w:cs="Times New Roman" w:eastAsia="Times New Roman" w:hAnsi="Times New Roman"/>
          <w:sz w:val="18"/>
          <w:szCs w:val="18"/>
          <w:color w:val="auto"/>
        </w:rPr>
        <w:t>shares;</w:t>
      </w:r>
    </w:p>
    <w:p>
      <w:pPr>
        <w:spacing w:after="0" w:line="135" w:lineRule="exact"/>
        <w:rPr>
          <w:sz w:val="20"/>
          <w:szCs w:val="20"/>
          <w:color w:val="auto"/>
        </w:rPr>
      </w:pPr>
    </w:p>
    <w:p>
      <w:pPr>
        <w:jc w:val="both"/>
        <w:ind w:left="1760" w:right="459" w:hanging="442"/>
        <w:spacing w:after="0" w:line="268" w:lineRule="auto"/>
        <w:tabs>
          <w:tab w:leader="none" w:pos="17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the Combined Entity’s board of directors could issue to discourage a takeover attempt to 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233680</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1760" w:right="459" w:hanging="442"/>
        <w:spacing w:after="0" w:line="263" w:lineRule="auto"/>
        <w:tabs>
          <w:tab w:leader="none" w:pos="183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Charter 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w:t>
      </w:r>
    </w:p>
    <w:p>
      <w:pPr>
        <w:spacing w:after="0" w:line="104" w:lineRule="exact"/>
        <w:rPr>
          <w:rFonts w:ascii="Times New Roman" w:cs="Times New Roman" w:eastAsia="Times New Roman" w:hAnsi="Times New Roman"/>
          <w:sz w:val="18"/>
          <w:szCs w:val="18"/>
          <w:color w:val="auto"/>
        </w:rPr>
      </w:pPr>
    </w:p>
    <w:p>
      <w:pPr>
        <w:jc w:val="both"/>
        <w:ind w:left="1760" w:right="459" w:hanging="442"/>
        <w:spacing w:after="0" w:line="259" w:lineRule="auto"/>
        <w:tabs>
          <w:tab w:leader="none" w:pos="1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1"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8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the 2020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the accompanying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the day prior to the Closing (the “</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Merger Agreement provides for the merger of Merger Sub with and into Gemini, with Gemini continuing as the surviving entity. Subject to the terms and conditions set forth in the Merger Agreement, at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1320" w:right="479" w:hanging="434"/>
        <w:spacing w:after="0" w:line="258" w:lineRule="auto"/>
        <w:tabs>
          <w:tab w:leader="none" w:pos="14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Gemini’s Series B Preferred Stock, Series A Preferred Stock and Common Stock (collectively, “</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issued and outstanding immediately prior to the Effective Time, whether vested or unvested, will be converted into the right to receive the Merger Consideration (as defined below), with each stockholder of Gemini Stock being entitled to receive its Pro Rata Portion (as defined below) of the Merger Consideration;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exercisable for Gemini Stock that is outstanding immediately prior to the Effective Time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11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Following completion of the Business Combination and assuming no holders of FS Development Class A Common Stock issued in FS Development’s initial public offering (the “</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and such stock,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elect to redeem their shares, FS Development Holdings, LLC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public stockholders, the PIPE Investment investors and holders of Gemini Stock (the “</w:t>
      </w:r>
      <w:r>
        <w:rPr>
          <w:rFonts w:ascii="Times New Roman" w:cs="Times New Roman" w:eastAsia="Times New Roman" w:hAnsi="Times New Roman"/>
          <w:sz w:val="18"/>
          <w:szCs w:val="18"/>
          <w:b w:val="1"/>
          <w:bCs w:val="1"/>
          <w:color w:val="auto"/>
        </w:rPr>
        <w:t>Gemini Equityholders</w:t>
      </w:r>
      <w:r>
        <w:rPr>
          <w:rFonts w:ascii="Times New Roman" w:cs="Times New Roman" w:eastAsia="Times New Roman" w:hAnsi="Times New Roman"/>
          <w:sz w:val="18"/>
          <w:szCs w:val="18"/>
          <w:color w:val="auto"/>
        </w:rPr>
        <w:t>”) will own approximately 7%, 26%, 21% and 46% of the outstanding common stock of the Combined Entity, respectively. These percentages are calculated based on a number of assumptions (described in the accompanying proxy statement/prospectus) and are subject to adjustment in accordance with the terms of the Merger Agreement.</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Approval of the Charter Amendment Proposal requires the affirmative vote of a majority of the issued and outstanding shares of FS Development Class A Common Stock and Class B Common stock (collectively, “</w:t>
      </w:r>
      <w:r>
        <w:rPr>
          <w:rFonts w:ascii="Times New Roman" w:cs="Times New Roman" w:eastAsia="Times New Roman" w:hAnsi="Times New Roman"/>
          <w:sz w:val="18"/>
          <w:szCs w:val="18"/>
          <w:b w:val="1"/>
          <w:bCs w:val="1"/>
          <w:color w:val="auto"/>
        </w:rPr>
        <w:t>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Development Common Stock</w:t>
      </w:r>
      <w:r>
        <w:rPr>
          <w:rFonts w:ascii="Times New Roman" w:cs="Times New Roman" w:eastAsia="Times New Roman" w:hAnsi="Times New Roman"/>
          <w:sz w:val="18"/>
          <w:szCs w:val="18"/>
          <w:color w:val="auto"/>
        </w:rPr>
        <w:t>”) as of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Special Meeting,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as a single 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253365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together as a single class. 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Current Charter, FS Development is providing its public stockholders with the opportunity to redeem, upon the Closing, the Public Shares then held by them for cash equal to their pro rata share of the aggregate amount on deposit (as of two business days prior to the closing of the Business Combination) in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that holds the proceeds (including interest but less franchise and income taxes payable) of the FS Development IPO. For illustrative purposes, based on funds in the Trust Account of</w:t>
      </w:r>
    </w:p>
    <w:p>
      <w:pPr>
        <w:spacing w:after="0" w:line="3" w:lineRule="exact"/>
        <w:rPr>
          <w:sz w:val="20"/>
          <w:szCs w:val="20"/>
          <w:color w:val="auto"/>
        </w:rPr>
      </w:pPr>
    </w:p>
    <w:p>
      <w:pPr>
        <w:ind w:left="460"/>
        <w:spacing w:after="0"/>
        <w:tabs>
          <w:tab w:leader="none" w:pos="2020" w:val="left"/>
        </w:tabs>
        <w:rPr>
          <w:sz w:val="20"/>
          <w:szCs w:val="20"/>
          <w:color w:val="auto"/>
        </w:rPr>
      </w:pPr>
      <w:r>
        <w:rPr>
          <w:rFonts w:ascii="Times New Roman" w:cs="Times New Roman" w:eastAsia="Times New Roman" w:hAnsi="Times New Roman"/>
          <w:sz w:val="18"/>
          <w:szCs w:val="18"/>
          <w:color w:val="auto"/>
        </w:rPr>
        <w:t>approximately $</w:t>
      </w:r>
      <w:r>
        <w:rPr>
          <w:sz w:val="20"/>
          <w:szCs w:val="20"/>
          <w:color w:val="auto"/>
        </w:rPr>
        <w:tab/>
      </w:r>
      <w:r>
        <w:rPr>
          <w:rFonts w:ascii="Times New Roman" w:cs="Times New Roman" w:eastAsia="Times New Roman" w:hAnsi="Times New Roman"/>
          <w:sz w:val="17"/>
          <w:szCs w:val="17"/>
          <w:color w:val="auto"/>
        </w:rPr>
        <w:t>million on September 30, 2020, the estimated per share redemption price would have been</w:t>
      </w:r>
    </w:p>
    <w:p>
      <w:pPr>
        <w:spacing w:after="0" w:line="9"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 xml:space="preserve">approximately $ . </w:t>
      </w:r>
      <w:r>
        <w:rPr>
          <w:rFonts w:ascii="Times New Roman" w:cs="Times New Roman" w:eastAsia="Times New Roman" w:hAnsi="Times New Roman"/>
          <w:sz w:val="18"/>
          <w:szCs w:val="18"/>
          <w:b w:val="1"/>
          <w:bCs w:val="1"/>
          <w:color w:val="auto"/>
        </w:rPr>
        <w:t>Public stockholders may elect to redeem their shares even if they vote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A public stockholder, together with any of his, her or its affiliates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with whom it is acting in concert or as a “group” (as defined under Section 13 of the Securities Exchange Act of 1934, as amended), will be restricted from redeeming in the aggregate his, her or its shares or, if part of such a group, the group’s shares, with respect to 20% or more of the shares of FS Development Class A Common Stock issued in the FS Development IPO. The Sponsor and FS Development’s other initial stockholders have agreed to waive 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Public Shares they hold in connection with the Closing. The Sponsor and FS Development’s other initial stockholders have agreed to vote any shares of FS Development Common Stock</w:t>
      </w:r>
    </w:p>
    <w:p>
      <w:pPr>
        <w:spacing w:after="0" w:line="5"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owned by them in favor of the Business Combination Proposal, which represent approximately % of the voting power of FS Development.</w:t>
      </w:r>
    </w:p>
    <w:p>
      <w:pPr>
        <w:spacing w:after="0" w:line="11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FS Development is providing the accompanying proxy statement/prospectus and accompanying proxy card to FS Development stockholders in connection with the solicitation of proxies to be voted at the Special Meeting and at any adjournments or postponements of the Special Meeting. </w:t>
      </w:r>
      <w:r>
        <w:rPr>
          <w:rFonts w:ascii="Times New Roman" w:cs="Times New Roman" w:eastAsia="Times New Roman" w:hAnsi="Times New Roman"/>
          <w:sz w:val="18"/>
          <w:szCs w:val="18"/>
          <w:b w:val="1"/>
          <w:bCs w:val="1"/>
          <w:color w:val="auto"/>
        </w:rPr>
        <w:t>Whether or not you plan to attend the</w:t>
      </w:r>
    </w:p>
    <w:p>
      <w:pPr>
        <w:spacing w:after="0" w:line="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b w:val="1"/>
          <w:bCs w:val="1"/>
          <w:color w:val="auto"/>
        </w:rPr>
        <w:t>Special Meeting, FS Development urges you to read the accompanying proxy statement/prospectus (and any documents incorporated into the accompanying proxy statement/prospectus by reference) carefully. Please pay particular attention to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10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After careful consideration, the board of directors of FS Development has unanimously approved and adopted the Merger Agreement and the transactions contemplated therein and has determined that each of the Nasdaq Stock Issuance Proposal, Charter Amendment Proposal, Advisory Charter Proposals, Incentive Plan Proposal, and Adjournment Proposal are in the best interests of FS Development and its stockholders and unanimously recommends that you vote or give instruction to vote “FOR” each of those Proposals. When you consider the board of directors’ recommendation of these Proposals, you should keep in mind that the directors and officers of FS Development have interests in the Business Combination that may conflict with your interests as a stockholder. See the section titled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Combination Proposal — Interests of FS Development’s Directors and Officers and Others in the Business Combination</w:t>
      </w:r>
      <w:r>
        <w:rPr>
          <w:rFonts w:ascii="Times New Roman" w:cs="Times New Roman" w:eastAsia="Times New Roman" w:hAnsi="Times New Roman"/>
          <w:sz w:val="18"/>
          <w:szCs w:val="18"/>
          <w:b w:val="1"/>
          <w:bCs w:val="1"/>
          <w:color w:val="auto"/>
        </w:rPr>
        <w:t>.”</w:t>
      </w:r>
    </w:p>
    <w:p>
      <w:pPr>
        <w:spacing w:after="0" w:line="12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redemption of Public Shares by FS Development public stockholders will decrease the amount in the Trust Account, which held total assets of approximately $120,751,489 as of September 30, 2020. FS Development will not redeem Public Shares in an amount that would cause it to have net tangible assets of less than $5,000,001.</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Your vote is very important. If you are a registered stockholder, please vote your shares as soon as possible to ensure that your vote is counted, regardless of whether you expect to attend the Special Meeting virtually,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Special Meeting. The transactions contemplated by the Merger Agreement will be consummated only if the Business Combination Proposal, the Nasdaq Stock Issuance Proposal, the Charter Amendment Proposal, and the Incentive Plan Proposal are approved at the Special Meeting. Approval of the Nasdaq Stock Issuance Proposal, the Charter Amendment Proposal, and the Incentive Plan Proposal are conditioned on the approval of the Business Combination Proposal and satisfaction of other closing conditions. The Adjournment Proposal is not conditioned on the approval of any other Proposal set forth in the accompanying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244475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sign, date and return your proxy card without indicating how you wish to vote, your proxy will be voted “FOR” each of the Proposals.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TO EXERCISE YOUR REDEMPTION RIGHTS, YOU MUST DEMAND THAT FS DEVELOPMENT REDEEM YOUR SHARES FOR A PRO RATA PORTION OF THE FUNDS HELD IN THE TRUST ACCOUNT AND TENDER YOUR SHARES TO FS DEVELOPMENT’S TRANSFER AGENT AT LEAST TWO BUSINESS DAYS PRIOR TO THE VOTE AT THE SPECIAL MEETING. YOU MAY TENDER YOUR SHARES BY EITHER DELIVERING YOUR SHARE CERTIFICATE TO THE TRANSFER AGENT OR BY DELIVERING YOUR SHARES ELECTRONICALLY TO THE TRANSFER AGENT USING DEPOSITORY TRUST COMPANY’S DEPOSIT WITHDRAWAL AT CUSTODIAN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2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behalf of FS Development’s board of directors, I would like to thank you for your support and look forward to the successful completion of the Business Combination.</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300355</wp:posOffset>
            </wp:positionV>
            <wp:extent cx="227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Jim Tananbaum</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to be issued under the accompanying proxy statement/prospectus or determined that the accompanying proxy statement/prospectus is accurate or complete. Any representation to the contrary is a criminal offense.</w:t>
      </w:r>
    </w:p>
    <w:p>
      <w:pPr>
        <w:spacing w:after="0" w:line="11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accompanying proxy statement/prospectus is dated</w:t>
            </w:r>
          </w:p>
        </w:tc>
        <w:tc>
          <w:tcPr>
            <w:tcW w:w="3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2021 and is first being mailed to the</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of FS Development on or about</w:t>
            </w:r>
          </w:p>
        </w:tc>
        <w:tc>
          <w:tcPr>
            <w:tcW w:w="12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 2021.</w:t>
            </w:r>
          </w:p>
        </w:tc>
        <w:tc>
          <w:tcPr>
            <w:tcW w:w="3420" w:type="dxa"/>
            <w:vAlign w:val="bottom"/>
          </w:tcPr>
          <w:p>
            <w:pPr>
              <w:spacing w:after="0"/>
              <w:rPr>
                <w:sz w:val="20"/>
                <w:szCs w:val="20"/>
                <w:color w:val="auto"/>
              </w:rPr>
            </w:pPr>
          </w:p>
        </w:tc>
      </w:tr>
      <w:tr>
        <w:trPr>
          <w:trHeight w:val="392"/>
        </w:trPr>
        <w:tc>
          <w:tcPr>
            <w:tcW w:w="3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FS DEVELOPMENT CORP.</w:t>
      </w:r>
    </w:p>
    <w:p>
      <w:pPr>
        <w:spacing w:after="0" w:line="135" w:lineRule="exact"/>
        <w:rPr>
          <w:sz w:val="20"/>
          <w:szCs w:val="20"/>
          <w:color w:val="auto"/>
        </w:rPr>
      </w:pPr>
    </w:p>
    <w:tbl>
      <w:tblPr>
        <w:tblLayout w:type="fixed"/>
        <w:tblInd w:w="342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Be Held 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2021</w:t>
            </w:r>
          </w:p>
        </w:tc>
      </w:tr>
    </w:tbl>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FS Development Corp.:</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NOTICE IS HEREBY GIVEN that a special meeting of stockholders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of FS</w:t>
      </w:r>
    </w:p>
    <w:p>
      <w:pPr>
        <w:spacing w:after="0" w:line="31"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Development Corp., a Delaware corporation (“</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will be held on , 2021, at , Eastern time, via live webcast at the following address . You will need the 12-digit</w:t>
      </w:r>
    </w:p>
    <w:p>
      <w:pPr>
        <w:spacing w:after="0" w:line="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meeting control number that is printed on your proxy card to enter the Special Meeting. FS Development recommends that you log in at least 15 minutes before the Special Meeting to ensure you are logged in when the Special Meeting starts. Please note that you will not be able to attend the Special Meeting in person. You are cordially invited to attend the Special Meeting for the following purposes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320" w:right="459" w:hanging="434"/>
        <w:spacing w:after="0" w:line="254" w:lineRule="auto"/>
        <w:tabs>
          <w:tab w:leader="none" w:pos="14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adopt and approve the Merger Agreement, dated as of October 15, 2020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FS Development, FSG Merger Sub, Inc., a Delaware corporation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wholly-owned subsidiary of FS Development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Gemini Therapeutics, Inc., a Delaware corporation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and Shareholder Representative Services LLC pursuant to which Merger Sub will merge with and into Gemini, with Gemini surviving the merger as a wholly-owned subsidiary of FS Development (the “</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and (b) approve such merger and the other transactions contemplated by the Merger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connection with the Business Combination, FS Development will be renamed “Gemini Therapeutics, Inc.” Subject to the terms and conditions set forth in the Merger Agreement, at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4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Gemini’s Series B Preferred Stock, Series A Preferred Stock and Common Stock (collectively, “</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issued and outstanding immediately prior to the Effective Time, whether vested or unvested, will be converted into the right to receive the Merger Consideration (as defined below), with each stockholder of Gemini Stock being entitled to receiving its Pro Rata Portion (as defined below) of the Merger Consideration; and</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exercisable for Gemini Stock that is outstanding immediately prior to the Effective Time shall be assumed and continue in full force and effect on the same terms and conditions as are currently applicable to such options, subject to adjustments to exercise price and number of shares of FS Development Class A Common Stock issued upon exercise.</w:t>
      </w:r>
    </w:p>
    <w:p>
      <w:pPr>
        <w:spacing w:after="0" w:line="108" w:lineRule="exact"/>
        <w:rPr>
          <w:sz w:val="20"/>
          <w:szCs w:val="20"/>
          <w:color w:val="auto"/>
        </w:rPr>
      </w:pPr>
    </w:p>
    <w:p>
      <w:pPr>
        <w:ind w:left="1320" w:right="459"/>
        <w:spacing w:after="0" w:line="286" w:lineRule="auto"/>
        <w:rPr>
          <w:sz w:val="20"/>
          <w:szCs w:val="20"/>
          <w:color w:val="auto"/>
        </w:rPr>
      </w:pPr>
      <w:r>
        <w:rPr>
          <w:rFonts w:ascii="Times New Roman" w:cs="Times New Roman" w:eastAsia="Times New Roman" w:hAnsi="Times New Roman"/>
          <w:sz w:val="18"/>
          <w:szCs w:val="18"/>
          <w:color w:val="auto"/>
        </w:rPr>
        <w:t>We refer to this proposal as the “</w:t>
      </w:r>
      <w:r>
        <w:rPr>
          <w:rFonts w:ascii="Times New Roman" w:cs="Times New Roman" w:eastAsia="Times New Roman" w:hAnsi="Times New Roman"/>
          <w:sz w:val="18"/>
          <w:szCs w:val="18"/>
          <w:b w:val="1"/>
          <w:bCs w:val="1"/>
          <w:color w:val="auto"/>
        </w:rPr>
        <w:t>Business Combination Proposal</w:t>
      </w:r>
      <w:r>
        <w:rPr>
          <w:rFonts w:ascii="Times New Roman" w:cs="Times New Roman" w:eastAsia="Times New Roman" w:hAnsi="Times New Roman"/>
          <w:sz w:val="18"/>
          <w:szCs w:val="18"/>
          <w:color w:val="auto"/>
        </w:rPr>
        <w:t xml:space="preserve">.” A copy of the Merger Agreement is attached to the accompanying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1320" w:right="459" w:hanging="434"/>
        <w:spacing w:after="0" w:line="253" w:lineRule="auto"/>
        <w:tabs>
          <w:tab w:leader="none" w:pos="1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FS Development Class A Common Stock, par value $0.0001 per share, in the Business Combination, which amount will be determined as described in more detail in the accompanying proxy statement/prospectus under the heading titled “</w:t>
      </w:r>
      <w:r>
        <w:rPr>
          <w:rFonts w:ascii="Times New Roman" w:cs="Times New Roman" w:eastAsia="Times New Roman" w:hAnsi="Times New Roman"/>
          <w:sz w:val="18"/>
          <w:szCs w:val="18"/>
          <w:i w:val="1"/>
          <w:iCs w:val="1"/>
          <w:color w:val="auto"/>
        </w:rPr>
        <w:t>The Business Combination Proposal —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Gemini; Merger Consideration</w:t>
      </w:r>
      <w:r>
        <w:rPr>
          <w:rFonts w:ascii="Times New Roman" w:cs="Times New Roman" w:eastAsia="Times New Roman" w:hAnsi="Times New Roman"/>
          <w:sz w:val="18"/>
          <w:szCs w:val="18"/>
          <w:color w:val="auto"/>
        </w:rPr>
        <w:t>” and (b) the issuance and sale of 9,506,000 newly issued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FS Development Class A Common Stock in a private placement concurrent with the Business Combination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to the extent such issuances would require a stockholder vote under the applicable Nasdaq Listing Rule (the “</w:t>
      </w:r>
      <w:r>
        <w:rPr>
          <w:rFonts w:ascii="Times New Roman" w:cs="Times New Roman" w:eastAsia="Times New Roman" w:hAnsi="Times New Roman"/>
          <w:sz w:val="18"/>
          <w:szCs w:val="18"/>
          <w:b w:val="1"/>
          <w:bCs w:val="1"/>
          <w:color w:val="auto"/>
        </w:rPr>
        <w:t>Nasdaq Stock Issuance Proposal</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dated August 11, 2020 (the “</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and which Proposed Charter will be in effect upon the closing of the Business Combination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239395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1" w:lineRule="auto"/>
        <w:tabs>
          <w:tab w:leader="none" w:pos="15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following material differences between the Proposed Charter and the Current Charter, which are being presented in accordance with the requirements of the Securities and Exchange Commission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740" w:hanging="422"/>
        <w:spacing w:after="0"/>
        <w:tabs>
          <w:tab w:leader="none" w:pos="1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A — to increase the authorized shares of FS Development Class A</w:t>
      </w:r>
    </w:p>
    <w:p>
      <w:pPr>
        <w:spacing w:after="0" w:line="27" w:lineRule="exact"/>
        <w:rPr>
          <w:sz w:val="20"/>
          <w:szCs w:val="20"/>
          <w:color w:val="auto"/>
        </w:rPr>
      </w:pPr>
    </w:p>
    <w:p>
      <w:pPr>
        <w:ind w:left="1760"/>
        <w:spacing w:after="0"/>
        <w:tabs>
          <w:tab w:leader="none" w:pos="3440" w:val="left"/>
        </w:tabs>
        <w:rPr>
          <w:sz w:val="20"/>
          <w:szCs w:val="20"/>
          <w:color w:val="auto"/>
        </w:rPr>
      </w:pPr>
      <w:r>
        <w:rPr>
          <w:rFonts w:ascii="Times New Roman" w:cs="Times New Roman" w:eastAsia="Times New Roman" w:hAnsi="Times New Roman"/>
          <w:sz w:val="18"/>
          <w:szCs w:val="18"/>
          <w:color w:val="auto"/>
        </w:rPr>
        <w:t>Common Stock to</w:t>
      </w:r>
      <w:r>
        <w:rPr>
          <w:sz w:val="20"/>
          <w:szCs w:val="20"/>
          <w:color w:val="auto"/>
        </w:rPr>
        <w:tab/>
      </w:r>
      <w:r>
        <w:rPr>
          <w:rFonts w:ascii="Times New Roman" w:cs="Times New Roman" w:eastAsia="Times New Roman" w:hAnsi="Times New Roman"/>
          <w:sz w:val="18"/>
          <w:szCs w:val="18"/>
          <w:color w:val="auto"/>
        </w:rPr>
        <w:t>shares;</w:t>
      </w:r>
    </w:p>
    <w:p>
      <w:pPr>
        <w:spacing w:after="0" w:line="139" w:lineRule="exact"/>
        <w:rPr>
          <w:sz w:val="20"/>
          <w:szCs w:val="20"/>
          <w:color w:val="auto"/>
        </w:rPr>
      </w:pPr>
    </w:p>
    <w:p>
      <w:pPr>
        <w:jc w:val="both"/>
        <w:ind w:left="1760" w:right="459" w:hanging="442"/>
        <w:spacing w:after="0" w:line="266" w:lineRule="auto"/>
        <w:tabs>
          <w:tab w:leader="none" w:pos="174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B — to increase the authorized shares of “blank check” preferred stock that the Combined Entity’s board of directors could issue to discourage a takeover attempt to 10,000,000 shares;</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C — to provide that certain amendments to provisions of the Proposed Charter will require the approval of at least 662/3% of the Combined Entity’s then-outstanding shares of capital stock entitled to vote on such amendment;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2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5"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75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E — to provide that any amendment to the Amended By-laws will require the approval of at least 66</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0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assuming the Business Combination Proposal is approved and adopted, the 2020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the accompanying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the day prior to the Closing (the “</w:t>
      </w:r>
      <w:r>
        <w:rPr>
          <w:rFonts w:ascii="Times New Roman" w:cs="Times New Roman" w:eastAsia="Times New Roman" w:hAnsi="Times New Roman"/>
          <w:sz w:val="18"/>
          <w:szCs w:val="18"/>
          <w:b w:val="1"/>
          <w:bCs w:val="1"/>
          <w:color w:val="auto"/>
        </w:rPr>
        <w:t>Incentive Plan Proposal</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2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the Advisory Charter Proposals, or the Incentive Plan Proposal, or we determine that one or more of the closing conditions under the Business Combination is not satisfied or waived (the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Only holders of record of FS Development Common Stock at the close of business on , 2021 (the “</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are entitled to notice of the Special Meeting and to vote at the Special Meeting and any adjournments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postponements of the Special Meeting. A complete list of FS Development stockholders of record entitled to vote at the Special Meeting will be available for ten days before the Special Meeting at the principal executive offices of FS Development for inspection by stockholders during ordinary business hours for any purpose germane to the Special Meeting.</w:t>
      </w:r>
    </w:p>
    <w:p>
      <w:pPr>
        <w:spacing w:after="0" w:line="10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Pursuant to the Current Charter, FS Development is providing its public stockholders with the opportunity to redeem, upon the Closing, the shares of FS Development Class A Common Stock issued in FS Development’s initial public offering (the “</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then held by them for cash equal to their pro rata share of the aggregate amount on deposit (as of two business days prior to the Closing) in the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xml:space="preserve">”) that holds the proceeds (including interest but less franchise and income taxes payable) of the FS Development IPO. For illustrative purposes, based on funds in the Trust Account of approximately $120,751,489 on September 30, 2020, the estimated per share redemption price would have been approximately $10.73. </w:t>
      </w:r>
      <w:r>
        <w:rPr>
          <w:rFonts w:ascii="Times New Roman" w:cs="Times New Roman" w:eastAsia="Times New Roman" w:hAnsi="Times New Roman"/>
          <w:sz w:val="18"/>
          <w:szCs w:val="18"/>
          <w:b w:val="1"/>
          <w:bCs w:val="1"/>
          <w:color w:val="auto"/>
        </w:rPr>
        <w:t>Public stockholders may elect to redeem their shares even if they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vote for the Business Combination Proposal</w:t>
      </w:r>
      <w:r>
        <w:rPr>
          <w:rFonts w:ascii="Times New Roman" w:cs="Times New Roman" w:eastAsia="Times New Roman" w:hAnsi="Times New Roman"/>
          <w:sz w:val="18"/>
          <w:szCs w:val="18"/>
          <w:color w:val="auto"/>
        </w:rPr>
        <w:t>. A public stockholder, together with any of his, her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or any other person with whom it is acting in concert or as a “group” (as defined under Section 13 of the Exchange Act), will be restricted from redeeming in the aggregate his, her or its shares or, if part of such a group, the group’s shares, with respect to 20% or more of the shares of FS Development Class A Common Stock issued in the FS Development IPO. The Sponsor and FS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250825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other initial stockholders have agreed to waive their redemption rights with respect to any shares of FS Development Common Stock they may hold in connection with the Closing, and such shares will be excluded from the pro rata calculation used to determine the per-share redemption price. In addition, holders of 2,742,529 of our Public Shares have executed non-redemption agreements in which they have agreed to waive their redemption rights with respect to the Public Shares they hold in connection with the Closing. The Sponsor and FS Development’s other initial stockholders have agreed to vote any shares of FS Development Common Stock</w:t>
      </w:r>
    </w:p>
    <w:p>
      <w:pPr>
        <w:spacing w:after="0" w:line="5"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owned by them in favor of the Business Combination Proposal, which represent approximately % of the voting power of FS Development.</w:t>
      </w:r>
    </w:p>
    <w:p>
      <w:pPr>
        <w:spacing w:after="0" w:line="11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shares of FS Development Common Stock as of the Record Date for the Special Meeting, voting together as a single class. 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 together as a single class. 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September 30, 2020, there was approximately $120,751,489 in the Trust Account. Each redemption of Public Shares by its public stockholders will decrease the amount in the Trust Account. FS Development will not redeem Public Shares in an amount that would cause it to have net tangible assets of less than $5,000,001.</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Your attention is directed to the proxy statement/prospectus accompanying this notice (including the annexes thereto) for a more complete description of the proposed Business Combination and related transactions and each of the Proposals. We encourage you to read this proxy statement/prospectus carefully. If you have any questions or need assistance voting your shares, please call us at (415) 877-4887.</w:t>
      </w:r>
    </w:p>
    <w:p>
      <w:pPr>
        <w:spacing w:after="0" w:line="1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 2021</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2168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18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29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ABOUT THIS PROXY STATEMENT/PROSPECTUS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FREQUENTLY USED TERMS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QUESTIONS AND ANSWERS ABOUT THE PROPOSALS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SUMMARY OF THE PROXY STATEMENT/PROSPECTUS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SUMMARY FINANCIAL AND OTHER DATA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SUMMARY FINANCIAL AND OTHER DATA OF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5"/>
        </w:trPr>
        <w:tc>
          <w:tcPr>
            <w:tcW w:w="626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SUMMARY UNAUDITED PRO FORMA CONDENSED COMBINED FINANCIAL</w:t>
              </w:r>
            </w:hyperlink>
          </w:p>
        </w:tc>
        <w:tc>
          <w:tcPr>
            <w:tcW w:w="1020" w:type="dxa"/>
            <w:vAlign w:val="bottom"/>
            <w:tcBorders>
              <w:bottom w:val="single" w:sz="8" w:color="CCEEFF"/>
            </w:tcBorders>
            <w:gridSpan w:val="3"/>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INFORMATION</w:t>
              </w:r>
            </w:hyperlink>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CCEEFF"/>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COMPARATIVE SHARE INFORMATION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RISK FACTORS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CAUTIONARY NOTE REGARDING FORWARD-LOOKING STATEMENTS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SPECIAL MEETING OF FS DEVELOPMENT STOCKHOLDERS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THE BUSINESS COMBINATION PROPOSAL</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r>
      <w:tr>
        <w:trPr>
          <w:trHeight w:val="41"/>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36">
              <w:r>
                <w:rPr>
                  <w:rFonts w:ascii="Times New Roman" w:cs="Times New Roman" w:eastAsia="Times New Roman" w:hAnsi="Times New Roman"/>
                  <w:sz w:val="18"/>
                  <w:szCs w:val="18"/>
                  <w:u w:val="single" w:color="auto"/>
                  <w:color w:val="0000EE"/>
                </w:rPr>
                <w:t>THE NASDAQ STOCK ISSUANCE PROPOSAL</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INFORMATION ABOUT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EXECUTIVE OFFICERS AND DIRECTORS OF FS DEVELOPMENT</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58">
              <w:r>
                <w:rPr>
                  <w:rFonts w:ascii="Times New Roman" w:cs="Times New Roman" w:eastAsia="Times New Roman" w:hAnsi="Times New Roman"/>
                  <w:sz w:val="18"/>
                  <w:szCs w:val="18"/>
                  <w:u w:val="single" w:color="auto"/>
                  <w:color w:val="0000EE"/>
                </w:rPr>
                <w:t>SELECTED FINANCIAL AND OTHER DATA OF FS DEVELOPMENT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146</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6"/>
        </w:trPr>
        <w:tc>
          <w:tcPr>
            <w:tcW w:w="728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MANAGEMENT’S DISCUSSION AND ANALYSIS OF RESULTS OF FINANCIAL</w:t>
              </w:r>
            </w:hyperlink>
          </w:p>
        </w:tc>
        <w:tc>
          <w:tcPr>
            <w:tcW w:w="820" w:type="dxa"/>
            <w:vAlign w:val="bottom"/>
            <w:shd w:val="clear" w:color="auto" w:fill="CCEEFF"/>
          </w:tcPr>
          <w:p>
            <w:pPr>
              <w:spacing w:after="0"/>
              <w:rPr>
                <w:sz w:val="15"/>
                <w:szCs w:val="15"/>
                <w:color w:val="auto"/>
              </w:rPr>
            </w:pPr>
          </w:p>
        </w:tc>
      </w:tr>
      <w:tr>
        <w:trPr>
          <w:trHeight w:val="257"/>
        </w:trPr>
        <w:tc>
          <w:tcPr>
            <w:tcW w:w="180" w:type="dxa"/>
            <w:vAlign w:val="bottom"/>
            <w:tcBorders>
              <w:top w:val="single" w:sz="8" w:color="0000EE"/>
              <w:bottom w:val="single" w:sz="8" w:color="CCEEFF"/>
            </w:tcBorders>
            <w:shd w:val="clear" w:color="auto" w:fill="CCEEFF"/>
          </w:tcPr>
          <w:p>
            <w:pPr>
              <w:spacing w:after="0"/>
              <w:rPr>
                <w:sz w:val="22"/>
                <w:szCs w:val="22"/>
                <w:color w:val="auto"/>
              </w:rPr>
            </w:pPr>
          </w:p>
        </w:tc>
        <w:tc>
          <w:tcPr>
            <w:tcW w:w="6100" w:type="dxa"/>
            <w:vAlign w:val="bottom"/>
            <w:tcBorders>
              <w:top w:val="single" w:sz="8" w:color="0000EE"/>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CONDITION AND RESULTS OF OPERATIONS OF FS DEVELOPMENT</w:t>
              </w:r>
            </w:hyperlink>
          </w:p>
        </w:tc>
        <w:tc>
          <w:tcPr>
            <w:tcW w:w="10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63">
              <w:r>
                <w:rPr>
                  <w:rFonts w:ascii="Times New Roman" w:cs="Times New Roman" w:eastAsia="Times New Roman" w:hAnsi="Times New Roman"/>
                  <w:sz w:val="18"/>
                  <w:szCs w:val="18"/>
                  <w:u w:val="single" w:color="auto"/>
                  <w:color w:val="0000EE"/>
                </w:rPr>
                <w:t>INFORMATION ABOUT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80">
              <w:r>
                <w:rPr>
                  <w:rFonts w:ascii="Times New Roman" w:cs="Times New Roman" w:eastAsia="Times New Roman" w:hAnsi="Times New Roman"/>
                  <w:sz w:val="18"/>
                  <w:szCs w:val="18"/>
                  <w:u w:val="single" w:color="auto"/>
                  <w:color w:val="0000EE"/>
                </w:rPr>
                <w:t>EXECUTIVE OFFICERS AND DIRECTORS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EXECUTIVE COMPENSATION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90">
              <w:r>
                <w:rPr>
                  <w:rFonts w:ascii="Times New Roman" w:cs="Times New Roman" w:eastAsia="Times New Roman" w:hAnsi="Times New Roman"/>
                  <w:sz w:val="18"/>
                  <w:szCs w:val="18"/>
                  <w:u w:val="single" w:color="auto"/>
                  <w:color w:val="0000EE"/>
                </w:rPr>
                <w:t>MANAGEMENT AFTER THE BUSINESS COMBINATION</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193">
              <w:r>
                <w:rPr>
                  <w:rFonts w:ascii="Times New Roman" w:cs="Times New Roman" w:eastAsia="Times New Roman" w:hAnsi="Times New Roman"/>
                  <w:sz w:val="18"/>
                  <w:szCs w:val="18"/>
                  <w:u w:val="single" w:color="auto"/>
                  <w:color w:val="0000EE"/>
                </w:rPr>
                <w:t>SELECTED CONSOLIDATED FINANCIAL AND OTHER DATA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176"/>
        </w:trPr>
        <w:tc>
          <w:tcPr>
            <w:tcW w:w="668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94">
              <w:r>
                <w:rPr>
                  <w:rFonts w:ascii="Times New Roman" w:cs="Times New Roman" w:eastAsia="Times New Roman" w:hAnsi="Times New Roman"/>
                  <w:sz w:val="18"/>
                  <w:szCs w:val="18"/>
                  <w:color w:val="0000EE"/>
                  <w:w w:val="99"/>
                </w:rPr>
                <w:t>MANAGEMENT’S DISCUSSION AND ANALYSIS OF FINANCIAL CONDITION AND</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194">
              <w:r>
                <w:rPr>
                  <w:rFonts w:ascii="Times New Roman" w:cs="Times New Roman" w:eastAsia="Times New Roman" w:hAnsi="Times New Roman"/>
                  <w:sz w:val="18"/>
                  <w:szCs w:val="18"/>
                  <w:color w:val="0000EE"/>
                </w:rPr>
                <w:t>RESULTS OF OPERATIONS OF GEMINI</w:t>
              </w:r>
            </w:hyperlink>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29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10">
              <w:r>
                <w:rPr>
                  <w:rFonts w:ascii="Times New Roman" w:cs="Times New Roman" w:eastAsia="Times New Roman" w:hAnsi="Times New Roman"/>
                  <w:sz w:val="18"/>
                  <w:szCs w:val="18"/>
                  <w:u w:val="single" w:color="auto"/>
                  <w:color w:val="0000EE"/>
                </w:rPr>
                <w:t>DESCRIPTION OF SECURITIES AFTER THE BUSINESS COMBINATION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198</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SHARES ELIGIBLE FOR FUTURE SALE</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COMPARISON OF STOCKHOLDER RIGHTS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TICKER SYMBOL, MARKET PRICE AND DIVIDEND POLICY</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SECURITY OWNERSHIP OF CERTAIN BENEFICIAL OWNERS AND MANAGEMENT</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213</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CERTAIN RELATIONSHIPS AND RELATED PERSON TRANSACTIONS</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33">
              <w:r>
                <w:rPr>
                  <w:rFonts w:ascii="Times New Roman" w:cs="Times New Roman" w:eastAsia="Times New Roman" w:hAnsi="Times New Roman"/>
                  <w:sz w:val="18"/>
                  <w:szCs w:val="18"/>
                  <w:u w:val="single" w:color="auto"/>
                  <w:color w:val="0000EE"/>
                </w:rPr>
                <w:t>ADDITIONAL INFORMATION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35">
              <w:r>
                <w:rPr>
                  <w:rFonts w:ascii="Times New Roman" w:cs="Times New Roman" w:eastAsia="Times New Roman" w:hAnsi="Times New Roman"/>
                  <w:sz w:val="18"/>
                  <w:szCs w:val="18"/>
                  <w:u w:val="single" w:color="auto"/>
                  <w:color w:val="0000EE"/>
                </w:rPr>
                <w:t>WHERE YOU CAN FIND MORE INFORMATION</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7280" w:type="dxa"/>
            <w:vAlign w:val="bottom"/>
            <w:gridSpan w:val="7"/>
          </w:tcPr>
          <w:p>
            <w:pPr>
              <w:spacing w:after="0"/>
              <w:rPr>
                <w:rFonts w:ascii="Times New Roman" w:cs="Times New Roman" w:eastAsia="Times New Roman" w:hAnsi="Times New Roman"/>
                <w:sz w:val="18"/>
                <w:szCs w:val="18"/>
                <w:u w:val="single" w:color="auto"/>
                <w:color w:val="0000EE"/>
              </w:rPr>
            </w:pPr>
            <w:hyperlink w:anchor="page236">
              <w:r>
                <w:rPr>
                  <w:rFonts w:ascii="Times New Roman" w:cs="Times New Roman" w:eastAsia="Times New Roman" w:hAnsi="Times New Roman"/>
                  <w:sz w:val="18"/>
                  <w:szCs w:val="18"/>
                  <w:u w:val="single" w:color="auto"/>
                  <w:color w:val="0000EE"/>
                </w:rPr>
                <w:t>INDEX TO FINANCIAL STATEMENTS</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r>
      <w:tr>
        <w:trPr>
          <w:trHeight w:val="216"/>
        </w:trPr>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A </w:t>
            </w:r>
            <w:hyperlink w:anchor="page299">
              <w:r>
                <w:rPr>
                  <w:rFonts w:ascii="Times New Roman" w:cs="Times New Roman" w:eastAsia="Times New Roman" w:hAnsi="Times New Roman"/>
                  <w:sz w:val="18"/>
                  <w:szCs w:val="18"/>
                  <w:u w:val="single" w:color="auto"/>
                  <w:color w:val="0000EE"/>
                </w:rPr>
                <w:t>Merger Agreement</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r>
        <w:trPr>
          <w:trHeight w:val="243"/>
        </w:trPr>
        <w:tc>
          <w:tcPr>
            <w:tcW w:w="7280" w:type="dxa"/>
            <w:vAlign w:val="bottom"/>
            <w:gridSpan w:val="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B </w:t>
            </w:r>
            <w:hyperlink w:anchor="page488">
              <w:r>
                <w:rPr>
                  <w:rFonts w:ascii="Times New Roman" w:cs="Times New Roman" w:eastAsia="Times New Roman" w:hAnsi="Times New Roman"/>
                  <w:sz w:val="18"/>
                  <w:szCs w:val="18"/>
                  <w:u w:val="single" w:color="auto"/>
                  <w:color w:val="0000EE"/>
                </w:rPr>
                <w:t>Form of Amended and Restated Certificate of Incorporation of Gemini</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728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C </w:t>
            </w:r>
            <w:hyperlink w:anchor="page493">
              <w:r>
                <w:rPr>
                  <w:rFonts w:ascii="Times New Roman" w:cs="Times New Roman" w:eastAsia="Times New Roman" w:hAnsi="Times New Roman"/>
                  <w:sz w:val="18"/>
                  <w:szCs w:val="18"/>
                  <w:u w:val="single" w:color="auto"/>
                  <w:color w:val="0000EE"/>
                </w:rPr>
                <w:t>Form of Amended and Restated Bylaws of Gemini</w:t>
              </w:r>
            </w:hyperlink>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C-1</w:t>
            </w:r>
          </w:p>
        </w:tc>
      </w:tr>
      <w:tr>
        <w:trPr>
          <w:trHeight w:val="243"/>
        </w:trPr>
        <w:tc>
          <w:tcPr>
            <w:tcW w:w="7280" w:type="dxa"/>
            <w:vAlign w:val="bottom"/>
            <w:gridSpan w:val="7"/>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D </w:t>
            </w:r>
            <w:hyperlink w:anchor="page509">
              <w:r>
                <w:rPr>
                  <w:rFonts w:ascii="Times New Roman" w:cs="Times New Roman" w:eastAsia="Times New Roman" w:hAnsi="Times New Roman"/>
                  <w:sz w:val="18"/>
                  <w:szCs w:val="18"/>
                  <w:u w:val="single" w:color="auto"/>
                  <w:color w:val="0000EE"/>
                </w:rPr>
                <w:t>Gemini 2020 Stock Option and Incentive Plan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D-1</w:t>
            </w:r>
          </w:p>
        </w:tc>
      </w:tr>
      <w:tr>
        <w:trPr>
          <w:trHeight w:val="40"/>
        </w:trPr>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7280" w:type="dxa"/>
            <w:vAlign w:val="bottom"/>
            <w:gridSpan w:val="7"/>
            <w:shd w:val="clear" w:color="auto" w:fill="CCEEFF"/>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ANNEX E </w:t>
            </w:r>
            <w:hyperlink w:anchor="page521">
              <w:r>
                <w:rPr>
                  <w:rFonts w:ascii="Times New Roman" w:cs="Times New Roman" w:eastAsia="Times New Roman" w:hAnsi="Times New Roman"/>
                  <w:sz w:val="18"/>
                  <w:szCs w:val="18"/>
                  <w:u w:val="single" w:color="auto"/>
                  <w:color w:val="0000EE"/>
                </w:rPr>
                <w:t>Subscription Agreement</w:t>
              </w:r>
            </w:hyperlink>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E-1</w:t>
            </w:r>
          </w:p>
        </w:tc>
      </w:tr>
      <w:tr>
        <w:trPr>
          <w:trHeight w:val="41"/>
        </w:trPr>
        <w:tc>
          <w:tcPr>
            <w:tcW w:w="1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document, which forms part of a registration statement on Form S-4 filed with the SEC by FS Development (File No. 333-249785)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constitutes a prospectus of FS Development under Section 5 of the Securities Act, with respect to the shares of FS Development Class A Common Stock to be issued to Gemini Equityholders if the Business Combination described below is consummated. This document also constitutes a notice of meeting and a proxy statement under Section 14(a) of the Exchange Act with respect to the Special Meeting, at which FS Development stockholders will be asked to consider and vote upon a proposal to approve the Business Combination by the approval and adoption of the Merger Agreement, among other matters.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into this proxy statement/prospectus. No one has been authorized to provide you with information that is different from that contained in, or incorporated by reference into, this proxy statement/prospectus. This proxy statement/prospectus is dated as of the date set forth on the cover hereof.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incorporated document. Neither the mailing of this proxy statement/prospectus to FS Development Stockholders nor the issuance by FS Development of its FS Development Class A Common Stock in connection with the Business Combination will create any implication to the contrary.</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Information contained in this proxy statement/prospectus regarding FS Development has been provided by FS Development and information contained in this proxy statement/prospectus regarding Gemini has been provided by Gemini.</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FS Development files reports, proxy statements/prospectuses and other information with the SEC as required by the Exchange Act. You can read FS Development’s SEC filings, including this proxy statement/prospectus,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if you have questions about the Business Combination or the proposals to be presented at the Special Meeting, you should contact us by telephone or in writing: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Montgomery Street, Suite 4500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Attn: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(415) 877-4887</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You may also obtain these documents by requesting them in writing or by telephone from our proxy solicitor at: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Morrow Sodali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 West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CT 06902</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Individuals call toll-free (800) 662-5200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call (203) 658-9400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FSDC.info@investor.morrowsodali.com</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If you are a stockholder of FS Development and would like to request documents, please do so by</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 2021 to</w:t>
            </w:r>
          </w:p>
        </w:tc>
      </w:tr>
    </w:tbl>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receive them before the Special Meeting. If you request any documents from us, we will mail them to you by first class mail, or another equally prompt means.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Certain information contained in this document relates to or is based on studies, publications, surveys and other data obtained from third-party sources and FS Development’s own internal estimates and research. While we believe these third-party sources to be reliable as of the date of this proxy statement/prospectus, we have not independently verified the market and industry data contained in this proxy statement/prospectus or the underlying assumptions relied on therein. Finally, while we believe our own internal research is reliable, such research has not been verified by any independent source.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“we,” “us,” “our,” and “FS Development” refer to FS Development Corp.</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12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Bylaws</w:t>
      </w:r>
      <w:r>
        <w:rPr>
          <w:rFonts w:ascii="Times New Roman" w:cs="Times New Roman" w:eastAsia="Times New Roman" w:hAnsi="Times New Roman"/>
          <w:sz w:val="18"/>
          <w:szCs w:val="18"/>
          <w:color w:val="auto"/>
        </w:rPr>
        <w:t xml:space="preserve">” means the Amended and Restated Bylaws of Gemini, a Form of which is attached hereto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FS Development.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business combination pursuant to the Merger Agreement.</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13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Payment Shares</w:t>
      </w:r>
      <w:r>
        <w:rPr>
          <w:rFonts w:ascii="Times New Roman" w:cs="Times New Roman" w:eastAsia="Times New Roman" w:hAnsi="Times New Roman"/>
          <w:sz w:val="18"/>
          <w:szCs w:val="18"/>
          <w:color w:val="auto"/>
        </w:rPr>
        <w:t>” means an aggregate number of shares of FS Development Class A Common Stock equal to the difference between (a) 21,500,000 shares of FS Development Class A Common Stock; minus (b) a number of shares of FS Development Class A Common Stock equal to one half (1/2) of the initial unallocated shares of FS Development Class A Common Stock reserved for issuance under the Equity Incentive Plan (which shall not exceed two and one-half percent (2.5%) of the issued and outstanding shares of FS Development Class A Common Stock as of immediately following the Effective Time as set forth in the capitalization schedule delivered prior to the Closing pursuant to the Merger Agreement (and approved by FS Development, such approval not to be unreasonably withheld, conditioned or delayed)).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Combined Entity</w:t>
      </w:r>
      <w:r>
        <w:rPr>
          <w:rFonts w:ascii="Times New Roman" w:cs="Times New Roman" w:eastAsia="Times New Roman" w:hAnsi="Times New Roman"/>
          <w:sz w:val="18"/>
          <w:szCs w:val="18"/>
          <w:color w:val="auto"/>
        </w:rPr>
        <w:t>” means FS Development after the event in which Gemini becomes a wholly-owned subsidiary of FS Development.</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Combined Entity following the Closing.</w:t>
      </w:r>
    </w:p>
    <w:p>
      <w:pPr>
        <w:spacing w:after="0" w:line="14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Warrant</w:t>
      </w:r>
      <w:r>
        <w:rPr>
          <w:rFonts w:ascii="Times New Roman" w:cs="Times New Roman" w:eastAsia="Times New Roman" w:hAnsi="Times New Roman"/>
          <w:sz w:val="18"/>
          <w:szCs w:val="18"/>
          <w:color w:val="auto"/>
        </w:rPr>
        <w:t>” means the Warrant to Purchase Stock dated February 8, 2019, issued to Silicon Valley Bank, pursuant to which Silicon Valley Bank is entitled to purchase shares of Series A Preferred Stock of Gemini.</w:t>
      </w:r>
    </w:p>
    <w:p>
      <w:pPr>
        <w:spacing w:after="0" w:line="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means those certain Convertible Promissory Notes of Gemini in the aggregate principal amount of $14,000,000, issued on August 21, 2020 to certain Gemini Equityholders pursuant to the Convertible Promissory Note Purchase Agreement dated August 21, 2020 among Gemini and such Gemini Equityholders.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By-laws</w:t>
      </w:r>
      <w:r>
        <w:rPr>
          <w:rFonts w:ascii="Times New Roman" w:cs="Times New Roman" w:eastAsia="Times New Roman" w:hAnsi="Times New Roman"/>
          <w:sz w:val="18"/>
          <w:szCs w:val="18"/>
          <w:color w:val="auto"/>
        </w:rPr>
        <w:t>” means FS Development’s by-laws as currently in effect.</w:t>
      </w:r>
    </w:p>
    <w:p>
      <w:pPr>
        <w:spacing w:after="0" w:line="14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Charter</w:t>
      </w:r>
      <w:r>
        <w:rPr>
          <w:rFonts w:ascii="Times New Roman" w:cs="Times New Roman" w:eastAsia="Times New Roman" w:hAnsi="Times New Roman"/>
          <w:sz w:val="18"/>
          <w:szCs w:val="18"/>
          <w:color w:val="auto"/>
        </w:rPr>
        <w:t>” means FS Development’s current amended and restated certificate of incorporation as filed with the Secretary of State of the State of Delaware on August 11, 2020.</w:t>
      </w:r>
    </w:p>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at which the Business Combination became effective pursuant to the terms of the Merger Agreement.</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means the 2020 Stock Option and Incentive Plan.</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Act of 1934, as amended from time to time.</w:t>
      </w:r>
    </w:p>
    <w:p>
      <w:pPr>
        <w:spacing w:after="0" w:line="13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Founders Shares</w:t>
      </w:r>
      <w:r>
        <w:rPr>
          <w:rFonts w:ascii="Times New Roman" w:cs="Times New Roman" w:eastAsia="Times New Roman" w:hAnsi="Times New Roman"/>
          <w:sz w:val="18"/>
          <w:szCs w:val="18"/>
          <w:color w:val="auto"/>
        </w:rPr>
        <w:t>” means the outstanding shares of our Class B Common Stock held by the Sponsor, our directors and affiliates of our management team since June 30, 2020.</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w:t>
      </w:r>
      <w:r>
        <w:rPr>
          <w:rFonts w:ascii="Times New Roman" w:cs="Times New Roman" w:eastAsia="Times New Roman" w:hAnsi="Times New Roman"/>
          <w:sz w:val="18"/>
          <w:szCs w:val="18"/>
          <w:color w:val="auto"/>
        </w:rPr>
        <w:t>” means FS Development Corp.</w:t>
      </w:r>
    </w:p>
    <w:p>
      <w:pPr>
        <w:spacing w:after="0" w:line="13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Class A 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means the shares of Class A Common Stock, par value $0.0001 per share, of FS Development.</w:t>
      </w:r>
    </w:p>
    <w:p>
      <w:pPr>
        <w:spacing w:after="0" w:line="6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Class B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“Class B Common Stock”</w:t>
      </w:r>
      <w:r>
        <w:rPr>
          <w:rFonts w:ascii="Times New Roman" w:cs="Times New Roman" w:eastAsia="Times New Roman" w:hAnsi="Times New Roman"/>
          <w:sz w:val="18"/>
          <w:szCs w:val="18"/>
          <w:color w:val="auto"/>
        </w:rPr>
        <w:t xml:space="preserve"> means the shares of Class B Common Stock, par value $0.0001 per share, of FS Development.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Common Stock</w:t>
      </w:r>
      <w:r>
        <w:rPr>
          <w:rFonts w:ascii="Times New Roman" w:cs="Times New Roman" w:eastAsia="Times New Roman" w:hAnsi="Times New Roman"/>
          <w:sz w:val="18"/>
          <w:szCs w:val="18"/>
          <w:color w:val="auto"/>
        </w:rPr>
        <w:t>” means, collectively, the FS Development Class A Common Stock and FS Development Class B Common Stock.</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IPO</w:t>
      </w:r>
      <w:r>
        <w:rPr>
          <w:rFonts w:ascii="Times New Roman" w:cs="Times New Roman" w:eastAsia="Times New Roman" w:hAnsi="Times New Roman"/>
          <w:sz w:val="18"/>
          <w:szCs w:val="18"/>
          <w:color w:val="auto"/>
        </w:rPr>
        <w:t>” means FS Development’s initial public offering.</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 Development Support Agreement</w:t>
      </w:r>
      <w:r>
        <w:rPr>
          <w:rFonts w:ascii="Times New Roman" w:cs="Times New Roman" w:eastAsia="Times New Roman" w:hAnsi="Times New Roman"/>
          <w:sz w:val="18"/>
          <w:szCs w:val="18"/>
          <w:color w:val="auto"/>
        </w:rPr>
        <w:t>” means the FS Development Support Agreement, dated as of October 15, 2020, by and among FS Development, Gemini, the Sponsor and certain supporting stockholders of FS Development.</w:t>
      </w:r>
    </w:p>
    <w:p>
      <w:pPr>
        <w:spacing w:after="0" w:line="90" w:lineRule="exact"/>
        <w:rPr>
          <w:sz w:val="20"/>
          <w:szCs w:val="20"/>
          <w:color w:val="auto"/>
        </w:rPr>
      </w:pPr>
    </w:p>
    <w:p>
      <w:pPr>
        <w:jc w:val="both"/>
        <w:ind w:left="460" w:right="479"/>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Fully Diluted Company Shares</w:t>
      </w:r>
      <w:r>
        <w:rPr>
          <w:rFonts w:ascii="Times New Roman" w:cs="Times New Roman" w:eastAsia="Times New Roman" w:hAnsi="Times New Roman"/>
          <w:sz w:val="17"/>
          <w:szCs w:val="17"/>
          <w:color w:val="auto"/>
        </w:rPr>
        <w:t>” means the sum, without duplication, of (a) shares of common stock of Gemini (including restricted stock) that are issued and outstanding immediately prior to the Effective Time; plus</w:t>
      </w:r>
    </w:p>
    <w:p>
      <w:pPr>
        <w:spacing w:after="0" w:line="1" w:lineRule="exact"/>
        <w:rPr>
          <w:sz w:val="20"/>
          <w:szCs w:val="20"/>
          <w:color w:val="auto"/>
        </w:rPr>
      </w:pPr>
    </w:p>
    <w:p>
      <w:pPr>
        <w:jc w:val="both"/>
        <w:ind w:left="460" w:right="459" w:hanging="6"/>
        <w:spacing w:after="0" w:line="250" w:lineRule="auto"/>
        <w:tabs>
          <w:tab w:leader="none" w:pos="7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of Gemini (on an as converted to common stock basis) that are issued and outstanding immediately prior to the Effective Time; plus (c) the aggregate number of shares of common stock of Gemini issuable upon exercise of the Company Warrant as of immediately prior to the Effective Time; plus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common stock of Gemini issuable upon exercise of options to purchase common stock of Gemini that are vested as of immediately prior to the Effective Time; plus (e) the aggregate number of shares of common stock of Gemini issuable upon exercise of options to purchase common stock of Gemini that are unvested as of immediately prior to the Effective Time; plus (f) the aggregate number of shares of Gemini Series B Preferred Stock (on an as converted to common stock basis) issuable upon the conversion of the Convertible Notes as of immediately prior to the Effective Time.</w:t>
      </w:r>
    </w:p>
    <w:p>
      <w:pPr>
        <w:spacing w:after="0" w:line="118"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means Gemini Therapeutics, Inc., a Delaware corporation, which shall refer to the Combined Entity following the Business Combination, as the context requires.</w:t>
      </w:r>
    </w:p>
    <w:p>
      <w:pPr>
        <w:spacing w:after="0" w:line="87"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 Equityholders</w:t>
      </w:r>
      <w:r>
        <w:rPr>
          <w:rFonts w:ascii="Times New Roman" w:cs="Times New Roman" w:eastAsia="Times New Roman" w:hAnsi="Times New Roman"/>
          <w:sz w:val="18"/>
          <w:szCs w:val="18"/>
          <w:color w:val="auto"/>
        </w:rPr>
        <w:t>” means the holders of equity interests in Gemini as of the time immediately before the Business Combination.</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Gemini Stock</w:t>
      </w:r>
      <w:r>
        <w:rPr>
          <w:rFonts w:ascii="Times New Roman" w:cs="Times New Roman" w:eastAsia="Times New Roman" w:hAnsi="Times New Roman"/>
          <w:sz w:val="18"/>
          <w:szCs w:val="18"/>
          <w:color w:val="auto"/>
        </w:rPr>
        <w:t>” means, collectively, all shares of Gemini’s Series B Preferred Stock, Series A Preferred Stock and Common Stock.</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means the Merger Agreement, dated as of October 15, 2020, by and among FS Development, Merger Sub, Gemini and the Shareholders Representative.</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means the Closing Payment Shares to be issued as the consideration for the Business Combination.</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FSG Merger Sub, Inc., a Delaware corporation and a wholly-owned subsidiary of FS Development.</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refers to the sale of 9,506,000 newly issued shares of FS Development Class A Common Stock in a private placement concurrent with the Business Combination.</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Portion of the Merger Consideration</w:t>
      </w:r>
      <w:r>
        <w:rPr>
          <w:rFonts w:ascii="Times New Roman" w:cs="Times New Roman" w:eastAsia="Times New Roman" w:hAnsi="Times New Roman"/>
          <w:sz w:val="18"/>
          <w:szCs w:val="18"/>
          <w:color w:val="auto"/>
        </w:rPr>
        <w:t>” means, for each share of Gemini Stock owned by a Gemini Equityholder, the quotient of the Closing Payment Shares divided by the Fully Diluted Company Shares.</w:t>
      </w:r>
    </w:p>
    <w:p>
      <w:pPr>
        <w:spacing w:after="0" w:line="74"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means any of the proposals being presented to the FS Development stockholders at the Special Meeting.</w:t>
      </w:r>
    </w:p>
    <w:p>
      <w:pPr>
        <w:spacing w:after="0" w:line="87"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xml:space="preserve">” means the Amended and Restated Certificate of Incorporation of Gemini, a Form of which is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Shares</w:t>
      </w:r>
      <w:r>
        <w:rPr>
          <w:rFonts w:ascii="Times New Roman" w:cs="Times New Roman" w:eastAsia="Times New Roman" w:hAnsi="Times New Roman"/>
          <w:sz w:val="18"/>
          <w:szCs w:val="18"/>
          <w:color w:val="auto"/>
        </w:rPr>
        <w:t>” means FS Development Class A Common Stock issued in the FS Development IPO.</w:t>
      </w:r>
    </w:p>
    <w:p>
      <w:pPr>
        <w:spacing w:after="0" w:line="144"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means the right of the holders of FS Development Class A Common Stock to have their shares redeemed in accordance with the procedures set forth in this proxy statement/prospectus.</w:t>
      </w:r>
    </w:p>
    <w:p>
      <w:pPr>
        <w:spacing w:after="0" w:line="87"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means the Registration Rights Agreement to be entered into in connection with the Closing with certain Gemini Equityholders.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Exchange Commission or any successor organization.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 Representative</w:t>
      </w:r>
      <w:r>
        <w:rPr>
          <w:rFonts w:ascii="Times New Roman" w:cs="Times New Roman" w:eastAsia="Times New Roman" w:hAnsi="Times New Roman"/>
          <w:sz w:val="18"/>
          <w:szCs w:val="18"/>
          <w:color w:val="auto"/>
        </w:rPr>
        <w:t>” means Shareholder Representative Services LLC.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270" w:right="1440" w:bottom="1440" w:gutter="0" w:footer="0" w:header="0"/>
        </w:sectPr>
      </w:pPr>
    </w:p>
    <w:p>
      <w:pPr>
        <w:spacing w:after="0" w:line="152"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means the special meeting of the stockholders of FS Development, to be held on 2021, at , Eastern time, via live webcast at the following address.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9" w:lineRule="exact"/>
        <w:rPr>
          <w:sz w:val="20"/>
          <w:szCs w:val="20"/>
          <w:color w:val="auto"/>
        </w:rPr>
      </w:pPr>
    </w:p>
    <w:p>
      <w:pPr>
        <w:sectPr>
          <w:pgSz w:w="11900" w:h="16838" w:orient="portrait"/>
          <w:cols w:equalWidth="0" w:num="2">
            <w:col w:w="7940" w:space="560"/>
            <w:col w:w="51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FS Development Holdings, LLC, a Delaware limited liability company.</w:t>
      </w:r>
    </w:p>
    <w:p>
      <w:pPr>
        <w:spacing w:after="0" w:line="15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FS Development, which holds the net proceeds of the FS Development IPO, together with interest earned thereon, less amounts released to pay franchise and income tax obligations.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PROPOSALS</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questions and answers briefly address some commonly asked questions about the Business Combination and the Special Meeting of FS Development stockholders. The following questions and answers do not include all the information that is important to stockholders of FS Development. We urge the stockholders of FS Development to read carefully this entire proxy statement/prospectus, including the annexes and other documents referred to herein.</w:t>
      </w:r>
    </w:p>
    <w:p>
      <w:pPr>
        <w:spacing w:after="0" w:line="100" w:lineRule="exact"/>
        <w:rPr>
          <w:sz w:val="20"/>
          <w:szCs w:val="20"/>
          <w:color w:val="auto"/>
        </w:rPr>
      </w:pPr>
    </w:p>
    <w:p>
      <w:pPr>
        <w:ind w:left="860" w:hanging="406"/>
        <w:spacing w:after="0"/>
        <w:tabs>
          <w:tab w:leader="none" w:pos="8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b w:val="1"/>
          <w:bCs w:val="1"/>
          <w:color w:val="auto"/>
        </w:rPr>
      </w:pPr>
    </w:p>
    <w:p>
      <w:pPr>
        <w:jc w:val="both"/>
        <w:ind w:left="880" w:right="459" w:hanging="426"/>
        <w:spacing w:after="0" w:line="255" w:lineRule="auto"/>
        <w:tabs>
          <w:tab w:leader="none" w:pos="8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are being asked to consider and vote upon a proposal to approve and adopt the Merger Agreement, among other proposals. FS Development has entered into the Merger Agreement as a result of which Merger Sub, a wholly-owned subsidiary of FS Development, shall merge with and into Gemini with Gemini surviving such merger, and as a result of which Gemini will become a wholly-owned subsidiary of FS Development. We refer to this merger as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xml:space="preserve">.” FS Development urges its stockholders to read the Merger Agreement in its entirety, which is attached to this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left="880" w:right="47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YOUR VOTE IS IMPORTANT. YOU ARE ENCOURAGED TO SUBMIT YOUR PROXY AS SOON AS POSSIBLE AFTER CAREFULLY REVIEWING THIS PROXY STATEMENT/PROSPECTUS AND ITS ANNEXES AND CAREFULLY CONSIDERING EACH OF THE PROPOSALS BEING PRESENTED AT THE MEETING.</w:t>
      </w:r>
    </w:p>
    <w:p>
      <w:pPr>
        <w:spacing w:after="0" w:line="95" w:lineRule="exact"/>
        <w:rPr>
          <w:sz w:val="20"/>
          <w:szCs w:val="20"/>
          <w:color w:val="auto"/>
        </w:rPr>
      </w:pPr>
    </w:p>
    <w:p>
      <w:pPr>
        <w:ind w:left="880" w:hanging="426"/>
        <w:spacing w:after="0"/>
        <w:tabs>
          <w:tab w:leader="none" w:pos="8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FS Development proposing the Business Combination?</w:t>
      </w:r>
    </w:p>
    <w:p>
      <w:pPr>
        <w:spacing w:after="0" w:line="135" w:lineRule="exact"/>
        <w:rPr>
          <w:sz w:val="20"/>
          <w:szCs w:val="20"/>
          <w:color w:val="auto"/>
        </w:rPr>
      </w:pPr>
    </w:p>
    <w:p>
      <w:pPr>
        <w:jc w:val="both"/>
        <w:ind w:left="880" w:right="479" w:hanging="426"/>
        <w:spacing w:after="0" w:line="266" w:lineRule="auto"/>
        <w:tabs>
          <w:tab w:leader="none" w:pos="10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was formed for the purpose of effecting a merger, capital stock exchange, asset acquisition, stock purchase, reorganization or other similar business combination with one or more operating businesses.</w:t>
      </w:r>
    </w:p>
    <w:p>
      <w:pPr>
        <w:spacing w:after="0" w:line="81"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Based on its due diligence investigations of Gemini and the industries in which it operates, including the financial and other information provided by Gemini in the course of FS Development’s due diligence investigations, the Board believes that the Business Combination with Gemini is in the best interests of FS Development and its stockholders.</w:t>
      </w:r>
    </w:p>
    <w:p>
      <w:pPr>
        <w:spacing w:after="0" w:line="97" w:lineRule="exact"/>
        <w:rPr>
          <w:sz w:val="20"/>
          <w:szCs w:val="20"/>
          <w:color w:val="auto"/>
        </w:rPr>
      </w:pPr>
    </w:p>
    <w:p>
      <w:pPr>
        <w:jc w:val="both"/>
        <w:ind w:left="880" w:right="479"/>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Business Combination Proposal — Board’s Reasons for Approval of the Business Combination</w:t>
      </w:r>
      <w:r>
        <w:rPr>
          <w:rFonts w:ascii="Times New Roman" w:cs="Times New Roman" w:eastAsia="Times New Roman" w:hAnsi="Times New Roman"/>
          <w:sz w:val="18"/>
          <w:szCs w:val="18"/>
          <w:color w:val="auto"/>
        </w:rPr>
        <w:t>” for a discussion of the factors considered by the Board in making its decision.</w:t>
      </w:r>
    </w:p>
    <w:p>
      <w:pPr>
        <w:spacing w:after="0" w:line="62" w:lineRule="exact"/>
        <w:rPr>
          <w:sz w:val="20"/>
          <w:szCs w:val="20"/>
          <w:color w:val="auto"/>
        </w:rPr>
      </w:pPr>
    </w:p>
    <w:p>
      <w:pPr>
        <w:ind w:left="880" w:hanging="426"/>
        <w:spacing w:after="0"/>
        <w:tabs>
          <w:tab w:leader="none" w:pos="8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matters will be considered at the Special Meeting?</w:t>
      </w:r>
    </w:p>
    <w:p>
      <w:pPr>
        <w:spacing w:after="0" w:line="135" w:lineRule="exact"/>
        <w:rPr>
          <w:sz w:val="20"/>
          <w:szCs w:val="20"/>
          <w:color w:val="auto"/>
        </w:rPr>
      </w:pPr>
    </w:p>
    <w:p>
      <w:pPr>
        <w:ind w:left="880" w:right="479" w:hanging="426"/>
        <w:spacing w:after="0" w:line="282" w:lineRule="auto"/>
        <w:tabs>
          <w:tab w:leader="none" w:pos="8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list of proposals upon which FS Development stockholders will be asked to vote at the Special Meeting:</w:t>
      </w:r>
    </w:p>
    <w:p>
      <w:pPr>
        <w:spacing w:after="0" w:line="78"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34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Business Combination Proposa</w:t>
      </w:r>
      <w:r>
        <w:rPr>
          <w:rFonts w:ascii="Times New Roman" w:cs="Times New Roman" w:eastAsia="Times New Roman" w:hAnsi="Times New Roman"/>
          <w:sz w:val="18"/>
          <w:szCs w:val="18"/>
          <w:color w:val="auto"/>
        </w:rPr>
        <w:t>l — To adopt and approve the Merger Agreement and approve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Combination.</w:t>
      </w:r>
    </w:p>
    <w:p>
      <w:pPr>
        <w:spacing w:after="0" w:line="63"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Nasdaq Stock Issuance Proposal </w:t>
      </w:r>
      <w:r>
        <w:rPr>
          <w:rFonts w:ascii="Times New Roman" w:cs="Times New Roman" w:eastAsia="Times New Roman" w:hAnsi="Times New Roman"/>
          <w:sz w:val="18"/>
          <w:szCs w:val="18"/>
          <w:color w:val="auto"/>
        </w:rPr>
        <w:t>— To approve, assuming the Business Combination Proposal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approved and adopted, for purposes of complying with the applicable provisions of Nasdaq Stock Exchange Listing Rule 5635 (each, a “</w:t>
      </w:r>
      <w:r>
        <w:rPr>
          <w:rFonts w:ascii="Times New Roman" w:cs="Times New Roman" w:eastAsia="Times New Roman" w:hAnsi="Times New Roman"/>
          <w:sz w:val="18"/>
          <w:szCs w:val="18"/>
          <w:b w:val="1"/>
          <w:bCs w:val="1"/>
          <w:color w:val="auto"/>
        </w:rPr>
        <w:t>Nasdaq Listing Rule</w:t>
      </w:r>
      <w:r>
        <w:rPr>
          <w:rFonts w:ascii="Times New Roman" w:cs="Times New Roman" w:eastAsia="Times New Roman" w:hAnsi="Times New Roman"/>
          <w:sz w:val="18"/>
          <w:szCs w:val="18"/>
          <w:color w:val="auto"/>
        </w:rPr>
        <w:t>”), (a) the issuance of up to 21,500,000 newly issued shares of Class A Common Stock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Acquisition of Gemini; Merger Consideration</w:t>
      </w:r>
      <w:r>
        <w:rPr>
          <w:rFonts w:ascii="Times New Roman" w:cs="Times New Roman" w:eastAsia="Times New Roman" w:hAnsi="Times New Roman"/>
          <w:sz w:val="18"/>
          <w:szCs w:val="18"/>
          <w:color w:val="auto"/>
        </w:rPr>
        <w:t>” and (b) the issuance and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9,506,000 newly issued shares of Class A Common Stock in the PIPE Investment, to the extent such issuances would require a stockholder vote under the applicable Nasdaq Listing Rule.</w:t>
      </w:r>
    </w:p>
    <w:p>
      <w:pPr>
        <w:spacing w:after="0" w:line="9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Charter Amendment Proposal </w:t>
      </w:r>
      <w:r>
        <w:rPr>
          <w:rFonts w:ascii="Times New Roman" w:cs="Times New Roman" w:eastAsia="Times New Roman" w:hAnsi="Times New Roman"/>
          <w:sz w:val="18"/>
          <w:szCs w:val="18"/>
          <w:color w:val="auto"/>
        </w:rPr>
        <w:t>— To approve, assuming the Business Combination Proposal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and adopted, a proposed second amended and restated certificate of incorporation (the “</w:t>
      </w:r>
      <w:r>
        <w:rPr>
          <w:rFonts w:ascii="Times New Roman" w:cs="Times New Roman" w:eastAsia="Times New Roman" w:hAnsi="Times New Roman"/>
          <w:sz w:val="18"/>
          <w:szCs w:val="18"/>
          <w:b w:val="1"/>
          <w:bCs w:val="1"/>
          <w:color w:val="auto"/>
        </w:rPr>
        <w:t>Proposed Charter</w:t>
      </w:r>
      <w:r>
        <w:rPr>
          <w:rFonts w:ascii="Times New Roman" w:cs="Times New Roman" w:eastAsia="Times New Roman" w:hAnsi="Times New Roman"/>
          <w:sz w:val="18"/>
          <w:szCs w:val="18"/>
          <w:color w:val="auto"/>
        </w:rPr>
        <w:t>”), which will amend and restate the Current Charter, and which Proposed Charter will be in effect upon the Closing.</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4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Advisory Charter Proposals </w:t>
      </w:r>
      <w:r>
        <w:rPr>
          <w:rFonts w:ascii="Times New Roman" w:cs="Times New Roman" w:eastAsia="Times New Roman" w:hAnsi="Times New Roman"/>
          <w:sz w:val="18"/>
          <w:szCs w:val="18"/>
          <w:color w:val="auto"/>
        </w:rPr>
        <w:t>— To approve, on a non-binding advisory basis,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differences between the Proposed Charter and the Current Charter, which are being presented in accordance with the requirements of the SEC as five separate sub-proposals:</w:t>
      </w:r>
    </w:p>
    <w:p>
      <w:pPr>
        <w:spacing w:after="0" w:line="80" w:lineRule="exact"/>
        <w:rPr>
          <w:rFonts w:ascii="Times New Roman" w:cs="Times New Roman" w:eastAsia="Times New Roman" w:hAnsi="Times New Roman"/>
          <w:sz w:val="18"/>
          <w:szCs w:val="18"/>
          <w:color w:val="auto"/>
        </w:rPr>
      </w:pPr>
    </w:p>
    <w:p>
      <w:pPr>
        <w:ind w:left="1760" w:hanging="442"/>
        <w:spacing w:after="0"/>
        <w:tabs>
          <w:tab w:leader="none" w:pos="176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A — to increase the authorized shares of Class A Common Stock</w:t>
      </w:r>
    </w:p>
    <w:p>
      <w:pPr>
        <w:spacing w:after="0" w:line="27"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toshares;</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760" w:right="459" w:hanging="442"/>
        <w:spacing w:after="0" w:line="266" w:lineRule="auto"/>
        <w:tabs>
          <w:tab w:leader="none" w:pos="1749"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B — to increase the authorized shares of “blank check” preferred stock that the Combined Entity’s board of directors could issue to discourage a takeover attempt to 10,000,000 shares;</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74"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C — to provide that certain amendments to provisions of the Proposed Charter will require the approval of at least 66 2⁄3% of the Combined Entity’s then-outstanding shares of capital stock entitled to vote on such amendment;</w:t>
      </w:r>
    </w:p>
    <w:p>
      <w:pPr>
        <w:spacing w:after="0" w:line="108" w:lineRule="exact"/>
        <w:rPr>
          <w:rFonts w:ascii="Times New Roman" w:cs="Times New Roman" w:eastAsia="Times New Roman" w:hAnsi="Times New Roman"/>
          <w:sz w:val="18"/>
          <w:szCs w:val="18"/>
          <w:color w:val="auto"/>
        </w:rPr>
      </w:pPr>
    </w:p>
    <w:p>
      <w:pPr>
        <w:jc w:val="both"/>
        <w:ind w:left="1760" w:right="479" w:hanging="442"/>
        <w:spacing w:after="0" w:line="258" w:lineRule="auto"/>
        <w:tabs>
          <w:tab w:leader="none" w:pos="172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D — to make the Combined Entity’s corporate existence perpetual 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02" w:lineRule="exact"/>
        <w:rPr>
          <w:rFonts w:ascii="Times New Roman" w:cs="Times New Roman" w:eastAsia="Times New Roman" w:hAnsi="Times New Roman"/>
          <w:sz w:val="18"/>
          <w:szCs w:val="18"/>
          <w:color w:val="auto"/>
        </w:rPr>
      </w:pPr>
    </w:p>
    <w:p>
      <w:pPr>
        <w:jc w:val="both"/>
        <w:ind w:left="1760" w:right="459" w:hanging="442"/>
        <w:spacing w:after="0" w:line="256" w:lineRule="auto"/>
        <w:tabs>
          <w:tab w:leader="none" w:pos="175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Charter Proposal E — to provide that any amendment to the Amended By-laws will require the approval of at least 66 2⁄3%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7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Plan Proposal — to approve, assuming the Business Combination Proposal is approved and adopted, the 2020 Stock Option and Incentive Plan (the “</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xml:space="preserve">”), a copy of which is appended to this 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which will become effective as of the date immediately preceding the date of the Closing.</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7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 Proposal — to approve a proposal to adjourn the Special Meeting to a later date or dates, if necessary, to permit further solicitation and vote of proxies if, based upon the tabulated vote at the time of the Special Meeting, there are not sufficient votes to approve the Business Combination Proposal, the Nasdaq Stock Issuance Proposal, the Charter Amendment Proposal, or the Incentive Plan Proposal, or we determine that one or more of the closing conditions under the Business Combination is not satisfied or waived.</w:t>
      </w:r>
    </w:p>
    <w:p>
      <w:pPr>
        <w:spacing w:after="0" w:line="102" w:lineRule="exact"/>
        <w:rPr>
          <w:rFonts w:ascii="Times New Roman" w:cs="Times New Roman" w:eastAsia="Times New Roman" w:hAnsi="Times New Roman"/>
          <w:sz w:val="18"/>
          <w:szCs w:val="18"/>
          <w:color w:val="auto"/>
        </w:rPr>
      </w:pPr>
    </w:p>
    <w:p>
      <w:pPr>
        <w:ind w:left="880" w:hanging="426"/>
        <w:spacing w:after="0"/>
        <w:tabs>
          <w:tab w:leader="none" w:pos="8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will the Special Meeting take place?</w:t>
      </w:r>
    </w:p>
    <w:p>
      <w:pPr>
        <w:spacing w:after="0" w:line="162" w:lineRule="exact"/>
        <w:rPr>
          <w:sz w:val="20"/>
          <w:szCs w:val="20"/>
          <w:color w:val="auto"/>
        </w:rPr>
      </w:pPr>
    </w:p>
    <w:p>
      <w:pPr>
        <w:jc w:val="both"/>
        <w:ind w:left="880" w:right="459" w:hanging="431"/>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A:</w:t>
        <w:tab/>
        <w:t>The FS Development Special Meeting will be held on , 2021, at Eastern time, via live webcast at the following address: , or such other date, time and place to which such meeting may be adjourned or postponed, to consider and vote upon the proposals.</w:t>
      </w:r>
    </w:p>
    <w:p>
      <w:pPr>
        <w:spacing w:after="0" w:line="104" w:lineRule="exact"/>
        <w:rPr>
          <w:sz w:val="20"/>
          <w:szCs w:val="20"/>
          <w:color w:val="auto"/>
        </w:rPr>
      </w:pPr>
    </w:p>
    <w:p>
      <w:pPr>
        <w:ind w:left="880" w:hanging="426"/>
        <w:spacing w:after="0"/>
        <w:tabs>
          <w:tab w:leader="none" w:pos="8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important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880" w:right="459" w:hanging="426"/>
        <w:spacing w:after="0" w:line="254" w:lineRule="auto"/>
        <w:tabs>
          <w:tab w:leader="none" w:pos="9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Business Combination cannot be completed unless the Merger Agreement is adopted by the FS Development stockholders holding a majority of the votes cast on such proposal and the other condition precedent proposals achieve the necessary vote outlined below. Only FS Development stockholders as of the close of business on 2021, the record date for the Special Meeting (the “</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are entitled to vote at the Special Meeting. The Board unanimously recommends that such FS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Business Combination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Nasdaq Stock Issuance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Charter Amendment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an advisory basis, of each of the Advisory Charter Proposals,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Incentive Plan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 if presented.</w:t>
      </w:r>
    </w:p>
    <w:p>
      <w:pPr>
        <w:spacing w:after="0" w:line="333" w:lineRule="exact"/>
        <w:rPr>
          <w:sz w:val="20"/>
          <w:szCs w:val="20"/>
          <w:color w:val="auto"/>
        </w:rPr>
      </w:pPr>
    </w:p>
    <w:p>
      <w:pPr>
        <w:ind w:left="880" w:right="459" w:hanging="426"/>
        <w:spacing w:after="0" w:line="286" w:lineRule="auto"/>
        <w:tabs>
          <w:tab w:leader="none" w:pos="96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64" w:lineRule="exact"/>
        <w:rPr>
          <w:sz w:val="20"/>
          <w:szCs w:val="20"/>
          <w:color w:val="auto"/>
        </w:rPr>
      </w:pPr>
    </w:p>
    <w:p>
      <w:pPr>
        <w:jc w:val="both"/>
        <w:ind w:left="880" w:right="459" w:hanging="426"/>
        <w:spacing w:after="0" w:line="254"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FS Development believes the proposals presented to the stockholders will be considered non-discretionary and therefore your broker, bank or nominee cannot vote your shares without your instruction. Your bank, broker or other nominee can vote your shares only if you provide instructions on how to vote. You should instruct your bank, broker or other nominee to vote your shares in accordance with directions you provide.</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left="880" w:hanging="426"/>
        <w:spacing w:after="0"/>
        <w:tabs>
          <w:tab w:leader="none" w:pos="8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Proposals presented at the Special Meeting?</w:t>
      </w:r>
    </w:p>
    <w:p>
      <w:pPr>
        <w:spacing w:after="0" w:line="135" w:lineRule="exact"/>
        <w:rPr>
          <w:sz w:val="20"/>
          <w:szCs w:val="20"/>
          <w:color w:val="auto"/>
        </w:rPr>
      </w:pPr>
    </w:p>
    <w:p>
      <w:pPr>
        <w:jc w:val="both"/>
        <w:ind w:left="880" w:right="459" w:hanging="426"/>
        <w:spacing w:after="0" w:line="258" w:lineRule="auto"/>
        <w:tabs>
          <w:tab w:leader="none" w:pos="86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shares of FS Development Common Stock voting together as a single class as of the Record Date. Accordingly, a FS Development stockholder’s failure to vote by proxy or to vote in person (which would include presence at a virtual meeting) at the Special Meeting or an abstention will have the same effect as a vote “AGAINST” the Charter Amendment Proposal.</w:t>
      </w:r>
    </w:p>
    <w:p>
      <w:pPr>
        <w:spacing w:after="0" w:line="102" w:lineRule="exact"/>
        <w:rPr>
          <w:rFonts w:ascii="Times New Roman" w:cs="Times New Roman" w:eastAsia="Times New Roman" w:hAnsi="Times New Roman"/>
          <w:sz w:val="18"/>
          <w:szCs w:val="18"/>
          <w:color w:val="auto"/>
        </w:rPr>
      </w:pPr>
    </w:p>
    <w:p>
      <w:pPr>
        <w:jc w:val="both"/>
        <w:ind w:left="88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 A FS Development stockholder’s failure to vote by proxy or to vote in person (which would include presence at a virtual meeting)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or the Adjournment Proposal.</w:t>
      </w:r>
    </w:p>
    <w:p>
      <w:pPr>
        <w:spacing w:after="0" w:line="96" w:lineRule="exact"/>
        <w:rPr>
          <w:sz w:val="20"/>
          <w:szCs w:val="20"/>
          <w:color w:val="auto"/>
        </w:rPr>
      </w:pPr>
    </w:p>
    <w:p>
      <w:pPr>
        <w:ind w:left="880" w:hanging="426"/>
        <w:spacing w:after="0"/>
        <w:tabs>
          <w:tab w:leader="none" w:pos="8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 Proposals conditioned on one another</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left="880" w:right="459" w:hanging="426"/>
        <w:spacing w:after="0" w:line="253" w:lineRule="auto"/>
        <w:tabs>
          <w:tab w:leader="none" w:pos="8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Business Combination Proposal is approved, the Nasdaq Stock Issuance Proposal, the Charter Amendment Proposal, the Advisory Charter Proposals, and the Incentive Plan Proposal will not be presented to the stockholders of FS Development at the Special Meeting. The approval of the Business Combination Proposal, the Nasdaq Stock Issuance Proposal, the Charter Amendment Proposal, and the Incentive Plan Proposal are preconditions to the Closing. The Adjournment Proposal is not conditioned on the approval of any other proposal set forth in this proxy statement/prospectus. It is important for you to note that in the event that the Business Combination Proposal does not receive the requisite vote for approval, then we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its public stockholders.</w:t>
      </w:r>
    </w:p>
    <w:p>
      <w:pPr>
        <w:spacing w:after="0" w:line="107" w:lineRule="exact"/>
        <w:rPr>
          <w:sz w:val="20"/>
          <w:szCs w:val="20"/>
          <w:color w:val="auto"/>
        </w:rPr>
      </w:pPr>
    </w:p>
    <w:p>
      <w:pPr>
        <w:ind w:left="880" w:hanging="426"/>
        <w:spacing w:after="0"/>
        <w:tabs>
          <w:tab w:leader="none" w:pos="8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conditions must be satisfied to complete the Business Combination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left="880" w:right="459" w:hanging="426"/>
        <w:spacing w:after="0" w:line="254" w:lineRule="auto"/>
        <w:tabs>
          <w:tab w:leader="none" w:pos="10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number of closing conditions in the Merger Agreement, including the approval by the stockholders of FS Development of the Business Combination Proposal, the Nasdaq Stock Issuance Proposal, the Charter Amendment Proposal, and the Incentive Plan Proposal. The Nasdaq Stock Issuance Proposal, the Charter Amendment Proposal, and the Incentive Plan Proposal are subject to and conditioned on the approval of the Business Combination Proposal. The Business Combination Proposal is subject to and conditioned on the approval of the Nasdaq Stock Issuance Proposal, the Charter Amendment Proposal, and the Incentive Plan Proposal. For a summary of the conditions that must be satisfied or waived prior to the Closing of the Business Combination, see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The Merger Agreement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880" w:hanging="426"/>
        <w:spacing w:after="0"/>
        <w:tabs>
          <w:tab w:leader="none" w:pos="8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Business Combination</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880" w:right="459" w:hanging="426"/>
        <w:spacing w:after="0" w:line="252" w:lineRule="auto"/>
        <w:tabs>
          <w:tab w:leader="none" w:pos="8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Business Combination, Merger Sub will merge with and into Gemini, with Gemini surviving such merger as the surviving entity. Upon the Closing, Gemini will become a wholly-owned subsidiary of FS Development. In connection with the Business Combination, the cash held in the Trust Account after giving effect to any redemption of shares by FS Development’s public stockholders and the proceeds from the PIPE Investment will be used to pay (i) FS Development stockholders who properly exercise their redemption rights, (ii) the underwriters their deferred underwriting commissions from the FS Development IPO, (iii) 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 (iv) unpaid franchise and income taxes of FS Development, and</w:t>
      </w:r>
    </w:p>
    <w:p>
      <w:pPr>
        <w:spacing w:after="0" w:line="5" w:lineRule="exact"/>
        <w:rPr>
          <w:rFonts w:ascii="Times New Roman" w:cs="Times New Roman" w:eastAsia="Times New Roman" w:hAnsi="Times New Roman"/>
          <w:sz w:val="18"/>
          <w:szCs w:val="18"/>
          <w:color w:val="auto"/>
        </w:rPr>
      </w:pPr>
    </w:p>
    <w:p>
      <w:pPr>
        <w:ind w:left="880" w:right="459" w:firstLine="6"/>
        <w:spacing w:after="0" w:line="260" w:lineRule="auto"/>
        <w:tabs>
          <w:tab w:leader="none" w:pos="115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general corporate purposes including, but not limited to, working capital for operations, capital expenditures and future potential acquisitions.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27" w:lineRule="exact"/>
        <w:rPr>
          <w:sz w:val="20"/>
          <w:szCs w:val="20"/>
          <w:color w:val="auto"/>
        </w:rPr>
      </w:pPr>
    </w:p>
    <w:p>
      <w:pPr>
        <w:ind w:left="880" w:right="479" w:hanging="426"/>
        <w:spacing w:after="0" w:line="286" w:lineRule="auto"/>
        <w:tabs>
          <w:tab w:leader="none" w:pos="913"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current stockholders of FS Development and Gemini Equityholders hold in the Combined Entity after the Closing</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jc w:val="both"/>
        <w:ind w:left="880" w:right="459" w:hanging="426"/>
        <w:spacing w:after="0" w:line="253" w:lineRule="auto"/>
        <w:tabs>
          <w:tab w:leader="none" w:pos="11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anticipated that, upon completion of the Business Combination,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(i) the redemption of any shares by FS Development’s public stockholders, or (ii) the issuance of any shares upon the Closing under the Equity Incentive Plan, which is intended to be adopted following the Closing. If the actual facts are different than these assumptions (which they are likely to be), the percentage ownership retained by FS Development’s existing stockholders in the Combined Entity will be different.</w:t>
      </w:r>
    </w:p>
    <w:p>
      <w:pPr>
        <w:spacing w:after="0" w:line="120" w:lineRule="exact"/>
        <w:rPr>
          <w:sz w:val="20"/>
          <w:szCs w:val="20"/>
          <w:color w:val="auto"/>
        </w:rPr>
      </w:pPr>
    </w:p>
    <w:p>
      <w:pPr>
        <w:ind w:left="880" w:right="459"/>
        <w:spacing w:after="0" w:line="284"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Summary Unaudited Pro Forma Condensed Combined Financial Information</w:t>
      </w:r>
      <w:r>
        <w:rPr>
          <w:rFonts w:ascii="Times New Roman" w:cs="Times New Roman" w:eastAsia="Times New Roman" w:hAnsi="Times New Roman"/>
          <w:sz w:val="18"/>
          <w:szCs w:val="18"/>
          <w:color w:val="auto"/>
        </w:rPr>
        <w:t>” for further information.</w:t>
      </w:r>
    </w:p>
    <w:p>
      <w:pPr>
        <w:spacing w:after="0" w:line="89" w:lineRule="exact"/>
        <w:rPr>
          <w:sz w:val="20"/>
          <w:szCs w:val="20"/>
          <w:color w:val="auto"/>
        </w:rPr>
      </w:pPr>
    </w:p>
    <w:p>
      <w:pPr>
        <w:ind w:left="880" w:right="479" w:hanging="426"/>
        <w:spacing w:after="0" w:line="286" w:lineRule="auto"/>
        <w:tabs>
          <w:tab w:leader="none" w:pos="90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Board obtain a third-party valuation or fairness opinion in determining whether or not to proceed with the Business Combination?</w:t>
      </w:r>
    </w:p>
    <w:p>
      <w:pPr>
        <w:spacing w:after="0" w:line="77" w:lineRule="exact"/>
        <w:rPr>
          <w:rFonts w:ascii="Times New Roman" w:cs="Times New Roman" w:eastAsia="Times New Roman" w:hAnsi="Times New Roman"/>
          <w:sz w:val="18"/>
          <w:szCs w:val="18"/>
          <w:b w:val="1"/>
          <w:bCs w:val="1"/>
          <w:color w:val="auto"/>
        </w:rPr>
      </w:pPr>
    </w:p>
    <w:p>
      <w:pPr>
        <w:jc w:val="both"/>
        <w:ind w:left="880" w:right="459" w:hanging="426"/>
        <w:spacing w:after="0" w:line="254" w:lineRule="auto"/>
        <w:tabs>
          <w:tab w:leader="none" w:pos="8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did not obtain a third-party valuation or fairness opinion in connection with its determination to approve the Business Combination. The Board believes that based upon the financial skills and background of its directors, it was qualified to conclude that the Business Combination was fair from a financial perspective to its stockholders. The Board also determined, without seeking a valuation from a financial advisor, that Gemini’s fair market value was at least 80% of the assets held in the Trust Account (excluding the deferred underwriting commissions and taxes payable on the income earned on the Trust Account). Accordingly, investors will be relying on the judgment of the Board as described above in valuing Gemini’s business and assuming the risk that the Board may not have properly valued such business.</w:t>
      </w:r>
    </w:p>
    <w:p>
      <w:pPr>
        <w:spacing w:after="0" w:line="117" w:lineRule="exact"/>
        <w:rPr>
          <w:sz w:val="20"/>
          <w:szCs w:val="20"/>
          <w:color w:val="auto"/>
        </w:rPr>
      </w:pPr>
    </w:p>
    <w:p>
      <w:pPr>
        <w:ind w:left="880" w:right="479" w:hanging="426"/>
        <w:spacing w:after="0" w:line="286" w:lineRule="auto"/>
        <w:tabs>
          <w:tab w:leader="none" w:pos="103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FS Development providing stockholders with the opportunity to vote on the Business Combination</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both"/>
        <w:ind w:left="880" w:right="459" w:hanging="426"/>
        <w:spacing w:after="0" w:line="254" w:lineRule="auto"/>
        <w:tabs>
          <w:tab w:leader="none" w:pos="10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Charter, FS Development must provide all holders of its Public Shares with the opportunity to have their Public Shares redeemed upon the consummation of FS Development’s initial business combination either in conjunction with a tender offer or in conjunction with a stockholder vote. For business and other reasons, FS Development has elected to provide its stockholders with the opportunity to have their Public Shares redeemed in connection with a stockholder vote rather than a tender offer. Therefore, FS Development is seeking to obtain the approval of its stockholders of the Business Combination Proposal in order to allow its public stockholders to effectuate redemptions of their Public Shares in connection with the Closing.</w:t>
      </w:r>
    </w:p>
    <w:p>
      <w:pPr>
        <w:spacing w:after="0" w:line="107" w:lineRule="exact"/>
        <w:rPr>
          <w:sz w:val="20"/>
          <w:szCs w:val="20"/>
          <w:color w:val="auto"/>
        </w:rPr>
      </w:pPr>
    </w:p>
    <w:p>
      <w:pPr>
        <w:ind w:left="880" w:right="479" w:hanging="426"/>
        <w:spacing w:after="0" w:line="286" w:lineRule="auto"/>
        <w:tabs>
          <w:tab w:leader="none" w:pos="9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arrangements to help ensure that the Combined Company will have sufficient funds, together with the proceeds in its Trust Account, to fund the Business Combination?</w:t>
      </w:r>
    </w:p>
    <w:p>
      <w:pPr>
        <w:spacing w:after="0" w:line="91" w:lineRule="exact"/>
        <w:rPr>
          <w:sz w:val="20"/>
          <w:szCs w:val="20"/>
          <w:color w:val="auto"/>
        </w:rPr>
      </w:pPr>
    </w:p>
    <w:p>
      <w:pPr>
        <w:jc w:val="both"/>
        <w:ind w:left="880" w:right="459" w:hanging="426"/>
        <w:spacing w:after="0" w:line="258" w:lineRule="auto"/>
        <w:tabs>
          <w:tab w:leader="none" w:pos="96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On October 15, 2020, FS Development entered into Subscription Agreements with the investors named therein providing for the issuance by FS Development of 9,506,000 shares of FS Development Class A Common Stock through the PIPE Investment (subject to certain conditions, including that all conditions precedent to the Closing will have been satisfied or waived (other than those conditions that are to be satisfied at the Closing) for gross proceeds to FS Development of $95,060,000.</w:t>
      </w:r>
    </w:p>
    <w:p>
      <w:pPr>
        <w:spacing w:after="0" w:line="116"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To the extent not utilized to consummate the Business Combination, the proceeds from the Trust Account will be used for general corporate purposes, including, but not limited to, working capital for operations, capital expenditures and future acquisitions. FS Development will agree that it (or its successor) will file with the SEC a registration statement registering the resale of the shares purchased in the PIPE Investment and maintain an effective registration statement under the Securities Act covering such securities and certain other securities of the Combined Entity.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 at the Special Meeting?</w:t>
      </w:r>
    </w:p>
    <w:p>
      <w:pPr>
        <w:spacing w:after="0" w:line="162" w:lineRule="exact"/>
        <w:rPr>
          <w:sz w:val="20"/>
          <w:szCs w:val="20"/>
          <w:color w:val="auto"/>
        </w:rPr>
      </w:pPr>
    </w:p>
    <w:p>
      <w:pPr>
        <w:jc w:val="both"/>
        <w:ind w:left="880" w:right="459" w:hanging="426"/>
        <w:spacing w:after="0" w:line="266" w:lineRule="auto"/>
        <w:tabs>
          <w:tab w:leader="none" w:pos="10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are entitled to one vote at the Special Meeting for each share of FS Development Common Stock held as of the Record Date. As of the close of business on the Record Date, there were [•] outstanding shares of FS Development Common Stock.</w:t>
      </w:r>
    </w:p>
    <w:p>
      <w:pPr>
        <w:spacing w:after="0" w:line="104" w:lineRule="exact"/>
        <w:rPr>
          <w:sz w:val="20"/>
          <w:szCs w:val="20"/>
          <w:color w:val="auto"/>
        </w:rPr>
      </w:pPr>
    </w:p>
    <w:p>
      <w:pPr>
        <w:ind w:left="880" w:right="479" w:hanging="426"/>
        <w:spacing w:after="0" w:line="286" w:lineRule="auto"/>
        <w:tabs>
          <w:tab w:leader="none" w:pos="104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FS Development, the Sponsor or FS Development’s directors, officers, advisors or their affiliates purchase shares in connection with the Business Combination?</w:t>
      </w:r>
    </w:p>
    <w:p>
      <w:pPr>
        <w:spacing w:after="0" w:line="78" w:lineRule="exact"/>
        <w:rPr>
          <w:sz w:val="20"/>
          <w:szCs w:val="20"/>
          <w:color w:val="auto"/>
        </w:rPr>
      </w:pPr>
    </w:p>
    <w:p>
      <w:pPr>
        <w:jc w:val="both"/>
        <w:ind w:left="880" w:right="459" w:hanging="426"/>
        <w:spacing w:after="0" w:line="252" w:lineRule="auto"/>
        <w:tabs>
          <w:tab w:leader="none" w:pos="9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 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124" w:lineRule="exact"/>
        <w:rPr>
          <w:sz w:val="20"/>
          <w:szCs w:val="20"/>
          <w:color w:val="auto"/>
        </w:rPr>
      </w:pPr>
    </w:p>
    <w:p>
      <w:pPr>
        <w:ind w:left="880" w:hanging="426"/>
        <w:spacing w:after="0"/>
        <w:tabs>
          <w:tab w:leader="none" w:pos="8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Special Meeting?</w:t>
      </w:r>
    </w:p>
    <w:p>
      <w:pPr>
        <w:spacing w:after="0" w:line="162" w:lineRule="exact"/>
        <w:rPr>
          <w:sz w:val="20"/>
          <w:szCs w:val="20"/>
          <w:color w:val="auto"/>
        </w:rPr>
      </w:pPr>
    </w:p>
    <w:p>
      <w:pPr>
        <w:jc w:val="both"/>
        <w:ind w:left="880" w:right="459" w:hanging="426"/>
        <w:spacing w:after="0" w:line="261" w:lineRule="auto"/>
        <w:tabs>
          <w:tab w:leader="none" w:pos="9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in voting power of FS Development Common Stock issued and outstanding and entitled to vote at the Special Meeting constitute a quorum. In the absence of a quorum, the chairman of</w:t>
      </w:r>
    </w:p>
    <w:p>
      <w:pPr>
        <w:ind w:left="880"/>
        <w:spacing w:after="0"/>
        <w:tabs>
          <w:tab w:leader="none" w:pos="7840" w:val="left"/>
        </w:tabs>
        <w:rPr>
          <w:sz w:val="20"/>
          <w:szCs w:val="20"/>
          <w:color w:val="auto"/>
        </w:rPr>
      </w:pPr>
      <w:r>
        <w:rPr>
          <w:rFonts w:ascii="Times New Roman" w:cs="Times New Roman" w:eastAsia="Times New Roman" w:hAnsi="Times New Roman"/>
          <w:sz w:val="18"/>
          <w:szCs w:val="18"/>
          <w:color w:val="auto"/>
        </w:rPr>
        <w:t>the meeting has power to adjourn the Special Meeting. As of the Record Date,</w:t>
      </w:r>
      <w:r>
        <w:rPr>
          <w:sz w:val="20"/>
          <w:szCs w:val="20"/>
          <w:color w:val="auto"/>
        </w:rPr>
        <w:tab/>
      </w:r>
      <w:r>
        <w:rPr>
          <w:rFonts w:ascii="Times New Roman" w:cs="Times New Roman" w:eastAsia="Times New Roman" w:hAnsi="Times New Roman"/>
          <w:sz w:val="18"/>
          <w:szCs w:val="18"/>
          <w:color w:val="auto"/>
        </w:rPr>
        <w:t>shares of</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 Development Common Stock would be required to achieve a quorum.</w:t>
      </w:r>
    </w:p>
    <w:p>
      <w:pPr>
        <w:spacing w:after="0" w:line="122" w:lineRule="exact"/>
        <w:rPr>
          <w:sz w:val="20"/>
          <w:szCs w:val="20"/>
          <w:color w:val="auto"/>
        </w:rPr>
      </w:pPr>
    </w:p>
    <w:p>
      <w:pPr>
        <w:ind w:left="880" w:hanging="426"/>
        <w:spacing w:after="0"/>
        <w:tabs>
          <w:tab w:leader="none" w:pos="8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Sponsor, directors and officers vote?</w:t>
      </w:r>
    </w:p>
    <w:p>
      <w:pPr>
        <w:spacing w:after="0" w:line="162" w:lineRule="exact"/>
        <w:rPr>
          <w:sz w:val="20"/>
          <w:szCs w:val="20"/>
          <w:color w:val="auto"/>
        </w:rPr>
      </w:pPr>
    </w:p>
    <w:p>
      <w:pPr>
        <w:jc w:val="both"/>
        <w:ind w:left="880" w:right="459" w:hanging="426"/>
        <w:spacing w:after="0" w:line="254" w:lineRule="auto"/>
        <w:tabs>
          <w:tab w:leader="none" w:pos="8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as FS Development’s initial stockholder, has agreed to vote its Founders Shares (as well as any Public Shares purchased during or after the FS Development IPO) in favor of the Business Combination. As of the date of this proxy statement/prospectus, the Sponsor owns approximately 21.7% of the issued and outstanding shares of FS Development Common Stock, including all of the Founders Shares, and will be able to vote all such shares at the Special Meeting. Accordingly, it is more likely that the necessary stockholder approval will be received than would be the case if the Sponsor agreed to vote their Founders Shares in accordance with the majority of the votes cast by FS Development’s public stockholders.</w:t>
      </w:r>
    </w:p>
    <w:p>
      <w:pPr>
        <w:spacing w:after="0" w:line="120" w:lineRule="exact"/>
        <w:rPr>
          <w:sz w:val="20"/>
          <w:szCs w:val="20"/>
          <w:color w:val="auto"/>
        </w:rPr>
      </w:pPr>
    </w:p>
    <w:p>
      <w:pPr>
        <w:ind w:left="880" w:right="479" w:hanging="426"/>
        <w:spacing w:after="0" w:line="286" w:lineRule="auto"/>
        <w:tabs>
          <w:tab w:leader="none" w:pos="1156"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FS Development’s current officers and directors have in the Business Combination?</w:t>
      </w:r>
    </w:p>
    <w:p>
      <w:pPr>
        <w:spacing w:after="0" w:line="78" w:lineRule="exact"/>
        <w:rPr>
          <w:sz w:val="20"/>
          <w:szCs w:val="20"/>
          <w:color w:val="auto"/>
        </w:rPr>
      </w:pPr>
    </w:p>
    <w:p>
      <w:pPr>
        <w:jc w:val="both"/>
        <w:ind w:left="880" w:right="459" w:hanging="426"/>
        <w:spacing w:after="0" w:line="266" w:lineRule="auto"/>
        <w:tabs>
          <w:tab w:leader="none" w:pos="8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members of the Board and its executive officers have interests in the Business Combination that are different from or in addition to (and which may conflict with) your interest. These interests include, among other things: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5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FS Development’s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8" w:lineRule="auto"/>
        <w:tabs>
          <w:tab w:leader="none" w:pos="147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FS Development fails to complete a business combination within the required period. Our Sponsor purchased the Founders Shares prior to the FS Development IPO for an aggregate purchase price of $25,000, and transferred 30,000 Founders Shares to each of Robert Carey, Daniel Dubin and Deepa Pakianathan.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0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shares of FS Development Class A Common Stock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of $10.00 per share in a private placement to the Sponsor. If FS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2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89" w:lineRule="auto"/>
        <w:tabs>
          <w:tab w:leader="none" w:pos="1311"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FS Development’s initial stockholders and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90" w:lineRule="exact"/>
        <w:rPr>
          <w:rFonts w:ascii="Times New Roman" w:cs="Times New Roman" w:eastAsia="Times New Roman" w:hAnsi="Times New Roman"/>
          <w:sz w:val="17"/>
          <w:szCs w:val="17"/>
          <w:color w:val="auto"/>
        </w:rPr>
      </w:pPr>
    </w:p>
    <w:p>
      <w:pPr>
        <w:jc w:val="both"/>
        <w:ind w:left="1320" w:right="459" w:hanging="434"/>
        <w:spacing w:after="0" w:line="254" w:lineRule="auto"/>
        <w:tabs>
          <w:tab w:leader="none" w:pos="14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FS Development will continue to indemnify FS Development’s existing directors and officers and will maintain a directors’ and officers’ liability insurance policy.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08"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These interests may influence FS Development’s directors in making their recommendation that you vote in favor of the approval of the Business Combination.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hanging="426"/>
        <w:spacing w:after="0"/>
        <w:tabs>
          <w:tab w:leader="none" w:pos="88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FS Development Common Stock before the Special Meeting?</w:t>
      </w:r>
    </w:p>
    <w:p>
      <w:pPr>
        <w:spacing w:after="0" w:line="162" w:lineRule="exact"/>
        <w:rPr>
          <w:sz w:val="20"/>
          <w:szCs w:val="20"/>
          <w:color w:val="auto"/>
        </w:rPr>
      </w:pPr>
    </w:p>
    <w:p>
      <w:pPr>
        <w:jc w:val="both"/>
        <w:ind w:left="880" w:right="459" w:hanging="426"/>
        <w:spacing w:after="0" w:line="255" w:lineRule="auto"/>
        <w:tabs>
          <w:tab w:leader="none" w:pos="107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is earlier than the date of the Special Meeting. If you transfer your shares of FS Development Common Stock after the Record Date, but before the Special Meeting, unless the transferee obtains from you a proxy to vote those shares, you will retain your right to vote at the Special Meeting. However, you will not be able to seek redemption of your shares because you will no longer be able to deliver them for cancellation upon Closing. If you transfer your shares of FS Development Common Stock prior to the Record Date, you will have no right to vote those shares at the Special Meeting or redeem those shares for a pro rata portion of the proceeds held in our Trust Account.</w:t>
      </w:r>
    </w:p>
    <w:p>
      <w:pPr>
        <w:spacing w:after="0" w:line="117" w:lineRule="exact"/>
        <w:rPr>
          <w:sz w:val="20"/>
          <w:szCs w:val="20"/>
          <w:color w:val="auto"/>
        </w:rPr>
      </w:pPr>
    </w:p>
    <w:p>
      <w:pPr>
        <w:ind w:left="880" w:hanging="426"/>
        <w:spacing w:after="0"/>
        <w:tabs>
          <w:tab w:leader="none" w:pos="8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vote against the Business Combination Proposal?</w:t>
      </w:r>
    </w:p>
    <w:p>
      <w:pPr>
        <w:spacing w:after="0" w:line="148" w:lineRule="exact"/>
        <w:rPr>
          <w:sz w:val="20"/>
          <w:szCs w:val="20"/>
          <w:color w:val="auto"/>
        </w:rPr>
      </w:pPr>
    </w:p>
    <w:p>
      <w:pPr>
        <w:jc w:val="both"/>
        <w:ind w:left="880" w:right="459" w:hanging="431"/>
        <w:spacing w:after="0" w:line="261" w:lineRule="auto"/>
        <w:tabs>
          <w:tab w:leader="none" w:pos="860" w:val="left"/>
        </w:tabs>
        <w:rPr>
          <w:sz w:val="20"/>
          <w:szCs w:val="20"/>
          <w:color w:val="auto"/>
        </w:rPr>
      </w:pPr>
      <w:r>
        <w:rPr>
          <w:rFonts w:ascii="Times New Roman" w:cs="Times New Roman" w:eastAsia="Times New Roman" w:hAnsi="Times New Roman"/>
          <w:sz w:val="18"/>
          <w:szCs w:val="18"/>
          <w:color w:val="auto"/>
        </w:rPr>
        <w:t>A:</w:t>
        <w:tab/>
        <w:t>Pursuant to the Current Charter, if the Business Combination Proposal is not approved and FS Development does not otherwise consummate an alternative business combination by August 14, 2022, FS Development will be required to dissolve and liquidate its Trust Account by returning the then remaining funds in such account to the public stockholders.</w:t>
      </w:r>
    </w:p>
    <w:p>
      <w:pPr>
        <w:spacing w:after="0" w:line="108" w:lineRule="exact"/>
        <w:rPr>
          <w:sz w:val="20"/>
          <w:szCs w:val="20"/>
          <w:color w:val="auto"/>
        </w:rPr>
      </w:pPr>
    </w:p>
    <w:p>
      <w:pPr>
        <w:ind w:left="880" w:hanging="426"/>
        <w:spacing w:after="0"/>
        <w:tabs>
          <w:tab w:leader="none" w:pos="8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redemption rights?</w:t>
      </w:r>
    </w:p>
    <w:p>
      <w:pPr>
        <w:spacing w:after="0" w:line="162" w:lineRule="exact"/>
        <w:rPr>
          <w:sz w:val="20"/>
          <w:szCs w:val="20"/>
          <w:color w:val="auto"/>
        </w:rPr>
      </w:pPr>
    </w:p>
    <w:p>
      <w:pPr>
        <w:jc w:val="both"/>
        <w:ind w:left="880" w:right="459" w:hanging="426"/>
        <w:spacing w:after="0" w:line="254" w:lineRule="auto"/>
        <w:tabs>
          <w:tab w:leader="none" w:pos="89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Current Charter, holders of Public Shares may elect to have their shares redeemed for cash at the applicable redemption price per share calculated in accordance with the Current Charter. As of September 30, 2020, based on funds in the Trust Account of approximately $120,751,489, this would have amounted to approximately $10.73 per share. If a holder exercises its redemption rights, then such holder will be exchanging its Public Shares for cash. Such a holder will be entitled to receive cash for its Public Shares only if it properly demands redemption and delivers its shares (either physically or electronically) to FS Development’s transfer agent prior to the Special Meeting. See the section titled “</w:t>
      </w:r>
      <w:r>
        <w:rPr>
          <w:rFonts w:ascii="Times New Roman" w:cs="Times New Roman" w:eastAsia="Times New Roman" w:hAnsi="Times New Roman"/>
          <w:sz w:val="18"/>
          <w:szCs w:val="18"/>
          <w:i w:val="1"/>
          <w:iCs w:val="1"/>
          <w:color w:val="auto"/>
        </w:rPr>
        <w:t>Special Meeting of FS Development Stockholders — Redemption Rights</w:t>
      </w:r>
      <w:r>
        <w:rPr>
          <w:rFonts w:ascii="Times New Roman" w:cs="Times New Roman" w:eastAsia="Times New Roman" w:hAnsi="Times New Roman"/>
          <w:sz w:val="18"/>
          <w:szCs w:val="18"/>
          <w:color w:val="auto"/>
        </w:rPr>
        <w:t>” for the procedures to be followed if you wish to redeem your shares for cash.</w:t>
      </w:r>
    </w:p>
    <w:p>
      <w:pPr>
        <w:spacing w:after="0" w:line="103" w:lineRule="exact"/>
        <w:rPr>
          <w:sz w:val="20"/>
          <w:szCs w:val="20"/>
          <w:color w:val="auto"/>
        </w:rPr>
      </w:pPr>
    </w:p>
    <w:p>
      <w:pPr>
        <w:ind w:left="880" w:hanging="426"/>
        <w:spacing w:after="0"/>
        <w:tabs>
          <w:tab w:leader="none" w:pos="8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how I vote affect my ability to exercise redemption rights?</w:t>
      </w:r>
    </w:p>
    <w:p>
      <w:pPr>
        <w:spacing w:after="0" w:line="162" w:lineRule="exact"/>
        <w:rPr>
          <w:sz w:val="20"/>
          <w:szCs w:val="20"/>
          <w:color w:val="auto"/>
        </w:rPr>
      </w:pPr>
    </w:p>
    <w:p>
      <w:pPr>
        <w:jc w:val="both"/>
        <w:ind w:left="880" w:right="459" w:hanging="426"/>
        <w:spacing w:after="0" w:line="256" w:lineRule="auto"/>
        <w:tabs>
          <w:tab w:leader="none" w:pos="11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may exercise your redemption rights whether you vote your Public Shares “FOR” or “AGAINST” the Business Combination Proposal or any other proposal described by this proxy statement/prospectus. As a result, the Merger Agreement can be approved by stockholders who will redeem their shares and no longer remain stockholders, leaving stockholders who choose not to redeem their shares holding shares in a company with a potentially less liquid trading market, fewer stockholders, potentially less cash and the potential inability to meet the listing standards of the Nasdaq Capital Market.</w:t>
      </w:r>
    </w:p>
    <w:p>
      <w:pPr>
        <w:spacing w:after="0" w:line="116" w:lineRule="exact"/>
        <w:rPr>
          <w:sz w:val="20"/>
          <w:szCs w:val="20"/>
          <w:color w:val="auto"/>
        </w:rPr>
      </w:pPr>
    </w:p>
    <w:p>
      <w:pPr>
        <w:ind w:left="880" w:hanging="426"/>
        <w:spacing w:after="0"/>
        <w:tabs>
          <w:tab w:leader="none" w:pos="8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exercise my redemption rights?</w:t>
      </w:r>
    </w:p>
    <w:p>
      <w:pPr>
        <w:spacing w:after="0" w:line="148" w:lineRule="exact"/>
        <w:rPr>
          <w:sz w:val="20"/>
          <w:szCs w:val="20"/>
          <w:color w:val="auto"/>
        </w:rPr>
      </w:pPr>
    </w:p>
    <w:p>
      <w:pPr>
        <w:jc w:val="both"/>
        <w:ind w:left="880" w:right="479" w:hanging="431"/>
        <w:spacing w:after="0" w:line="257" w:lineRule="auto"/>
        <w:tabs>
          <w:tab w:leader="none" w:pos="860" w:val="left"/>
        </w:tabs>
        <w:rPr>
          <w:sz w:val="20"/>
          <w:szCs w:val="20"/>
          <w:color w:val="auto"/>
        </w:rPr>
      </w:pPr>
      <w:r>
        <w:rPr>
          <w:rFonts w:ascii="Times New Roman" w:cs="Times New Roman" w:eastAsia="Times New Roman" w:hAnsi="Times New Roman"/>
          <w:sz w:val="18"/>
          <w:szCs w:val="18"/>
          <w:color w:val="auto"/>
        </w:rPr>
        <w:t>A:</w:t>
        <w:tab/>
        <w:t xml:space="preserve">In order to exercise your redemption rights, you must prior to 5:00 PM, Eastern time, on , 2021 (two (2) business days before the Special Meeting), tender your shares physically or electronically and submit a request in writing that FS Development redeem your Public Shares for cash to </w:t>
      </w:r>
      <w:r>
        <w:rPr>
          <w:rFonts w:ascii="Times New Roman" w:cs="Times New Roman" w:eastAsia="Times New Roman" w:hAnsi="Times New Roman"/>
          <w:sz w:val="18"/>
          <w:szCs w:val="18"/>
          <w:b w:val="1"/>
          <w:bCs w:val="1"/>
          <w:color w:val="auto"/>
        </w:rPr>
        <w:t>Continental</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Stock Transfer &amp; Trust Company, our transfer agent, at the following address:</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Continental Stock Transfer &amp; Trust Company</w:t>
      </w:r>
    </w:p>
    <w:p>
      <w:pPr>
        <w:spacing w:after="0" w:line="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One State Street Plaza, 30</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b w:val="1"/>
          <w:bCs w:val="1"/>
          <w:color w:val="auto"/>
        </w:rPr>
        <w:t>New York, New York 10004</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Attn: Mark Zimkind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E-mail: mzimkind@continentalstock.com</w:t>
      </w:r>
    </w:p>
    <w:p>
      <w:pPr>
        <w:spacing w:after="0" w:line="135"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 the written request to redeem your Public Share for cash to Continental Stock Transfer &amp; Trust Company, please provide a </w:t>
      </w:r>
      <w:r>
        <w:rPr>
          <w:rFonts w:ascii="Times New Roman" w:cs="Times New Roman" w:eastAsia="Times New Roman" w:hAnsi="Times New Roman"/>
          <w:sz w:val="18"/>
          <w:szCs w:val="18"/>
          <w:color w:val="auto"/>
        </w:rPr>
        <w:t>“Stockholder Certification” if you are not acting in concert or as a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in Section 13d-3 of the Exchange Act) with any other stockholder with respect to shares of FS Development Class A Common Stock. Notwithstanding the foregoing, a holder of the Public Shares, together with any affiliate of his or any other person with whom he is acting in concert or as a “group” (as defined in Section 13d-3 of the Exchange Act) will be restricted from seeking redemption rights with respect to an aggregate of 20% or more of the shares of FS Development Class A Common Stock issued in the FS Development IPO, which is referred to as the “20% threshold” in this proxy statement/prospectus. Accordingly, all Public Shares in excess of the 20% threshold beneficially owned by a public stockholder or group will not be redeemed for cash.</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w:t>
      </w:r>
    </w:p>
    <w:p>
      <w:pPr>
        <w:spacing w:after="0" w:line="121" w:lineRule="exact"/>
        <w:rPr>
          <w:sz w:val="20"/>
          <w:szCs w:val="20"/>
          <w:color w:val="auto"/>
        </w:rPr>
      </w:pPr>
    </w:p>
    <w:p>
      <w:pPr>
        <w:jc w:val="both"/>
        <w:ind w:left="880" w:right="479"/>
        <w:spacing w:after="0" w:line="255"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under the question “Who can help answer my questions?” below.</w:t>
      </w:r>
    </w:p>
    <w:p>
      <w:pPr>
        <w:spacing w:after="0" w:line="117" w:lineRule="exact"/>
        <w:rPr>
          <w:sz w:val="20"/>
          <w:szCs w:val="20"/>
          <w:color w:val="auto"/>
        </w:rPr>
      </w:pPr>
    </w:p>
    <w:p>
      <w:pPr>
        <w:ind w:left="880" w:hanging="426"/>
        <w:spacing w:after="0"/>
        <w:tabs>
          <w:tab w:leader="none" w:pos="8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U.S. federal income tax consequences of exercising my redemption rights?</w:t>
      </w:r>
    </w:p>
    <w:p>
      <w:pPr>
        <w:spacing w:after="0" w:line="148" w:lineRule="exact"/>
        <w:rPr>
          <w:sz w:val="20"/>
          <w:szCs w:val="20"/>
          <w:color w:val="auto"/>
        </w:rPr>
      </w:pPr>
    </w:p>
    <w:p>
      <w:pPr>
        <w:jc w:val="both"/>
        <w:ind w:left="880" w:right="459" w:hanging="426"/>
        <w:spacing w:after="0" w:line="252" w:lineRule="auto"/>
        <w:tabs>
          <w:tab w:leader="none" w:pos="11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income tax consequences of FS Development stockholders who exercise their redemption rights to receive cash in exchange for their Public Shares depend on the stockholder’s particular facts and circumstances. Such stockholder generally will be required to treat the transaction as a sale of such shares and recognize gain or loss upon the redemption in an amount equal to the difference, if any, between the amount of cash received and the tax basis of the Public Shares redeemed. Such gain or loss should be treated as capital gain or loss if such shares were held as a capital asset on the date of the redemption. The redemption, however, may be treated as a distribution to a redeeming stockholder for U.S. federal income tax purposes if the redemption does not effect a sufficient reduction (as determined under applicable federal income tax law) in the redeeming stockholder’s percentage ownership in us (whether such ownership is direct or through the application of certain attribution and constructive ownership rules). Any amounts treated as such a distribution will constitute a dividend to the extent not in excess of our current and accumulated earnings and profits as measured for U.S. federal income tax purposes. Any amounts treated as a distribution and that are in excess of our current and accumulated earnings and profits will reduce the redeeming stockholder’s basis in his or her redeemed Public Shares, and any remaining amount will be treated as gain realized on the sale or other disposition of Public Shares. These tax consequences are described in more detail in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 Proposal — The Merger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Certain Material U.S. Federal Income Tax Considerations of the Redemption</w:t>
      </w:r>
      <w:r>
        <w:rPr>
          <w:rFonts w:ascii="Times New Roman" w:cs="Times New Roman" w:eastAsia="Times New Roman" w:hAnsi="Times New Roman"/>
          <w:sz w:val="18"/>
          <w:szCs w:val="18"/>
          <w:color w:val="auto"/>
        </w:rPr>
        <w:t>.” We urge you to consult your tax advisor regarding the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exercising your redemption rights.</w:t>
      </w:r>
    </w:p>
    <w:p>
      <w:pPr>
        <w:spacing w:after="0" w:line="119" w:lineRule="exact"/>
        <w:rPr>
          <w:sz w:val="20"/>
          <w:szCs w:val="20"/>
          <w:color w:val="auto"/>
        </w:rPr>
      </w:pPr>
    </w:p>
    <w:p>
      <w:pPr>
        <w:ind w:left="880" w:hanging="426"/>
        <w:spacing w:after="0"/>
        <w:tabs>
          <w:tab w:leader="none" w:pos="8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dissenter rights if I object to the proposed Business Combination?</w:t>
      </w:r>
    </w:p>
    <w:p>
      <w:pPr>
        <w:spacing w:after="0" w:line="162" w:lineRule="exact"/>
        <w:rPr>
          <w:sz w:val="20"/>
          <w:szCs w:val="20"/>
          <w:color w:val="auto"/>
        </w:rPr>
      </w:pPr>
    </w:p>
    <w:p>
      <w:pPr>
        <w:jc w:val="both"/>
        <w:ind w:left="880" w:right="459" w:hanging="426"/>
        <w:spacing w:after="0" w:line="253" w:lineRule="auto"/>
        <w:tabs>
          <w:tab w:leader="none" w:pos="93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FS Development stockholders are not entitled to exercise dissenters’ rights under Delaware law in connection with the Business Combination. Dissenters’ rights are unavailable under Delaware law in connection with the Business Combination to holders of FS Development Class A Common Stock because it is currently listed on a national securities exchange and such holders are not required to receive any consideration (other than continuing to hold their shares of FS Development Class A Common Stock, which will become an equal number of shares of Common Stock of the Combined Entity after giving effect to the Business Combination). Holders of FS Development Class A Common Stock may vote against the Business Combination Proposal or redeem their Public Shares if they are not in favor of the adoption of the Merger Agreement or the Business Combination. Dissenters’ rights are unavailable under Delaware law in connection with the Business Combination to holders of FS Development Class B Common Stock because they have agreed to vote in favor of the Business Combination.</w:t>
      </w:r>
    </w:p>
    <w:p>
      <w:pPr>
        <w:spacing w:after="0" w:line="107" w:lineRule="exact"/>
        <w:rPr>
          <w:sz w:val="20"/>
          <w:szCs w:val="20"/>
          <w:color w:val="auto"/>
        </w:rPr>
      </w:pPr>
    </w:p>
    <w:p>
      <w:pPr>
        <w:ind w:left="880" w:hanging="426"/>
        <w:spacing w:after="0"/>
        <w:tabs>
          <w:tab w:leader="none" w:pos="8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funds held in the Trust Account upon Closing?</w:t>
      </w:r>
    </w:p>
    <w:p>
      <w:pPr>
        <w:spacing w:after="0" w:line="162" w:lineRule="exact"/>
        <w:rPr>
          <w:sz w:val="20"/>
          <w:szCs w:val="20"/>
          <w:color w:val="auto"/>
        </w:rPr>
      </w:pPr>
    </w:p>
    <w:p>
      <w:pPr>
        <w:ind w:left="860" w:hanging="406"/>
        <w:spacing w:after="0"/>
        <w:tabs>
          <w:tab w:leader="none" w:pos="8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is consummated, the funds held in the Trust Account will be released to pay: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stockholders who properly exercise their redemption rights;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their deferred underwriting commissions;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fees, costs and expenses (including regulatory fees, legal fees, accounting fees, printer fees, and other professional fees) that were incurred by FS Development or Gemini in connection with the transactions contemplated by the Business Combination and pursuant to the terms of the Merger Agreement;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franchise and income taxes of FS Development;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general corporate purposes including, but not limited to, working capital for operations, capital expenditures and future potential acquisitions.</w:t>
      </w:r>
    </w:p>
    <w:p>
      <w:pPr>
        <w:spacing w:after="0" w:line="90" w:lineRule="exact"/>
        <w:rPr>
          <w:rFonts w:ascii="Times New Roman" w:cs="Times New Roman" w:eastAsia="Times New Roman" w:hAnsi="Times New Roman"/>
          <w:sz w:val="18"/>
          <w:szCs w:val="18"/>
          <w:color w:val="auto"/>
        </w:rPr>
      </w:pPr>
    </w:p>
    <w:p>
      <w:pPr>
        <w:ind w:left="880" w:hanging="426"/>
        <w:spacing w:after="0"/>
        <w:tabs>
          <w:tab w:leader="none" w:pos="8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Business Combination is not consummated?</w:t>
      </w:r>
    </w:p>
    <w:p>
      <w:pPr>
        <w:spacing w:after="0" w:line="148" w:lineRule="exact"/>
        <w:rPr>
          <w:sz w:val="20"/>
          <w:szCs w:val="20"/>
          <w:color w:val="auto"/>
        </w:rPr>
      </w:pPr>
    </w:p>
    <w:p>
      <w:pPr>
        <w:jc w:val="both"/>
        <w:ind w:left="880" w:right="459" w:hanging="426"/>
        <w:spacing w:after="0" w:line="266" w:lineRule="auto"/>
        <w:tabs>
          <w:tab w:leader="none" w:pos="91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circumstances under which the Merger Agreement may be terminated. See the section titled “</w:t>
      </w:r>
      <w:r>
        <w:rPr>
          <w:rFonts w:ascii="Times New Roman" w:cs="Times New Roman" w:eastAsia="Times New Roman" w:hAnsi="Times New Roman"/>
          <w:sz w:val="18"/>
          <w:szCs w:val="18"/>
          <w:i w:val="1"/>
          <w:iCs w:val="1"/>
          <w:color w:val="auto"/>
        </w:rPr>
        <w:t>The Business Combination Proposal — The Merger Agreement — Termination</w:t>
      </w:r>
      <w:r>
        <w:rPr>
          <w:rFonts w:ascii="Times New Roman" w:cs="Times New Roman" w:eastAsia="Times New Roman" w:hAnsi="Times New Roman"/>
          <w:sz w:val="18"/>
          <w:szCs w:val="18"/>
          <w:color w:val="auto"/>
        </w:rPr>
        <w:t>” for information regarding the parties’ specific termination rights.</w:t>
      </w:r>
    </w:p>
    <w:p>
      <w:pPr>
        <w:spacing w:after="0" w:line="108"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If, as a result of the termination of the Merger Agreement or otherwise, FS Development is unable to complete the Business Combination or another initial business combination transaction by August 14, 2022, the Current Charter provides that it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the DGCL to provide for claims of creditors and the requirements of other applicable law.</w:t>
      </w:r>
    </w:p>
    <w:p>
      <w:pPr>
        <w:spacing w:after="0" w:line="120" w:lineRule="exact"/>
        <w:rPr>
          <w:sz w:val="20"/>
          <w:szCs w:val="20"/>
          <w:color w:val="auto"/>
        </w:rPr>
      </w:pPr>
    </w:p>
    <w:p>
      <w:pPr>
        <w:jc w:val="both"/>
        <w:ind w:left="880" w:right="479"/>
        <w:spacing w:after="0" w:line="256" w:lineRule="auto"/>
        <w:rPr>
          <w:sz w:val="20"/>
          <w:szCs w:val="20"/>
          <w:color w:val="auto"/>
        </w:rPr>
      </w:pPr>
      <w:r>
        <w:rPr>
          <w:rFonts w:ascii="Times New Roman" w:cs="Times New Roman" w:eastAsia="Times New Roman" w:hAnsi="Times New Roman"/>
          <w:sz w:val="18"/>
          <w:szCs w:val="18"/>
          <w:color w:val="auto"/>
        </w:rPr>
        <w:t>FS Development expects that the amount of any distribution its public stockholders will be entitled to receive upon its dissolution will be approximately the same as the amount they would have received if they had redeemed their shares in connection with the Business Combination, subject in each case to FS Development’s obligations under the DGCL to provide for claims of creditors and other requirements of applicable law. Holders of Founders Shares have waived any right to any liquidating distribution with respect to those shares.</w:t>
      </w:r>
    </w:p>
    <w:p>
      <w:pPr>
        <w:spacing w:after="0" w:line="102" w:lineRule="exact"/>
        <w:rPr>
          <w:sz w:val="20"/>
          <w:szCs w:val="20"/>
          <w:color w:val="auto"/>
        </w:rPr>
      </w:pPr>
    </w:p>
    <w:p>
      <w:pPr>
        <w:ind w:left="880" w:hanging="426"/>
        <w:spacing w:after="0"/>
        <w:tabs>
          <w:tab w:leader="none" w:pos="8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Business Combination expected to be completed?</w:t>
      </w:r>
    </w:p>
    <w:p>
      <w:pPr>
        <w:spacing w:after="0" w:line="162" w:lineRule="exact"/>
        <w:rPr>
          <w:sz w:val="20"/>
          <w:szCs w:val="20"/>
          <w:color w:val="auto"/>
        </w:rPr>
      </w:pPr>
    </w:p>
    <w:p>
      <w:pPr>
        <w:jc w:val="both"/>
        <w:ind w:left="880" w:right="459" w:hanging="426"/>
        <w:spacing w:after="0" w:line="256" w:lineRule="auto"/>
        <w:tabs>
          <w:tab w:leader="none" w:pos="8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Closing is expected to take place (a) the second business day following the satisfaction or waiver of the conditions described below under the section titled </w:t>
      </w:r>
      <w:r>
        <w:rPr>
          <w:rFonts w:ascii="Times New Roman" w:cs="Times New Roman" w:eastAsia="Times New Roman" w:hAnsi="Times New Roman"/>
          <w:sz w:val="18"/>
          <w:szCs w:val="18"/>
          <w:i w:val="1"/>
          <w:iCs w:val="1"/>
          <w:color w:val="auto"/>
        </w:rPr>
        <w:t>“The Business Combination Proposal —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Conditions to Closing”</w:t>
      </w:r>
      <w:r>
        <w:rPr>
          <w:rFonts w:ascii="Times New Roman" w:cs="Times New Roman" w:eastAsia="Times New Roman" w:hAnsi="Times New Roman"/>
          <w:sz w:val="18"/>
          <w:szCs w:val="18"/>
          <w:color w:val="auto"/>
        </w:rPr>
        <w:t>; or (b) such other date as agreed to by FS Development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in writing, in each case, subject to the satisfaction or waiver of the closing conditions. The Merger Agreement may be terminated by either FS Development or Gemini if the Closing has not occurred by April 15, 2021, subject to certain exceptions.</w:t>
      </w:r>
    </w:p>
    <w:p>
      <w:pPr>
        <w:spacing w:after="0" w:line="120"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For a description of the conditions to the completion of the Business Combination, see the section titled “</w:t>
      </w:r>
      <w:r>
        <w:rPr>
          <w:rFonts w:ascii="Times New Roman" w:cs="Times New Roman" w:eastAsia="Times New Roman" w:hAnsi="Times New Roman"/>
          <w:sz w:val="18"/>
          <w:szCs w:val="18"/>
          <w:i w:val="1"/>
          <w:iCs w:val="1"/>
          <w:color w:val="auto"/>
        </w:rPr>
        <w:t>The Business Combination Proposal — The Merger Agreement — Conditions to Closing.</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880" w:hanging="426"/>
        <w:spacing w:after="0"/>
        <w:tabs>
          <w:tab w:leader="none" w:pos="8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62" w:lineRule="exact"/>
        <w:rPr>
          <w:sz w:val="20"/>
          <w:szCs w:val="20"/>
          <w:color w:val="auto"/>
        </w:rPr>
      </w:pPr>
    </w:p>
    <w:p>
      <w:pPr>
        <w:jc w:val="both"/>
        <w:ind w:left="880" w:right="459" w:hanging="426"/>
        <w:spacing w:after="0" w:line="258" w:lineRule="auto"/>
        <w:tabs>
          <w:tab w:leader="none" w:pos="85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statement/prospectus, including the annexes, and to consider how the Business Combination will affect you as a stockholder.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112" w:lineRule="exact"/>
        <w:rPr>
          <w:sz w:val="20"/>
          <w:szCs w:val="20"/>
          <w:color w:val="auto"/>
        </w:rPr>
      </w:pPr>
    </w:p>
    <w:p>
      <w:pPr>
        <w:ind w:left="460"/>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Q:</w:t>
        <w:tab/>
        <w:t>How do I vote?</w:t>
      </w:r>
    </w:p>
    <w:p>
      <w:pPr>
        <w:spacing w:after="0" w:line="148" w:lineRule="exact"/>
        <w:rPr>
          <w:sz w:val="20"/>
          <w:szCs w:val="20"/>
          <w:color w:val="auto"/>
        </w:rPr>
      </w:pPr>
    </w:p>
    <w:p>
      <w:pPr>
        <w:ind w:left="460"/>
        <w:spacing w:after="0"/>
        <w:tabs>
          <w:tab w:leader="none" w:pos="860" w:val="left"/>
          <w:tab w:leader="none" w:pos="6420" w:val="left"/>
        </w:tabs>
        <w:rPr>
          <w:sz w:val="20"/>
          <w:szCs w:val="20"/>
          <w:color w:val="auto"/>
        </w:rPr>
      </w:pPr>
      <w:r>
        <w:rPr>
          <w:rFonts w:ascii="Times New Roman" w:cs="Times New Roman" w:eastAsia="Times New Roman" w:hAnsi="Times New Roman"/>
          <w:sz w:val="18"/>
          <w:szCs w:val="18"/>
          <w:color w:val="auto"/>
        </w:rPr>
        <w:t>A.</w:t>
        <w:tab/>
        <w:t>If you were a holder of record of FS Development Common Stock on</w:t>
      </w:r>
      <w:r>
        <w:rPr>
          <w:sz w:val="20"/>
          <w:szCs w:val="20"/>
          <w:color w:val="auto"/>
        </w:rPr>
        <w:tab/>
      </w:r>
      <w:r>
        <w:rPr>
          <w:rFonts w:ascii="Times New Roman" w:cs="Times New Roman" w:eastAsia="Times New Roman" w:hAnsi="Times New Roman"/>
          <w:sz w:val="18"/>
          <w:szCs w:val="18"/>
          <w:color w:val="auto"/>
        </w:rPr>
        <w:t>, 2021, the Record Date, you</w:t>
      </w:r>
    </w:p>
    <w:p>
      <w:pPr>
        <w:spacing w:after="0" w:line="27" w:lineRule="exact"/>
        <w:rPr>
          <w:sz w:val="20"/>
          <w:szCs w:val="20"/>
          <w:color w:val="auto"/>
        </w:rPr>
      </w:pPr>
    </w:p>
    <w:p>
      <w:pPr>
        <w:jc w:val="both"/>
        <w:ind w:left="880" w:right="479"/>
        <w:spacing w:after="0" w:line="252" w:lineRule="auto"/>
        <w:rPr>
          <w:sz w:val="20"/>
          <w:szCs w:val="20"/>
          <w:color w:val="auto"/>
        </w:rPr>
      </w:pPr>
      <w:r>
        <w:rPr>
          <w:rFonts w:ascii="Times New Roman" w:cs="Times New Roman" w:eastAsia="Times New Roman" w:hAnsi="Times New Roman"/>
          <w:sz w:val="18"/>
          <w:szCs w:val="18"/>
          <w:color w:val="auto"/>
        </w:rPr>
        <w:t>may vote with respect to the applicable proposals online at the Special Meeting or by completing, signing, dating and returning the enclosed proxy card in the postage-paid envelope provided. If you choose to participate in the Special Meeting, you can vote your shares electronically during the Special Meeting via live webcast by visiting. You will need the 12-digit meeting control number that is printed on your proxy card to enter the Special Meeting. FS Development recommends that you log in at least 15 minutes before the Special Meeting to ensure you are logged in when the Special Meeting starts.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spacing w:after="0" w:line="252" w:lineRule="auto"/>
        <w:rPr>
          <w:sz w:val="20"/>
          <w:szCs w:val="20"/>
          <w:color w:val="auto"/>
        </w:rPr>
      </w:pPr>
      <w:r>
        <w:rPr>
          <w:rFonts w:ascii="Times New Roman" w:cs="Times New Roman" w:eastAsia="Times New Roman" w:hAnsi="Times New Roman"/>
          <w:sz w:val="18"/>
          <w:szCs w:val="18"/>
          <w:color w:val="auto"/>
        </w:rPr>
        <w:t xml:space="preserve">If on the Record Date your 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online. However, since you are not the stockholder of record, you may not vote your shares online at the Special Meeting unless you first request and obtain a valid legal proxy from your broker or other agent. You must then e-mail a copy (a legible photograph is sufficient) of your legal proxy to </w:t>
      </w:r>
      <w:r>
        <w:rPr>
          <w:rFonts w:ascii="Times New Roman" w:cs="Times New Roman" w:eastAsia="Times New Roman" w:hAnsi="Times New Roman"/>
          <w:sz w:val="18"/>
          <w:szCs w:val="18"/>
          <w:b w:val="1"/>
          <w:bCs w:val="1"/>
          <w:color w:val="auto"/>
        </w:rPr>
        <w:t>Continental Stock Transfer &amp; Trust Company (“CST”)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proxy@continentalstock.com. Beneficial owners who e-mail a valid legal proxy will be issued a 12-digit meeting control number that will allow them to register to attend and participate in the Special Meeting. Beneficial owners who wish to attend the special meeting online should contact</w:t>
      </w:r>
    </w:p>
    <w:p>
      <w:pPr>
        <w:spacing w:after="0" w:line="4" w:lineRule="exact"/>
        <w:rPr>
          <w:sz w:val="20"/>
          <w:szCs w:val="20"/>
          <w:color w:val="auto"/>
        </w:rPr>
      </w:pPr>
    </w:p>
    <w:p>
      <w:pPr>
        <w:ind w:left="88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CST no later than</w:t>
      </w:r>
      <w:r>
        <w:rPr>
          <w:sz w:val="20"/>
          <w:szCs w:val="20"/>
          <w:color w:val="auto"/>
        </w:rPr>
        <w:tab/>
      </w:r>
      <w:r>
        <w:rPr>
          <w:rFonts w:ascii="Times New Roman" w:cs="Times New Roman" w:eastAsia="Times New Roman" w:hAnsi="Times New Roman"/>
          <w:sz w:val="18"/>
          <w:szCs w:val="18"/>
          <w:b w:val="1"/>
          <w:bCs w:val="1"/>
          <w:color w:val="auto"/>
        </w:rPr>
        <w:t>, 2021 to obtain this information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880" w:hanging="426"/>
        <w:spacing w:after="0"/>
        <w:tabs>
          <w:tab w:leader="none" w:pos="8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at the Special Meeting?</w:t>
      </w:r>
    </w:p>
    <w:p>
      <w:pPr>
        <w:spacing w:after="0" w:line="162" w:lineRule="exact"/>
        <w:rPr>
          <w:sz w:val="20"/>
          <w:szCs w:val="20"/>
          <w:color w:val="auto"/>
        </w:rPr>
      </w:pPr>
    </w:p>
    <w:p>
      <w:pPr>
        <w:jc w:val="both"/>
        <w:ind w:left="880" w:right="459" w:hanging="426"/>
        <w:spacing w:after="0" w:line="255" w:lineRule="auto"/>
        <w:tabs>
          <w:tab w:leader="none" w:pos="87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FS Development will count a properly executed proxy card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and the Adjournment Proposal.</w:t>
      </w:r>
    </w:p>
    <w:p>
      <w:pPr>
        <w:spacing w:after="0" w:line="104" w:lineRule="exact"/>
        <w:rPr>
          <w:sz w:val="20"/>
          <w:szCs w:val="20"/>
          <w:color w:val="auto"/>
        </w:rPr>
      </w:pPr>
    </w:p>
    <w:p>
      <w:pPr>
        <w:ind w:left="880" w:hanging="426"/>
        <w:spacing w:after="0"/>
        <w:tabs>
          <w:tab w:leader="none" w:pos="88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sign and return my proxy card without indicating how I wish to vote?</w:t>
      </w:r>
    </w:p>
    <w:p>
      <w:pPr>
        <w:spacing w:after="0" w:line="162" w:lineRule="exact"/>
        <w:rPr>
          <w:sz w:val="20"/>
          <w:szCs w:val="20"/>
          <w:color w:val="auto"/>
        </w:rPr>
      </w:pPr>
    </w:p>
    <w:p>
      <w:pPr>
        <w:jc w:val="both"/>
        <w:ind w:left="880" w:right="479" w:hanging="426"/>
        <w:spacing w:after="0" w:line="261" w:lineRule="auto"/>
        <w:tabs>
          <w:tab w:leader="none" w:pos="97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FS Development without an indication of how the stockholder intends to vote on a proposal will be voted “FOR” each proposal presented to the stockholders. The proxyholders may use their discretion to vote on any other matters which properly come before the Special Meeting.</w:t>
      </w:r>
    </w:p>
    <w:p>
      <w:pPr>
        <w:spacing w:after="0" w:line="108" w:lineRule="exact"/>
        <w:rPr>
          <w:sz w:val="20"/>
          <w:szCs w:val="20"/>
          <w:color w:val="auto"/>
        </w:rPr>
      </w:pPr>
    </w:p>
    <w:p>
      <w:pPr>
        <w:ind w:left="860" w:hanging="406"/>
        <w:spacing w:after="0"/>
        <w:tabs>
          <w:tab w:leader="none" w:pos="8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Special Meeting?</w:t>
      </w:r>
    </w:p>
    <w:p>
      <w:pPr>
        <w:spacing w:after="0" w:line="148" w:lineRule="exact"/>
        <w:rPr>
          <w:sz w:val="20"/>
          <w:szCs w:val="20"/>
          <w:color w:val="auto"/>
        </w:rPr>
      </w:pPr>
    </w:p>
    <w:p>
      <w:pPr>
        <w:ind w:left="960" w:hanging="506"/>
        <w:spacing w:after="0"/>
        <w:tabs>
          <w:tab w:leader="none" w:pos="9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and vote your shares online during the Special Meeting via live</w:t>
      </w:r>
    </w:p>
    <w:p>
      <w:pPr>
        <w:spacing w:after="0" w:line="27" w:lineRule="exact"/>
        <w:rPr>
          <w:sz w:val="20"/>
          <w:szCs w:val="20"/>
          <w:color w:val="auto"/>
        </w:rPr>
      </w:pPr>
    </w:p>
    <w:p>
      <w:pPr>
        <w:jc w:val="both"/>
        <w:ind w:left="880" w:right="479"/>
        <w:spacing w:after="0" w:line="252" w:lineRule="auto"/>
        <w:rPr>
          <w:sz w:val="20"/>
          <w:szCs w:val="20"/>
          <w:color w:val="auto"/>
        </w:rPr>
      </w:pPr>
      <w:r>
        <w:rPr>
          <w:rFonts w:ascii="Times New Roman" w:cs="Times New Roman" w:eastAsia="Times New Roman" w:hAnsi="Times New Roman"/>
          <w:sz w:val="18"/>
          <w:szCs w:val="18"/>
          <w:color w:val="auto"/>
        </w:rPr>
        <w:t>webcast by visiting . As a registered stockholder, you received a proxy card from CST, which contains instructions on how to attend the Special Meeting online, including the URL address, along with your 12-digit meeting control number. You will need the 12-digit meeting control number that is printed on your proxy card to enter the Special Meeting. If you do not have your 12-digit meeting control number, contact CST at 917-262-2373 or e-mail CST at proxy@continentalstock.com. Please note that you will not be able to physically attend the special meeting in person, but may attend the Special Meeting online by following the instructions below.</w:t>
      </w:r>
    </w:p>
    <w:p>
      <w:pPr>
        <w:spacing w:after="0" w:line="121"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You can pre-register to attend the Special Meeting online starting, 2021. Enter the URL address into your browser, and enter your 12-digit meeting control number, name and email address. Once you pre-register you can vote or enter questions in the chat box. Prior to or at the start of the Special Meeting you will need to re-log in using your 12-digit meeting control number and will also be prompted to enter your 12-digit meeting control number if you vote online during the Special Meeting. FS Development recommends that you log in at least 15 minutes before the Special Meeting to ensure you are logged in when the Special Meeting starts.</w:t>
      </w:r>
    </w:p>
    <w:p>
      <w:pPr>
        <w:spacing w:after="0" w:line="121"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you may attend the Special Meeting. You will need to contact CST at the number or email address above, to receive a 12-digit meeting control number and gain access to the Special Meeting or otherwise contact your broker, bank, or other nominee as soon as possible, to do so. Please allow up to 72 hours prior to the Special Meeting for processing your 12-digit meeting control number.</w:t>
      </w:r>
    </w:p>
    <w:p>
      <w:pPr>
        <w:spacing w:after="0" w:line="102" w:lineRule="exact"/>
        <w:rPr>
          <w:sz w:val="20"/>
          <w:szCs w:val="20"/>
          <w:color w:val="auto"/>
        </w:rPr>
      </w:pPr>
    </w:p>
    <w:p>
      <w:pPr>
        <w:ind w:left="880"/>
        <w:spacing w:after="0"/>
        <w:tabs>
          <w:tab w:leader="none" w:pos="8480" w:val="left"/>
        </w:tabs>
        <w:rPr>
          <w:sz w:val="20"/>
          <w:szCs w:val="20"/>
          <w:color w:val="auto"/>
        </w:rPr>
      </w:pPr>
      <w:r>
        <w:rPr>
          <w:rFonts w:ascii="Times New Roman" w:cs="Times New Roman" w:eastAsia="Times New Roman" w:hAnsi="Times New Roman"/>
          <w:sz w:val="18"/>
          <w:szCs w:val="18"/>
          <w:color w:val="auto"/>
        </w:rPr>
        <w:t>If you do not have Internet capabilities, you can listen only to the Special Meeting by dialing</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880"/>
        <w:spacing w:after="0"/>
        <w:tabs>
          <w:tab w:leader="none" w:pos="3680" w:val="left"/>
        </w:tabs>
        <w:rPr>
          <w:sz w:val="20"/>
          <w:szCs w:val="20"/>
          <w:color w:val="auto"/>
        </w:rPr>
      </w:pPr>
      <w:r>
        <w:rPr>
          <w:rFonts w:ascii="Times New Roman" w:cs="Times New Roman" w:eastAsia="Times New Roman" w:hAnsi="Times New Roman"/>
          <w:sz w:val="18"/>
          <w:szCs w:val="18"/>
          <w:color w:val="auto"/>
        </w:rPr>
        <w:t>when prompted enter the pin #</w:t>
      </w:r>
      <w:r>
        <w:rPr>
          <w:sz w:val="20"/>
          <w:szCs w:val="20"/>
          <w:color w:val="auto"/>
        </w:rPr>
        <w:tab/>
      </w:r>
      <w:r>
        <w:rPr>
          <w:rFonts w:ascii="Times New Roman" w:cs="Times New Roman" w:eastAsia="Times New Roman" w:hAnsi="Times New Roman"/>
          <w:sz w:val="18"/>
          <w:szCs w:val="18"/>
          <w:color w:val="auto"/>
        </w:rPr>
        <w:t>. This is listen only, you will not be able to vote or enter questions</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during the Special Meeting.</w:t>
      </w:r>
    </w:p>
    <w:p>
      <w:pPr>
        <w:spacing w:after="0" w:line="135" w:lineRule="exact"/>
        <w:rPr>
          <w:sz w:val="20"/>
          <w:szCs w:val="20"/>
          <w:color w:val="auto"/>
        </w:rPr>
      </w:pPr>
    </w:p>
    <w:p>
      <w:pPr>
        <w:ind w:left="880" w:hanging="426"/>
        <w:spacing w:after="0"/>
        <w:tabs>
          <w:tab w:leader="none" w:pos="8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instead?</w:t>
      </w:r>
    </w:p>
    <w:p>
      <w:pPr>
        <w:spacing w:after="0" w:line="162" w:lineRule="exact"/>
        <w:rPr>
          <w:sz w:val="20"/>
          <w:szCs w:val="20"/>
          <w:color w:val="auto"/>
        </w:rPr>
      </w:pPr>
    </w:p>
    <w:p>
      <w:pPr>
        <w:jc w:val="both"/>
        <w:ind w:left="880" w:right="479" w:hanging="426"/>
        <w:spacing w:after="0" w:line="266" w:lineRule="auto"/>
        <w:tabs>
          <w:tab w:leader="none" w:pos="11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or not, please read the enclosed proxy statement/prospectus carefully, and vote your shares by completing, signing, dating and returning the enclosed proxy card in the postage-paid envelope provided.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 xml:space="preserve">In order to exercise your redemption rights, you must properly demand redemption and deliver your shares (either physically or electronically) to our transfer agent at least two business days prior to the Special Meeting. See “— </w:t>
      </w:r>
      <w:r>
        <w:rPr>
          <w:rFonts w:ascii="Times New Roman" w:cs="Times New Roman" w:eastAsia="Times New Roman" w:hAnsi="Times New Roman"/>
          <w:sz w:val="18"/>
          <w:szCs w:val="18"/>
          <w:i w:val="1"/>
          <w:iCs w:val="1"/>
          <w:color w:val="auto"/>
        </w:rPr>
        <w:t>How do I exercise my redemption rights</w:t>
      </w:r>
      <w:r>
        <w:rPr>
          <w:rFonts w:ascii="Times New Roman" w:cs="Times New Roman" w:eastAsia="Times New Roman" w:hAnsi="Times New Roman"/>
          <w:sz w:val="18"/>
          <w:szCs w:val="18"/>
          <w:color w:val="auto"/>
        </w:rPr>
        <w:t>” above.</w:t>
      </w:r>
    </w:p>
    <w:p>
      <w:pPr>
        <w:spacing w:after="0" w:line="104" w:lineRule="exact"/>
        <w:rPr>
          <w:sz w:val="20"/>
          <w:szCs w:val="20"/>
          <w:color w:val="auto"/>
        </w:rPr>
      </w:pPr>
    </w:p>
    <w:p>
      <w:pPr>
        <w:ind w:left="880" w:hanging="426"/>
        <w:spacing w:after="0"/>
        <w:tabs>
          <w:tab w:leader="none" w:pos="8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mailed my signed proxy card?</w:t>
      </w:r>
    </w:p>
    <w:p>
      <w:pPr>
        <w:spacing w:after="0" w:line="162" w:lineRule="exact"/>
        <w:rPr>
          <w:sz w:val="20"/>
          <w:szCs w:val="20"/>
          <w:color w:val="auto"/>
        </w:rPr>
      </w:pPr>
    </w:p>
    <w:p>
      <w:pPr>
        <w:jc w:val="both"/>
        <w:ind w:left="880" w:right="459" w:hanging="426"/>
        <w:spacing w:after="0" w:line="266" w:lineRule="auto"/>
        <w:tabs>
          <w:tab w:leader="none" w:pos="8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stockholder of record of FS Development Common Stock as of the close of business on the Record Date, you can change or revoke your proxy before it is voted at the meeting in one of the following ways:</w:t>
      </w:r>
    </w:p>
    <w:p>
      <w:pPr>
        <w:spacing w:after="0" w:line="94"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of your revocation to FS Development’s Corporate Secretary, which notice must be received by FS Development’s Corporate Secretary prior to the vote at the Special Meeting; or</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81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electronically at the Special Meeting by visiting and entering the control number found on your proxy card, voting instruction form or notice you previously received. Please note that your attendance at the Special Meeting will not alone serve to revoke your proxy.</w:t>
      </w:r>
    </w:p>
    <w:p>
      <w:pPr>
        <w:spacing w:after="0" w:line="95"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104" w:lineRule="exact"/>
        <w:rPr>
          <w:sz w:val="20"/>
          <w:szCs w:val="20"/>
          <w:color w:val="auto"/>
        </w:rPr>
      </w:pPr>
    </w:p>
    <w:p>
      <w:pPr>
        <w:ind w:left="880" w:hanging="426"/>
        <w:spacing w:after="0"/>
        <w:tabs>
          <w:tab w:leader="none" w:pos="8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62" w:lineRule="exact"/>
        <w:rPr>
          <w:sz w:val="20"/>
          <w:szCs w:val="20"/>
          <w:color w:val="auto"/>
        </w:rPr>
      </w:pPr>
    </w:p>
    <w:p>
      <w:pPr>
        <w:jc w:val="both"/>
        <w:ind w:left="880" w:right="459" w:hanging="426"/>
        <w:spacing w:after="0" w:line="255" w:lineRule="auto"/>
        <w:tabs>
          <w:tab w:leader="none" w:pos="106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04" w:lineRule="exact"/>
        <w:rPr>
          <w:sz w:val="20"/>
          <w:szCs w:val="20"/>
          <w:color w:val="auto"/>
        </w:rPr>
      </w:pPr>
    </w:p>
    <w:p>
      <w:pPr>
        <w:ind w:left="880" w:hanging="426"/>
        <w:spacing w:after="0"/>
        <w:tabs>
          <w:tab w:leader="none" w:pos="8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62" w:lineRule="exact"/>
        <w:rPr>
          <w:sz w:val="20"/>
          <w:szCs w:val="20"/>
          <w:color w:val="auto"/>
        </w:rPr>
      </w:pPr>
    </w:p>
    <w:p>
      <w:pPr>
        <w:jc w:val="both"/>
        <w:ind w:left="880" w:right="459" w:hanging="426"/>
        <w:spacing w:after="0" w:line="253" w:lineRule="auto"/>
        <w:tabs>
          <w:tab w:leader="none" w:pos="96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will pay the cost of soliciting proxies for the Special Meeting. FS Development has engaged Morrow Sodali LLC, which we refer to as “Morrow Sodali LLC,” to assist in the solicitation of proxies for the Special Meeting. FS Development has agreed to pay Morrow Sodali LLC a fee of $22,500, plus disbursements. FS Development will reimburse Morrow Sodali LLC for reasonable out-of-pocket expenses and will indemnify Morrow Sodali LLC and its affiliates against certain claims, liabilities, losses, damages and expenses. FS Development will also reimburse banks, brokers and other custodians, nominees and fiduciaries representing beneficial owners of shares of FS Development Common Stock for their expenses in forwarding soliciting materials to beneficial owners of the FS Development Common Stock and in obtaining voting instructions from those owners. FS Development’s directors, officers and employees may also solicit proxies by telephone, by facsimile, by mail, on the Internet or in person. They will not be paid any additional amounts for soliciting proxies.</w:t>
      </w:r>
    </w:p>
    <w:p>
      <w:pPr>
        <w:spacing w:after="0" w:line="120" w:lineRule="exact"/>
        <w:rPr>
          <w:sz w:val="20"/>
          <w:szCs w:val="20"/>
          <w:color w:val="auto"/>
        </w:rPr>
      </w:pPr>
    </w:p>
    <w:p>
      <w:pPr>
        <w:ind w:left="880" w:right="479" w:hanging="426"/>
        <w:spacing w:after="0" w:line="286" w:lineRule="auto"/>
        <w:tabs>
          <w:tab w:leader="none" w:pos="886"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that I should consider as a FS Development stockholder in deciding how to vote or whether to exercise my redemption rights?</w:t>
      </w:r>
    </w:p>
    <w:p>
      <w:pPr>
        <w:spacing w:after="0" w:line="76" w:lineRule="exact"/>
        <w:rPr>
          <w:sz w:val="20"/>
          <w:szCs w:val="20"/>
          <w:color w:val="auto"/>
        </w:rPr>
      </w:pPr>
    </w:p>
    <w:p>
      <w:pPr>
        <w:ind w:left="880" w:right="479" w:hanging="426"/>
        <w:spacing w:after="0" w:line="284" w:lineRule="auto"/>
        <w:tabs>
          <w:tab w:leader="none" w:pos="85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should read and carefully consider the risk factors set forth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proxy statement/prospectus.</w:t>
      </w:r>
    </w:p>
    <w:p>
      <w:pPr>
        <w:spacing w:after="0" w:line="89" w:lineRule="exact"/>
        <w:rPr>
          <w:sz w:val="20"/>
          <w:szCs w:val="20"/>
          <w:color w:val="auto"/>
        </w:rPr>
      </w:pPr>
    </w:p>
    <w:p>
      <w:pPr>
        <w:ind w:left="880" w:hanging="426"/>
        <w:spacing w:after="0"/>
        <w:tabs>
          <w:tab w:leader="none" w:pos="88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62" w:lineRule="exact"/>
        <w:rPr>
          <w:sz w:val="20"/>
          <w:szCs w:val="20"/>
          <w:color w:val="auto"/>
        </w:rPr>
      </w:pPr>
    </w:p>
    <w:p>
      <w:pPr>
        <w:ind w:left="880" w:right="479" w:hanging="426"/>
        <w:spacing w:after="0" w:line="282" w:lineRule="auto"/>
        <w:tabs>
          <w:tab w:leader="none" w:pos="120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statement/prospectus or the enclosed proxy card, please call us at (415) 877-4887.</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You may also contact our proxy solicitor at: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Morrow Sodali LLC,</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Individuals call toll-free (800) 662-5200</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Banks and brokers call (203) 658-9400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FSDC.info@investor.morrowsodali.com</w:t>
      </w:r>
    </w:p>
    <w:p>
      <w:pPr>
        <w:spacing w:after="0" w:line="126"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To obtain timely delivery, FS Development stockholders must request the materials no later than five (5) business days prior to the Special Meeting.</w:t>
      </w:r>
    </w:p>
    <w:p>
      <w:pPr>
        <w:spacing w:after="0" w:line="94"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FS Development from documents filed with the SEC by following the instructions in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 xml:space="preserve">If you intend to seek redemption of your Public Shares, you will need to send a letter demanding redemption and deliver your stock (either physically or electronically) to FS Development’s transfer agent prior to the Special Meeting in accordance with the procedures detailed under the question “— </w:t>
      </w:r>
      <w:r>
        <w:rPr>
          <w:rFonts w:ascii="Times New Roman" w:cs="Times New Roman" w:eastAsia="Times New Roman" w:hAnsi="Times New Roman"/>
          <w:sz w:val="18"/>
          <w:szCs w:val="18"/>
          <w:i w:val="1"/>
          <w:iCs w:val="1"/>
          <w:color w:val="auto"/>
        </w:rPr>
        <w:t>How do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exercise my redemption rights</w:t>
      </w:r>
      <w:r>
        <w:rPr>
          <w:rFonts w:ascii="Times New Roman" w:cs="Times New Roman" w:eastAsia="Times New Roman" w:hAnsi="Times New Roman"/>
          <w:sz w:val="18"/>
          <w:szCs w:val="18"/>
          <w:color w:val="auto"/>
        </w:rPr>
        <w:t>” If you have questions regarding the certification of your position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your stock, please contact:</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One State Street Plaza,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88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05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1051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PROXY STATEMENT/PROSPECTUS</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together with the section titled, “Questions and Answers About the Proposals” summarizes certain information contained in this proxy statement/prospectus and may not contain all of the information that is important to you. To better understand the Business Combination and the Proposals to be considered at the Special Meeting, you should read this entire proxy statement/prospectus carefully, including the annexes. See also the section titled “Where You Can Find More Information.”</w:t>
      </w:r>
    </w:p>
    <w:p>
      <w:pPr>
        <w:spacing w:after="0" w:line="89"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Summary of the Proxy Statement/Prospectus to the “Combined Entity” refer to FS Development and its consolidated subsidiaries after giving effect to the Business Combination. References to the “Company,” “FS Development”, “we”, “us” or “our” generally refer to FS Development Corp.</w:t>
      </w:r>
    </w:p>
    <w:p>
      <w:pPr>
        <w:spacing w:after="0" w:line="99"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specified, all share calculations assume no exercise of redemption rights by the Company’s public stockholders.</w:t>
      </w:r>
    </w:p>
    <w:p>
      <w:pPr>
        <w:spacing w:after="0" w:line="1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FS Development Corp.</w:t>
      </w:r>
    </w:p>
    <w:p>
      <w:pPr>
        <w:spacing w:after="0" w:line="14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 Development is a blank check company incorporated on June 25, 2020 as a Delaware corporation for the purpose of effecting a merger, capital stock exchange, asset acquisition, stock purchase, reorganization or similar business combination involving FS Development and one or more businesses. Upon the Closing, we intend to change our name from “FS Development Corp.” to “Gemini Therapeutics, Inc.”</w:t>
      </w:r>
    </w:p>
    <w:p>
      <w:pPr>
        <w:spacing w:after="0" w:line="11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600 Montgomery Street, Suite 4500, San Francisco, CA 94111.</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Merger Sub</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FSG Merger Sub, Inc. is a Delaware corporation and wholly-owned subsidiary of FS Development, which was formed on October 9, 2020 to consummate the Business Combination. Following the Business Combination, Gemini will merge with Merger Sub with Gemini surviving the merger. As a result, Gemini will become a wholly-owned subsidiary of the Combined Entity.</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Gemini Therapeutics, Inc.</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Gemini is a clinical-stage precision medicine company developing novel therapeutic compounds to treat genetically defined, AMD. Its lead candidate, GEM103, is a recombinant form of the CFH and is designed to address both complement hyperactivity and restore retinal health. Variations in the gene that encodes CFH strongly correlate with an increased risk for developing AMD.</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Below is a summary of Gemini’s product candidate pipeline as of November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In the table above, IND enabled means Gemini has completed the necessary nonclinical studies, including without limitation absorption, distribution, metabolism, and excretion, or ADME and toxicology, as well as formulation and manufacturing development necessary to seek the permission of regulatory authorities to begin human clinical testing.</w:t>
      </w:r>
    </w:p>
    <w:p>
      <w:pPr>
        <w:spacing w:after="0" w:line="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additional information about Gemini, see the section titled “</w:t>
      </w:r>
      <w:r>
        <w:rPr>
          <w:rFonts w:ascii="Times New Roman" w:cs="Times New Roman" w:eastAsia="Times New Roman" w:hAnsi="Times New Roman"/>
          <w:sz w:val="18"/>
          <w:szCs w:val="18"/>
          <w:i w:val="1"/>
          <w:iCs w:val="1"/>
          <w:color w:val="auto"/>
        </w:rPr>
        <w:t>Information about Gemini</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019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770191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Proposals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Business Combination Proposal</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FS Development and Gemini have agreed to a Business Combination under the terms of the Merger Agreement. Pursuant to the terms and subject to the conditions set forth in the Merger Agreement, at the Closing, Merger Sub will merge with and into Gemini, with Gemini continuing as the surviving entity and becoming a wholly-owned subsidiary of FS Development. See the section 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The Merger Agreement</w:t>
      </w:r>
    </w:p>
    <w:p>
      <w:pPr>
        <w:spacing w:after="0" w:line="146"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by and among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Upon the Closing, it is anticipated that FS Development will change its name to “Gemini Therapeutics, Inc.”</w:t>
      </w:r>
    </w:p>
    <w:p>
      <w:pPr>
        <w:spacing w:after="0" w:line="116"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Under the Merger Agreement, FS Development has agreed to acquire all of the outstanding equity interests of Gemini in exchange for up to 21,500,000 shares of FS Development Class A Common Stock,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Acquisition of Gemini; Merger Consideration”</w:t>
      </w:r>
      <w:r>
        <w:rPr>
          <w:rFonts w:ascii="Times New Roman" w:cs="Times New Roman" w:eastAsia="Times New Roman" w:hAnsi="Times New Roman"/>
          <w:sz w:val="18"/>
          <w:szCs w:val="18"/>
          <w:color w:val="auto"/>
        </w:rPr>
        <w:t>, to be paid at the Effective Time.</w:t>
      </w:r>
    </w:p>
    <w:p>
      <w:pPr>
        <w:spacing w:after="0" w:line="11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or prior to the Effective Time, each option exercisable for Gemini equity that is outstanding immediately prior to the Effective Time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of FS Development Class A Common Stock to be placed into escrow for indemnification purposes, as further described in the Merger Agreement.</w:t>
      </w:r>
    </w:p>
    <w:p>
      <w:pPr>
        <w:spacing w:after="0" w:line="10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For additional information and a summary of the terms of the Merger Agreement and the other agreements executed, or to be executed, in connection with the Business Combination, see the sections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The Business Combination Proposal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Ancillary Agreements Related to the Business Combination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116" w:lineRule="exact"/>
        <w:rPr>
          <w:sz w:val="20"/>
          <w:szCs w:val="20"/>
          <w:color w:val="auto"/>
        </w:rPr>
      </w:pPr>
    </w:p>
    <w:p>
      <w:pPr>
        <w:ind w:left="1400" w:right="559" w:hanging="424"/>
        <w:spacing w:after="0" w:line="282" w:lineRule="auto"/>
        <w:tabs>
          <w:tab w:leader="none" w:pos="144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Jean George and Dr. Carl Gordon, and their terms will expire at the annual meeting of stockholders to be held in 2021;</w:t>
      </w:r>
    </w:p>
    <w:p>
      <w:pPr>
        <w:spacing w:after="0" w:line="80"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47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David Lubner, Dr. Tuyen Ong, and Jason Rhodes, and their terms will expire at the annual meeting of stockholders to be held in 2022; and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5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Jason Meyenburg and Dr. Jim Tananbaum, and their terms will expire at the annual meeting of stockholders to be held in 2023.</w:t>
      </w:r>
    </w:p>
    <w:p>
      <w:pPr>
        <w:spacing w:after="0" w:line="94"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13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811339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Board’s Reasons for the Business Combination</w:t>
      </w:r>
    </w:p>
    <w:p>
      <w:pPr>
        <w:spacing w:after="0" w:line="160" w:lineRule="exact"/>
        <w:rPr>
          <w:sz w:val="20"/>
          <w:szCs w:val="20"/>
          <w:color w:val="auto"/>
        </w:rPr>
      </w:pPr>
    </w:p>
    <w:p>
      <w:pPr>
        <w:jc w:val="both"/>
        <w:ind w:left="540" w:right="559"/>
        <w:spacing w:after="0" w:line="281" w:lineRule="auto"/>
        <w:rPr>
          <w:sz w:val="20"/>
          <w:szCs w:val="20"/>
          <w:color w:val="auto"/>
        </w:rPr>
      </w:pPr>
      <w:r>
        <w:rPr>
          <w:rFonts w:ascii="Times New Roman" w:cs="Times New Roman" w:eastAsia="Times New Roman" w:hAnsi="Times New Roman"/>
          <w:sz w:val="17"/>
          <w:szCs w:val="17"/>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pacing w:after="0" w:line="97"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In particular, the Board considered the following positive factors, although not weighted or in any order of significance:</w:t>
      </w:r>
    </w:p>
    <w:p>
      <w:pPr>
        <w:spacing w:after="0" w:line="77" w:lineRule="exact"/>
        <w:rPr>
          <w:sz w:val="20"/>
          <w:szCs w:val="20"/>
          <w:color w:val="auto"/>
        </w:rPr>
      </w:pPr>
    </w:p>
    <w:p>
      <w:pPr>
        <w:jc w:val="both"/>
        <w:ind w:left="1400" w:right="559" w:hanging="424"/>
        <w:spacing w:after="0" w:line="254" w:lineRule="auto"/>
        <w:tabs>
          <w:tab w:leader="none" w:pos="152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Pioneering precision medicine approach targeting trial enrichment with genetically-defined patients. </w:t>
      </w:r>
      <w:r>
        <w:rPr>
          <w:rFonts w:ascii="Times New Roman" w:cs="Times New Roman" w:eastAsia="Times New Roman" w:hAnsi="Times New Roman"/>
          <w:sz w:val="18"/>
          <w:szCs w:val="18"/>
          <w:color w:val="auto"/>
        </w:rPr>
        <w:t>Gemini’s lead program, GEM103, targets a genetically-defined subset of age-related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macular degeneration (“</w:t>
      </w:r>
      <w:r>
        <w:rPr>
          <w:rFonts w:ascii="Times New Roman" w:cs="Times New Roman" w:eastAsia="Times New Roman" w:hAnsi="Times New Roman"/>
          <w:sz w:val="18"/>
          <w:szCs w:val="18"/>
          <w:b w:val="1"/>
          <w:bCs w:val="1"/>
          <w:color w:val="auto"/>
        </w:rPr>
        <w:t>AMD</w:t>
      </w:r>
      <w:r>
        <w:rPr>
          <w:rFonts w:ascii="Times New Roman" w:cs="Times New Roman" w:eastAsia="Times New Roman" w:hAnsi="Times New Roman"/>
          <w:sz w:val="18"/>
          <w:szCs w:val="18"/>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Supporting Phase 1 study data in advanced dry AMD patients. </w:t>
      </w:r>
      <w:r>
        <w:rPr>
          <w:rFonts w:ascii="Times New Roman" w:cs="Times New Roman" w:eastAsia="Times New Roman" w:hAnsi="Times New Roman"/>
          <w:sz w:val="18"/>
          <w:szCs w:val="18"/>
          <w:color w:val="auto"/>
        </w:rPr>
        <w:t>Gemini conducted a single-ascending dose Phase 1 study to assess the safety of GEM103 in advanced dry AMD patients. In Gemini’s Phase 1 study, GEM103 was well tolerated, with no adverse drug reactions, no ocular inflammation, no anti-drug antibodies, and no dose-limiting toxicities, when dosed up to 500 micrograms as a single intravitreal dose. In addition, the Phase 1 study data supported the mechanism of action of the product candidate in the ocular compartment, as evidenced by sustained supraphysiological CFH levels, and apparent reductions in a pro-inflammatory biomarker related to complement activation in several subjects. The data from this Phase 1 study provided Gemini with a rationale for commencing its ongoing Phase 2a trial of GEM103.</w:t>
      </w:r>
    </w:p>
    <w:p>
      <w:pPr>
        <w:spacing w:after="0" w:line="120"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44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Vast market opportunity in dry AMD. </w:t>
      </w:r>
      <w:r>
        <w:rPr>
          <w:rFonts w:ascii="Times New Roman" w:cs="Times New Roman" w:eastAsia="Times New Roman" w:hAnsi="Times New Roman"/>
          <w:sz w:val="18"/>
          <w:szCs w:val="18"/>
          <w:color w:val="auto"/>
        </w:rPr>
        <w:t>Third-party reports indicate there are approximately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to address an area of high unmet medical need. </w:t>
      </w:r>
      <w:r>
        <w:rPr>
          <w:rFonts w:ascii="Times New Roman" w:cs="Times New Roman" w:eastAsia="Times New Roman" w:hAnsi="Times New Roman"/>
          <w:sz w:val="18"/>
          <w:szCs w:val="18"/>
          <w:color w:val="auto"/>
        </w:rPr>
        <w:t>Dry AMD, Gemini’s lead indication,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114"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49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screening. </w:t>
      </w:r>
      <w:r>
        <w:rPr>
          <w:rFonts w:ascii="Times New Roman" w:cs="Times New Roman" w:eastAsia="Times New Roman" w:hAnsi="Times New Roman"/>
          <w:sz w:val="18"/>
          <w:szCs w:val="18"/>
          <w:color w:val="auto"/>
        </w:rPr>
        <w:t>Gemini has a proprietary genetic screening process that enables it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genetically-defined dry AMD patients who may be most likely to benefit from GEM103. The Board believes this proprietary approach provides a competitive advantage to Gemini.</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58" w:val="left"/>
        </w:tabs>
        <w:numPr>
          <w:ilvl w:val="0"/>
          <w:numId w:val="9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Multiple pipeline opportunities led by a Phase 2a clinical stage program. </w:t>
      </w:r>
      <w:r>
        <w:rPr>
          <w:rFonts w:ascii="Times New Roman" w:cs="Times New Roman" w:eastAsia="Times New Roman" w:hAnsi="Times New Roman"/>
          <w:sz w:val="18"/>
          <w:szCs w:val="18"/>
          <w:color w:val="auto"/>
        </w:rPr>
        <w:t>Gemini’s pipeline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multiple programs that include lead clinical candidate GEM103 in both dry and wet AMD, plus additional programs in AMD, plus one preclinical program in a systemic renal indication. The Board believes that the data generated in Gemini’s Phase 1 study of GEM103 demonstrate sustained supraphysiologic concentrations of CFH in aqueous humor, supporting further clinical development dry AMD. Future demonstration of efficacy and safety in dry AMD, could ultimately lead to market confidence in Gemini’s precision approach and its expansion into commercial opportunities in patients with more complex AMD disease, including anti-vascular endothelial growth factor (“</w:t>
      </w:r>
      <w:r>
        <w:rPr>
          <w:rFonts w:ascii="Times New Roman" w:cs="Times New Roman" w:eastAsia="Times New Roman" w:hAnsi="Times New Roman"/>
          <w:sz w:val="18"/>
          <w:szCs w:val="18"/>
          <w:b w:val="1"/>
          <w:bCs w:val="1"/>
          <w:color w:val="auto"/>
        </w:rPr>
        <w:t>anti-VEGF</w:t>
      </w:r>
      <w:r>
        <w:rPr>
          <w:rFonts w:ascii="Times New Roman" w:cs="Times New Roman" w:eastAsia="Times New Roman" w:hAnsi="Times New Roman"/>
          <w:sz w:val="18"/>
          <w:szCs w:val="18"/>
          <w:color w:val="auto"/>
        </w:rPr>
        <w:t>”) treated wet AMD with concomitant geographic atrophy.</w:t>
      </w:r>
    </w:p>
    <w:p>
      <w:pPr>
        <w:sectPr>
          <w:pgSz w:w="11900" w:h="16838" w:orient="portrait"/>
          <w:cols w:equalWidth="0" w:num="1">
            <w:col w:w="9019"/>
          </w:cols>
          <w:pgMar w:left="1440" w:top="270" w:right="1440" w:bottom="1440" w:gutter="0" w:footer="0" w:header="0"/>
          <w:type w:val="continuous"/>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39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7839075"/>
                    </a:xfrm>
                    <a:prstGeom prst="rect">
                      <a:avLst/>
                    </a:prstGeom>
                    <a:noFill/>
                  </pic:spPr>
                </pic:pic>
              </a:graphicData>
            </a:graphic>
          </wp:anchor>
        </w:drawing>
      </w:r>
    </w:p>
    <w:p>
      <w:pPr>
        <w:spacing w:after="0" w:line="323" w:lineRule="exact"/>
        <w:rPr>
          <w:sz w:val="20"/>
          <w:szCs w:val="20"/>
          <w:color w:val="auto"/>
        </w:rPr>
      </w:pPr>
    </w:p>
    <w:p>
      <w:pPr>
        <w:jc w:val="both"/>
        <w:ind w:left="1400" w:right="559" w:hanging="424"/>
        <w:spacing w:after="0" w:line="259" w:lineRule="auto"/>
        <w:tabs>
          <w:tab w:leader="none" w:pos="1404" w:val="left"/>
        </w:tabs>
        <w:numPr>
          <w:ilvl w:val="0"/>
          <w:numId w:val="9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Diversified risk profile from multimodality approach. </w:t>
      </w:r>
      <w:r>
        <w:rPr>
          <w:rFonts w:ascii="Times New Roman" w:cs="Times New Roman" w:eastAsia="Times New Roman" w:hAnsi="Times New Roman"/>
          <w:sz w:val="18"/>
          <w:szCs w:val="18"/>
          <w:color w:val="auto"/>
        </w:rPr>
        <w:t>Gemini’s therapeutic candidates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recombinant proteins, adeno-associated virus — (“</w:t>
      </w:r>
      <w:r>
        <w:rPr>
          <w:rFonts w:ascii="Times New Roman" w:cs="Times New Roman" w:eastAsia="Times New Roman" w:hAnsi="Times New Roman"/>
          <w:sz w:val="18"/>
          <w:szCs w:val="18"/>
          <w:b w:val="1"/>
          <w:bCs w:val="1"/>
          <w:color w:val="auto"/>
        </w:rPr>
        <w:t>AAV</w:t>
      </w:r>
      <w:r>
        <w:rPr>
          <w:rFonts w:ascii="Times New Roman" w:cs="Times New Roman" w:eastAsia="Times New Roman" w:hAnsi="Times New Roman"/>
          <w:sz w:val="18"/>
          <w:szCs w:val="18"/>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111" w:lineRule="exact"/>
        <w:rPr>
          <w:rFonts w:ascii="Times New Roman" w:cs="Times New Roman" w:eastAsia="Times New Roman" w:hAnsi="Times New Roman"/>
          <w:sz w:val="18"/>
          <w:szCs w:val="18"/>
          <w:b w:val="1"/>
          <w:bCs w:val="1"/>
          <w:i w:val="1"/>
          <w:iCs w:val="1"/>
          <w:color w:val="auto"/>
        </w:rPr>
      </w:pPr>
    </w:p>
    <w:p>
      <w:pPr>
        <w:jc w:val="both"/>
        <w:ind w:left="1400" w:right="559" w:hanging="424"/>
        <w:spacing w:after="0" w:line="255" w:lineRule="auto"/>
        <w:tabs>
          <w:tab w:leader="none" w:pos="15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Near-term catalysts. </w:t>
      </w:r>
      <w:r>
        <w:rPr>
          <w:rFonts w:ascii="Times New Roman" w:cs="Times New Roman" w:eastAsia="Times New Roman" w:hAnsi="Times New Roman"/>
          <w:sz w:val="18"/>
          <w:szCs w:val="18"/>
          <w:color w:val="auto"/>
        </w:rPr>
        <w:t>Gemini has initiated a Phase 2a trial of GEM103 in dry AMD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anticipates multiple dose clinical safety, tolerability and exploratory biomarker data in the first half of 2021. In addition, Gemini is currently conducting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103" w:lineRule="exact"/>
        <w:rPr>
          <w:rFonts w:ascii="Times New Roman" w:cs="Times New Roman" w:eastAsia="Times New Roman" w:hAnsi="Times New Roman"/>
          <w:sz w:val="18"/>
          <w:szCs w:val="18"/>
          <w:color w:val="auto"/>
        </w:rPr>
      </w:pPr>
    </w:p>
    <w:p>
      <w:pPr>
        <w:ind w:left="1400" w:right="559" w:hanging="424"/>
        <w:spacing w:after="0" w:line="286" w:lineRule="auto"/>
        <w:tabs>
          <w:tab w:leader="none" w:pos="139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The Board believes that Gemini has a proven and experienced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that will effectively lead the company after the Business Combination.</w:t>
      </w:r>
    </w:p>
    <w:p>
      <w:pPr>
        <w:spacing w:after="0" w:line="87"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51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Backed by top-tier healthcare investors. </w:t>
      </w:r>
      <w:r>
        <w:rPr>
          <w:rFonts w:ascii="Times New Roman" w:cs="Times New Roman" w:eastAsia="Times New Roman" w:hAnsi="Times New Roman"/>
          <w:sz w:val="18"/>
          <w:szCs w:val="18"/>
          <w:color w:val="auto"/>
        </w:rPr>
        <w:t>Gemini’s existing investors include Atlas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Lightstone Ventures, OrbiMed, and Wu Capital, which the Board believes provides additional validation to Gemini’s clinical and business strategies.</w:t>
      </w:r>
    </w:p>
    <w:p>
      <w:pPr>
        <w:spacing w:after="0" w:line="103"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60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analysis conducted by FS Development. </w:t>
      </w:r>
      <w:r>
        <w:rPr>
          <w:rFonts w:ascii="Times New Roman" w:cs="Times New Roman" w:eastAsia="Times New Roman" w:hAnsi="Times New Roman"/>
          <w:sz w:val="18"/>
          <w:szCs w:val="18"/>
          <w:color w:val="auto"/>
        </w:rPr>
        <w:t>The financial analysis conducted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FS Development’s management team and reviewed by the Board supported the equity valuation of Gemini.</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46"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Equityholders comprising a relative majority of the voting power of the Combined Entity, Gemini’s operations prior to the Merger comprising the only ongoing operations of the Combined Entity, and Gemini’s senior management comprising the senior management of the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Dissenter Rights</w:t>
      </w:r>
    </w:p>
    <w:p>
      <w:pPr>
        <w:spacing w:after="0" w:line="160"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Dissenter rights are not available to FS Development stockholders in connection with the Business Combination.</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Impact of the Business Combination on FS Development’s Public Float</w:t>
      </w:r>
    </w:p>
    <w:p>
      <w:pPr>
        <w:spacing w:after="0" w:line="160"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the FS Development’s existing stockholders in the Combined Entity will be different.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71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9271000"/>
                    </a:xfrm>
                    <a:prstGeom prst="rect">
                      <a:avLst/>
                    </a:prstGeom>
                    <a:noFill/>
                  </pic:spPr>
                </pic:pic>
              </a:graphicData>
            </a:graphic>
          </wp:anchor>
        </w:drawing>
      </w:r>
    </w:p>
    <w:p>
      <w:pPr>
        <w:sectPr>
          <w:pgSz w:w="11900" w:h="16838" w:orient="portrait"/>
          <w:cols w:equalWidth="0" w:num="1">
            <w:col w:w="9019"/>
          </w:cols>
          <w:pgMar w:left="1440" w:top="270" w:right="1440" w:bottom="812" w:gutter="0" w:footer="0" w:header="0"/>
        </w:sectPr>
      </w:pPr>
    </w:p>
    <w:p>
      <w:pPr>
        <w:spacing w:after="0" w:line="35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following tables illustrate varying ownership levels in FS Development assuming the factors mentioned above:</w:t>
      </w:r>
    </w:p>
    <w:p>
      <w:pPr>
        <w:spacing w:after="0" w:line="124"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12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No redemption</w:t>
            </w:r>
          </w:p>
        </w:tc>
        <w:tc>
          <w:tcPr>
            <w:tcW w:w="21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212"/>
        </w:trPr>
        <w:tc>
          <w:tcPr>
            <w:tcW w:w="3660" w:type="dxa"/>
            <w:vAlign w:val="bottom"/>
          </w:tcPr>
          <w:p>
            <w:pPr>
              <w:spacing w:after="0"/>
              <w:rPr>
                <w:sz w:val="18"/>
                <w:szCs w:val="18"/>
                <w:color w:val="auto"/>
              </w:rPr>
            </w:pPr>
          </w:p>
        </w:tc>
        <w:tc>
          <w:tcPr>
            <w:tcW w:w="1360" w:type="dxa"/>
            <w:vAlign w:val="bottom"/>
            <w:gridSpan w:val="3"/>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3"/>
          </w:tcPr>
          <w:p>
            <w:pPr>
              <w:jc w:val="center"/>
              <w:ind w:left="61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6"/>
        </w:trPr>
        <w:tc>
          <w:tcPr>
            <w:tcW w:w="3660" w:type="dxa"/>
            <w:vAlign w:val="bottom"/>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1"/>
        </w:trPr>
        <w:tc>
          <w:tcPr>
            <w:tcW w:w="3660" w:type="dxa"/>
            <w:vAlign w:val="bottom"/>
          </w:tcPr>
          <w:p>
            <w:pPr>
              <w:spacing w:after="0"/>
              <w:rPr>
                <w:sz w:val="20"/>
                <w:szCs w:val="20"/>
                <w:color w:val="auto"/>
              </w:rPr>
            </w:pP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p>
        </w:tc>
      </w:tr>
      <w:tr>
        <w:trPr>
          <w:trHeight w:val="46"/>
        </w:trPr>
        <w:tc>
          <w:tcPr>
            <w:tcW w:w="36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4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Corp. public stockholders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Corp. Sponsor and Directors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3,460,250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41"/>
        </w:trPr>
        <w:tc>
          <w:tcPr>
            <w:tcW w:w="3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Gemini Stockholders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w:t>
            </w: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PIPE – Gemini Stockholders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1,560,000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40"/>
        </w:trPr>
        <w:tc>
          <w:tcPr>
            <w:tcW w:w="3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63"/>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FS Development Sponsor</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5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PIPE – Other Investors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6,446,000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7"/>
        </w:trPr>
        <w:tc>
          <w:tcPr>
            <w:tcW w:w="3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46,541,250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35,388,875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3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540" w:right="559"/>
        <w:spacing w:after="0" w:line="257" w:lineRule="auto"/>
        <w:rPr>
          <w:sz w:val="20"/>
          <w:szCs w:val="20"/>
          <w:color w:val="auto"/>
        </w:rPr>
      </w:pPr>
      <w:r>
        <w:rPr>
          <w:rFonts w:ascii="Times New Roman" w:cs="Times New Roman" w:eastAsia="Times New Roman" w:hAnsi="Times New Roman"/>
          <w:sz w:val="18"/>
          <w:szCs w:val="18"/>
          <w:color w:val="auto"/>
        </w:rPr>
        <w:t>Upon Closing, the Board anticipates having seven directors, with each Class I director having an initial term that expires at the Combined Entity’s annual meeting of stockholders in 2021, each Class II director having an initial term that expires at the Combined Entity’s annual meeting of stockholders in 2022, and each Class</w:t>
      </w:r>
    </w:p>
    <w:p>
      <w:pPr>
        <w:spacing w:after="0" w:line="1" w:lineRule="exact"/>
        <w:rPr>
          <w:sz w:val="20"/>
          <w:szCs w:val="20"/>
          <w:color w:val="auto"/>
        </w:rPr>
      </w:pPr>
    </w:p>
    <w:p>
      <w:pPr>
        <w:jc w:val="both"/>
        <w:ind w:left="540" w:right="559" w:firstLine="4"/>
        <w:spacing w:after="0" w:line="253" w:lineRule="auto"/>
        <w:tabs>
          <w:tab w:leader="none" w:pos="78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having an initial term that expires at the Combined Entity’s annual meeting of stockholders in 2023, or in each case until their respective successors are duly elected and qualified, or until their earlier resignation, removal or death. See the section 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for additional information.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Nasdaq Stock Issuance Proposal</w:t>
      </w:r>
    </w:p>
    <w:p>
      <w:pPr>
        <w:spacing w:after="0" w:line="14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 xml:space="preserve">As the consideration for the Business Combination, FS Development is obligated to issue up to 21,500,000 shares of FS Development Class A Common Stock to the Gemini Equityholders,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of Gemini; Merger Consideration”</w:t>
      </w:r>
      <w:r>
        <w:rPr>
          <w:rFonts w:ascii="Times New Roman" w:cs="Times New Roman" w:eastAsia="Times New Roman" w:hAnsi="Times New Roman"/>
          <w:sz w:val="18"/>
          <w:szCs w:val="18"/>
          <w:color w:val="auto"/>
        </w:rPr>
        <w:t>. In addition, in connection with the Business Combination, 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entered into the Subscription Agreements with investors to purchase 9,506,000 shares of Class A Common Stock for an aggregate amount of $95,060,000, subject to certain conditions, including that all conditions precedent to the Closing will have been satisfied or waived (other than those conditions that are to be satisfied at Closing).</w:t>
      </w:r>
    </w:p>
    <w:p>
      <w:pPr>
        <w:spacing w:after="0" w:line="124"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 xml:space="preserve">FS Development stockholders will be asked to approve, for purposes of complying with the Nasdaq Listing Rules, the issuance of up to 21,500,000 newly issued shares of FS Development Class A Common Stock pursuant to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and 9,506,000 newly issued shares of FS Development Class A Common Stock in the PIPE Investment. See the section titled “</w:t>
      </w:r>
      <w:r>
        <w:rPr>
          <w:rFonts w:ascii="Times New Roman" w:cs="Times New Roman" w:eastAsia="Times New Roman" w:hAnsi="Times New Roman"/>
          <w:sz w:val="18"/>
          <w:szCs w:val="18"/>
          <w:i w:val="1"/>
          <w:iCs w:val="1"/>
          <w:color w:val="auto"/>
        </w:rPr>
        <w:t>The Nasdaq Stock Issuance Proposal</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Charter Amendment Proposal</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 xml:space="preserve">FS Development stockholders will be asked to approve and adopt, subject to and conditional on (but with immediate effect therefrom) approval of the Business Combination Proposal, the Nasdaq Stock Issuance Proposal, the Incentive Plan Proposal and the Closing, an amendment and restatement of the Current Charter, as set out in the Proposed Charter appended to this proxy statement/prospectus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color w:val="auto"/>
        </w:rPr>
        <w:t>. See the section titled “</w:t>
      </w:r>
      <w:r>
        <w:rPr>
          <w:rFonts w:ascii="Times New Roman" w:cs="Times New Roman" w:eastAsia="Times New Roman" w:hAnsi="Times New Roman"/>
          <w:sz w:val="18"/>
          <w:szCs w:val="18"/>
          <w:i w:val="1"/>
          <w:iCs w:val="1"/>
          <w:color w:val="auto"/>
        </w:rPr>
        <w:t>The Charter Amendment Proposal</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Charter Amendment Advisory Proposals</w:t>
      </w:r>
    </w:p>
    <w:p>
      <w:pPr>
        <w:spacing w:after="0" w:line="14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Times New Roman" w:cs="Times New Roman" w:eastAsia="Times New Roman" w:hAnsi="Times New Roman"/>
          <w:sz w:val="18"/>
          <w:szCs w:val="18"/>
          <w:b w:val="1"/>
          <w:bCs w:val="1"/>
          <w:color w:val="auto"/>
        </w:rPr>
        <w:t>Advisory 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400" w:right="559" w:hanging="424"/>
        <w:spacing w:after="0" w:line="286" w:lineRule="auto"/>
        <w:tabs>
          <w:tab w:leader="none" w:pos="14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FS Development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shares;</w:t>
      </w:r>
    </w:p>
    <w:p>
      <w:pPr>
        <w:spacing w:after="0" w:line="87"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41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the Combined Entity’s board of directors could issue to discourage a takeover attempt to 10,000,000 shares;</w:t>
      </w:r>
    </w:p>
    <w:p>
      <w:pPr>
        <w:spacing w:after="0" w:line="89" w:lineRule="exact"/>
        <w:rPr>
          <w:rFonts w:ascii="Times New Roman" w:cs="Times New Roman" w:eastAsia="Times New Roman" w:hAnsi="Times New Roman"/>
          <w:sz w:val="18"/>
          <w:szCs w:val="18"/>
          <w:color w:val="auto"/>
        </w:rPr>
      </w:pPr>
    </w:p>
    <w:p>
      <w:pPr>
        <w:jc w:val="both"/>
        <w:ind w:left="1400" w:right="559" w:hanging="424"/>
        <w:spacing w:after="0" w:line="268" w:lineRule="auto"/>
        <w:tabs>
          <w:tab w:leader="none" w:pos="154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Charter will require the approval of at least 662/3% of the Combined Entity’s then-outstanding shares of capital stock entitled to vote on such amendment;</w:t>
      </w:r>
    </w:p>
    <w:p>
      <w:pPr>
        <w:sectPr>
          <w:pgSz w:w="11900" w:h="16838" w:orient="portrait"/>
          <w:cols w:equalWidth="0" w:num="1">
            <w:col w:w="9019"/>
          </w:cols>
          <w:pgMar w:left="1440" w:top="270" w:right="1440" w:bottom="812" w:gutter="0" w:footer="0" w:header="0"/>
          <w:type w:val="continuous"/>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812" w:gutter="0" w:footer="0" w:header="0"/>
          <w:type w:val="continuous"/>
        </w:sectPr>
      </w:pPr>
    </w:p>
    <w:bookmarkStart w:id="33" w:name="page34"/>
    <w:bookmarkEnd w:id="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047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7804785"/>
                    </a:xfrm>
                    <a:prstGeom prst="rect">
                      <a:avLst/>
                    </a:prstGeom>
                    <a:noFill/>
                  </pic:spPr>
                </pic:pic>
              </a:graphicData>
            </a:graphic>
          </wp:anchor>
        </w:drawing>
      </w:r>
    </w:p>
    <w:p>
      <w:pPr>
        <w:spacing w:after="0" w:line="323" w:lineRule="exact"/>
        <w:rPr>
          <w:sz w:val="20"/>
          <w:szCs w:val="20"/>
          <w:color w:val="auto"/>
        </w:rPr>
      </w:pPr>
    </w:p>
    <w:p>
      <w:pPr>
        <w:jc w:val="both"/>
        <w:ind w:left="1400" w:right="559" w:hanging="424"/>
        <w:spacing w:after="0" w:line="259" w:lineRule="auto"/>
        <w:tabs>
          <w:tab w:leader="none" w:pos="139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 perpetual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111"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41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 the approval of at least 66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vertAlign w:val="subscript"/>
        </w:rPr>
        <w:t>3</w:t>
      </w:r>
      <w:r>
        <w:rPr>
          <w:rFonts w:ascii="Times New Roman" w:cs="Times New Roman" w:eastAsia="Times New Roman" w:hAnsi="Times New Roman"/>
          <w:sz w:val="18"/>
          <w:szCs w:val="18"/>
          <w:color w:val="auto"/>
        </w:rPr>
        <w:t>%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The Incentive Plan Proposal</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 is proposing that its stockholders approve and adopt the Equity Incentive Plan of the Combined Entity, which will become effective as of the date immediately preceding the date of the Closing and will have the following principal features:</w:t>
      </w:r>
    </w:p>
    <w:p>
      <w:pPr>
        <w:spacing w:after="0" w:line="104" w:lineRule="exact"/>
        <w:rPr>
          <w:sz w:val="20"/>
          <w:szCs w:val="20"/>
          <w:color w:val="auto"/>
        </w:rPr>
      </w:pPr>
    </w:p>
    <w:p>
      <w:pPr>
        <w:jc w:val="both"/>
        <w:ind w:left="1400" w:right="559" w:hanging="424"/>
        <w:spacing w:after="0" w:line="255" w:lineRule="auto"/>
        <w:tabs>
          <w:tab w:leader="none" w:pos="144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Equity Incentive Plan provides for the grant of incentive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non-qualified stock options, stock appreciation rights, restricted stock awards, restricted stock unit awards, unrestricted stock awards, and dividend equivalent rights, or collectively, stock awards, all of which may be granted to employees, including officers, non-employee directors and consultants of the Combined Entity and its affiliates. Additionally, the Equity Incentive Plan provides for the grant of performance-based cash awards. Incentive stock options may be granted only to employees. All other awards may be granted to employees, including officers, and to non-employee directors and consultants.</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43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 Available for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Initially, the aggregate number of shares of Common Stock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issued pursuant to stock awards under the Equity Incentive Plan after the Equity Incentive Plan becomes effective will not exceed [•] shares. Additionally,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101" w:lineRule="exact"/>
        <w:rPr>
          <w:rFonts w:ascii="Times New Roman" w:cs="Times New Roman" w:eastAsia="Times New Roman" w:hAnsi="Times New Roman"/>
          <w:sz w:val="18"/>
          <w:szCs w:val="18"/>
          <w:color w:val="auto"/>
        </w:rPr>
      </w:pPr>
    </w:p>
    <w:p>
      <w:pPr>
        <w:jc w:val="both"/>
        <w:ind w:left="1400" w:right="559" w:hanging="424"/>
        <w:spacing w:after="0" w:line="259" w:lineRule="auto"/>
        <w:tabs>
          <w:tab w:leader="none" w:pos="151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Non-Employee Director 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of all awards awarded under the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 and all other cash compensation paid by the Combined Entity to any non-employee director in any calendar year for services as a non-employee director will not exceed $750,000, or $1,000,000 for the year in which a non-employee director is first appointed or elected to the Combined Entity’s board of directors.</w:t>
      </w:r>
    </w:p>
    <w:p>
      <w:pPr>
        <w:spacing w:after="0" w:line="114"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A summary of the Equity Incentive Plan is set forth in the “</w:t>
      </w:r>
      <w:r>
        <w:rPr>
          <w:rFonts w:ascii="Times New Roman" w:cs="Times New Roman" w:eastAsia="Times New Roman" w:hAnsi="Times New Roman"/>
          <w:sz w:val="18"/>
          <w:szCs w:val="18"/>
          <w:i w:val="1"/>
          <w:iCs w:val="1"/>
          <w:color w:val="auto"/>
        </w:rPr>
        <w:t>The Incentive Plan Proposal</w:t>
      </w:r>
      <w:r>
        <w:rPr>
          <w:rFonts w:ascii="Times New Roman" w:cs="Times New Roman" w:eastAsia="Times New Roman" w:hAnsi="Times New Roman"/>
          <w:sz w:val="18"/>
          <w:szCs w:val="18"/>
          <w:color w:val="auto"/>
        </w:rPr>
        <w:t xml:space="preserve">” section of this proxy statement/prospectus and a complete copy of the Equity Incentive Plan is attached hereto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Date, Time and Place of Special Meeting</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Special Meeting will be held on , 2021, at , Eastern time, conducted via live webcast at the following address . You will need the 12-digit meeting control number that is printed on your</w:t>
      </w: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proxy card to enter the Special Meeting. FS Development recommends that you log in at least 15 minutes before the Special Meeting to ensure you are logged in when the Special Meeting starts. Please note that you will not be able to attend the Special Meeting in person.</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holders of record of issued and outstanding FS Development Common Stock as of the close of business</w:t>
      </w:r>
    </w:p>
    <w:p>
      <w:pPr>
        <w:spacing w:after="0" w:line="27"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on , 2021, the Record Date for the Special Meeting, are entitled to notice of, and to vote at, the Special Meeting or any adjournment or postponement of the Special Meeting. You may cast one vote for each share of FS Development Common Stock that you owned as of the close of business on the Record Date.</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24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Proxies may be solicited by mail. We have engaged Morrow Sodali LLC to assist in the solicitation of proxies. If a stockholder grants a proxy, it may still vote its shares online if it revokes its proxy before the Special Meeting. A stockholder may also change its vote by submitting a later-dated proxy as described in the section titled “</w:t>
      </w:r>
      <w:r>
        <w:rPr>
          <w:rFonts w:ascii="Times New Roman" w:cs="Times New Roman" w:eastAsia="Times New Roman" w:hAnsi="Times New Roman"/>
          <w:sz w:val="18"/>
          <w:szCs w:val="18"/>
          <w:i w:val="1"/>
          <w:iCs w:val="1"/>
          <w:color w:val="auto"/>
        </w:rPr>
        <w:t>Special Meeting of FS Development Stockholders — Revoking Your Proxy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 for the Special Meeting</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 quorum of FS Development stockholders is necessary to hold a valid meeting. A quorum will be present at the Special Meeting if the holders of a majority of the FS Development Common Stock outstanding and entitled to vote at the Special Meeting is represented in person (which would include presence at a virtual meeting) or by proxy at the Special Meeting. Abstentions will count as present for the purposes of establishing a quorum. Broker non-votes will not be counted for purposes of establishing a quorum.</w:t>
      </w:r>
    </w:p>
    <w:p>
      <w:pPr>
        <w:spacing w:after="0" w:line="10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FS Development Common Stock voting together as a single class as of the Record Date. Accordingly, a FS Development stockholder’s failure to vote by proxy or to vote in person (which would include presence at a virtual meeting) at the Special Meeting or an abstention will have the same effect as a vote “AGAINST” the Charter Amendment Proposal.</w:t>
      </w:r>
    </w:p>
    <w:p>
      <w:pPr>
        <w:spacing w:after="0" w:line="116"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Approval of the Business Combination Proposal, the Nasdaq Stock Issuance Proposal, the Advisory Charter Proposals, the Incentive Plan Proposal, and the Adjournment Proposal each require the affirmative vote of the holders of a majority of the shares of FS Development Common Stock cast by the stockholders represented in person (which would include presence at a virtual meeting) or by proxy and entitled to vote thereon at the Special Meeting, voting together a single class. A FS Development stockholder’s failure to vote by proxy or to vote in person (which would include presence at a virtual meeting) at the Special Meeting will not be counted towards the number of shares of FS Development Common Stock required to validly establish a quorum, and if a valid quorum is otherwise established, it will have no effect on the outcome of the vote on the Business Combination Proposal, the Nasdaq Stock Issuance Proposal, the Advisory Charter Proposals, the Incentive Plan Proposal, and the Adjournment Proposal.</w:t>
      </w:r>
    </w:p>
    <w:p>
      <w:pPr>
        <w:spacing w:after="0" w:line="127"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Unless the Business Combination Proposal is approved, the Nasdaq Stock Issuance Proposal, the Charter Amendment Proposal, and the Incentive Plan Proposal will not be presented to the stockholders of FS Development at the Special Meeting. The Adjournment Proposal is not conditioned on any other Proposal and does not require the approval of any other Proposal to be effective. It is important for you to note that in the event the Business Combination Proposal, the Nasdaq Stock Issuance Proposal, the Charter Amendment Proposal, and the Incentive Plan Proposal do not receive the requisite vote for approval, then FS Development will not consummate the Business Combination. If FS Development does not consummate the Business Combination and fails to complete an initial business combination by August 14, 2022, it will be required to dissolve and liquidate its Trust Account by returning the then remaining funds in such account to its public stockholders.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Recommendation to FS Development Stockholders</w:t>
      </w:r>
    </w:p>
    <w:p>
      <w:pPr>
        <w:spacing w:after="0" w:line="144" w:lineRule="exact"/>
        <w:rPr>
          <w:sz w:val="20"/>
          <w:szCs w:val="20"/>
          <w:color w:val="auto"/>
        </w:rPr>
      </w:pPr>
    </w:p>
    <w:p>
      <w:pPr>
        <w:jc w:val="both"/>
        <w:ind w:left="540" w:right="559"/>
        <w:spacing w:after="0" w:line="268" w:lineRule="auto"/>
        <w:rPr>
          <w:sz w:val="20"/>
          <w:szCs w:val="20"/>
          <w:color w:val="auto"/>
        </w:rPr>
      </w:pPr>
      <w:r>
        <w:rPr>
          <w:rFonts w:ascii="Times New Roman" w:cs="Times New Roman" w:eastAsia="Times New Roman" w:hAnsi="Times New Roman"/>
          <w:sz w:val="18"/>
          <w:szCs w:val="18"/>
          <w:b w:val="1"/>
          <w:bCs w:val="1"/>
          <w:color w:val="auto"/>
        </w:rPr>
        <w:t>The Board believes that the Proposals to be presented at the Special Meeting are in the best interests of FS Development and its stockholders and unanimously recommends that FS Development stockholders vote “FOR” the Proposals.</w:t>
      </w:r>
    </w:p>
    <w:p>
      <w:pPr>
        <w:spacing w:after="0" w:line="107"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these Proposals, you should keep in mind that FS Development directors and officers have interests in the Business Combination that are different from or in addition to (and which may conflict with) your interests as a stockholder. These interests include, among other things:</w:t>
      </w:r>
    </w:p>
    <w:p>
      <w:pPr>
        <w:spacing w:after="0" w:line="112" w:lineRule="exact"/>
        <w:rPr>
          <w:sz w:val="20"/>
          <w:szCs w:val="20"/>
          <w:color w:val="auto"/>
        </w:rPr>
      </w:pPr>
    </w:p>
    <w:p>
      <w:pPr>
        <w:jc w:val="both"/>
        <w:ind w:left="1400" w:right="559" w:hanging="424"/>
        <w:spacing w:after="0" w:line="258" w:lineRule="auto"/>
        <w:tabs>
          <w:tab w:leader="none" w:pos="14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FS Development consummates an initial business combination by August 14, 2022, FS Development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451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83451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spacing w:after="0" w:line="270" w:lineRule="auto"/>
        <w:rPr>
          <w:sz w:val="20"/>
          <w:szCs w:val="20"/>
          <w:color w:val="auto"/>
        </w:rPr>
      </w:pPr>
      <w:r>
        <w:rPr>
          <w:rFonts w:ascii="Times New Roman" w:cs="Times New Roman" w:eastAsia="Times New Roman" w:hAnsi="Times New Roman"/>
          <w:sz w:val="17"/>
          <w:szCs w:val="17"/>
          <w:color w:val="auto"/>
        </w:rPr>
        <w:t>on the funds held in the Trust Account and not previously released to us to pay FS Development’s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3" w:lineRule="exact"/>
        <w:rPr>
          <w:sz w:val="20"/>
          <w:szCs w:val="20"/>
          <w:color w:val="auto"/>
        </w:rPr>
      </w:pPr>
    </w:p>
    <w:p>
      <w:pPr>
        <w:jc w:val="both"/>
        <w:ind w:left="1400" w:right="559"/>
        <w:spacing w:after="0" w:line="253" w:lineRule="auto"/>
        <w:rPr>
          <w:sz w:val="20"/>
          <w:szCs w:val="20"/>
          <w:color w:val="auto"/>
        </w:rPr>
      </w:pPr>
      <w:r>
        <w:rPr>
          <w:rFonts w:ascii="Times New Roman" w:cs="Times New Roman" w:eastAsia="Times New Roman" w:hAnsi="Times New Roman"/>
          <w:sz w:val="18"/>
          <w:szCs w:val="18"/>
          <w:color w:val="auto"/>
        </w:rPr>
        <w:t>(iii) as promptly as reasonably possible following such redemption, subject to the approval of FS Development’s remaining stockholders and the Board, liquidate and dissolve, subject in each case to FS Development’s obligations under Delaware law to provide for claims of creditors and the requirements of other applicable law.</w:t>
      </w:r>
    </w:p>
    <w:p>
      <w:pPr>
        <w:spacing w:after="0" w:line="121" w:lineRule="exact"/>
        <w:rPr>
          <w:sz w:val="20"/>
          <w:szCs w:val="20"/>
          <w:color w:val="auto"/>
        </w:rPr>
      </w:pPr>
    </w:p>
    <w:p>
      <w:pPr>
        <w:jc w:val="both"/>
        <w:ind w:left="1400" w:right="559" w:hanging="424"/>
        <w:spacing w:after="0" w:line="258" w:lineRule="auto"/>
        <w:tabs>
          <w:tab w:leader="none" w:pos="14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FS Development fails to complete a business combination within the required period. Our Sponsor purchased the Founders Shares prior to the FS Development IPO for an aggregate purchase price of $25,000, and transferred 30,000 Founders Shares to each of Mr. Carey, Dr. Dubin and Dr. Pakianathan.</w:t>
      </w:r>
    </w:p>
    <w:p>
      <w:pPr>
        <w:spacing w:after="0" w:line="102" w:lineRule="exact"/>
        <w:rPr>
          <w:rFonts w:ascii="Times New Roman" w:cs="Times New Roman" w:eastAsia="Times New Roman" w:hAnsi="Times New Roman"/>
          <w:sz w:val="18"/>
          <w:szCs w:val="18"/>
          <w:color w:val="auto"/>
        </w:rPr>
      </w:pPr>
    </w:p>
    <w:p>
      <w:pPr>
        <w:jc w:val="both"/>
        <w:ind w:left="1400" w:right="559" w:hanging="424"/>
        <w:spacing w:after="0" w:line="256" w:lineRule="auto"/>
        <w:tabs>
          <w:tab w:leader="none" w:pos="14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the Sponsor. If FS Development does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52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FS Development’s officers and directors will lose their entire investment in FS Development if FS Development does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55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4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Development’s initial stockholders and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44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FS Development if and to the extent any claims by a vendor for services rendered or products sold to FS Development, or a prospective target business with which FS Development has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FS Development’s indemnity of the underwriters of the offering against certain liabilities, including liabilities under the Securities Act.</w:t>
      </w:r>
    </w:p>
    <w:p>
      <w:pPr>
        <w:spacing w:after="0" w:line="124"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4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FS Development does not complete an initial business combination within the required period, FS Development may use a portion of its working capital held outside the Trust Account to repay the working capital loans, but no proceeds held in the Trust Account would be used to repay the working capital loans.</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52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consummation of the Business Combination, FS Development will continue to indemnify FS Development’s existing directors and officers and will maintain a directors’ and officers’ liability insurance policy.</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 w:name="page37"/>
    <w:bookmarkEnd w:id="36"/>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2449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9244965"/>
                    </a:xfrm>
                    <a:prstGeom prst="rect">
                      <a:avLst/>
                    </a:prstGeom>
                    <a:noFill/>
                  </pic:spPr>
                </pic:pic>
              </a:graphicData>
            </a:graphic>
          </wp:anchor>
        </w:drawing>
      </w:r>
    </w:p>
    <w:p>
      <w:pPr>
        <w:sectPr>
          <w:pgSz w:w="11900" w:h="16838" w:orient="portrait"/>
          <w:cols w:equalWidth="0" w:num="1">
            <w:col w:w="9019"/>
          </w:cols>
          <w:pgMar w:left="1440" w:top="270" w:right="1440" w:bottom="852" w:gutter="0" w:footer="0" w:header="0"/>
        </w:sectPr>
      </w:pPr>
    </w:p>
    <w:p>
      <w:pPr>
        <w:spacing w:after="0" w:line="358" w:lineRule="exact"/>
        <w:rPr>
          <w:sz w:val="20"/>
          <w:szCs w:val="20"/>
          <w:color w:val="auto"/>
        </w:rPr>
      </w:pPr>
    </w:p>
    <w:p>
      <w:pPr>
        <w:jc w:val="both"/>
        <w:ind w:left="1400" w:right="559" w:hanging="424"/>
        <w:spacing w:after="0" w:line="255" w:lineRule="auto"/>
        <w:tabs>
          <w:tab w:leader="none" w:pos="151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FS Development’s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In evaluating the proposals set forth in this proxy statement/prospectus, you should carefully read this proxy statement/prospectus, including the annexes, and especially consider the factors discussed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Development’s Class A Common Stock is publicly traded on Nasdaq, under the symbol “FSDC.” FS Development intends to apply to list the common stock of the Combined Entity on Nasdaq under the symbol “GMNI”, upon the Closing.</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Sources and Uses for the Business Combination</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tables summarizes the sources and uses for funding the Business Combination based on (i) the assumption that there will be no redemptions and (ii) the assumption that there will be maximum redemptions. See section 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further information.</w:t>
      </w:r>
    </w:p>
    <w:p>
      <w:pPr>
        <w:spacing w:after="0" w:line="112" w:lineRule="exact"/>
        <w:rPr>
          <w:sz w:val="20"/>
          <w:szCs w:val="20"/>
          <w:color w:val="auto"/>
        </w:rPr>
      </w:pPr>
    </w:p>
    <w:p>
      <w:pPr>
        <w:ind w:left="940" w:hanging="396"/>
        <w:spacing w:after="0"/>
        <w:tabs>
          <w:tab w:leader="none" w:pos="9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redemptions</w:t>
      </w:r>
    </w:p>
    <w:p>
      <w:pPr>
        <w:spacing w:after="0" w:line="273"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Existing Cash in Trust Account</w:t>
            </w:r>
          </w:p>
        </w:tc>
        <w:tc>
          <w:tcPr>
            <w:tcW w:w="42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120,751</w:t>
            </w:r>
          </w:p>
        </w:tc>
        <w:tc>
          <w:tcPr>
            <w:tcW w:w="316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6"/>
                <w:szCs w:val="16"/>
                <w:color w:val="auto"/>
              </w:rPr>
              <w:t>Gemini Equityholders’ Retained Equity</w:t>
            </w:r>
          </w:p>
        </w:tc>
        <w:tc>
          <w:tcPr>
            <w:tcW w:w="2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Value</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95,060</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FS Development Estimated Transaction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Uses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0" w:type="dxa"/>
            <w:vAlign w:val="bottom"/>
          </w:tcPr>
          <w:p>
            <w:pPr>
              <w:spacing w:after="0"/>
              <w:rPr>
                <w:sz w:val="1"/>
                <w:szCs w:val="1"/>
                <w:color w:val="auto"/>
              </w:rPr>
            </w:pPr>
          </w:p>
        </w:tc>
      </w:tr>
      <w:tr>
        <w:trPr>
          <w:trHeight w:val="22"/>
        </w:trPr>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(ii) Maximum redemptions</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282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Existing Cash in Trust Account</w:t>
            </w:r>
          </w:p>
        </w:tc>
        <w:tc>
          <w:tcPr>
            <w:tcW w:w="42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5,001</w:t>
            </w:r>
          </w:p>
        </w:tc>
        <w:tc>
          <w:tcPr>
            <w:tcW w:w="316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6"/>
                <w:szCs w:val="16"/>
                <w:color w:val="auto"/>
              </w:rPr>
              <w:t>Gemini Equityholders’ Retained Equity</w:t>
            </w:r>
          </w:p>
        </w:tc>
        <w:tc>
          <w:tcPr>
            <w:tcW w:w="2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Value</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95,060</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0" w:type="dxa"/>
            <w:vAlign w:val="bottom"/>
          </w:tcPr>
          <w:p>
            <w:pPr>
              <w:spacing w:after="0"/>
              <w:rPr>
                <w:sz w:val="1"/>
                <w:szCs w:val="1"/>
                <w:color w:val="auto"/>
              </w:rPr>
            </w:pPr>
          </w:p>
        </w:tc>
      </w:tr>
      <w:tr>
        <w:trPr>
          <w:trHeight w:val="73"/>
        </w:trPr>
        <w:tc>
          <w:tcPr>
            <w:tcW w:w="2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FS Development Estimated Transaction</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Value</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Costs</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2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3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Uses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14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Following the Closing, the rights of the Combined Entity’s Stockholders will be governed by the Proposed Charter and the Amended By-laws. See the section titled “</w:t>
      </w:r>
      <w:r>
        <w:rPr>
          <w:rFonts w:ascii="Times New Roman" w:cs="Times New Roman" w:eastAsia="Times New Roman" w:hAnsi="Times New Roman"/>
          <w:sz w:val="18"/>
          <w:szCs w:val="18"/>
          <w:i w:val="1"/>
          <w:iCs w:val="1"/>
          <w:color w:val="auto"/>
        </w:rPr>
        <w:t>Comparison of Stockholder Rights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5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w:t>
      </w:r>
    </w:p>
    <w:p>
      <w:pPr>
        <w:sectPr>
          <w:pgSz w:w="11900" w:h="16838" w:orient="portrait"/>
          <w:cols w:equalWidth="0" w:num="1">
            <w:col w:w="9019"/>
          </w:cols>
          <w:pgMar w:left="1440" w:top="270" w:right="1440" w:bottom="852"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852" w:gutter="0" w:footer="0" w:header="0"/>
          <w:type w:val="continuous"/>
        </w:sectPr>
      </w:pPr>
    </w:p>
    <w:bookmarkStart w:id="37" w:name="page38"/>
    <w:bookmarkEnd w:id="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4074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7310" cy="3407410"/>
                    </a:xfrm>
                    <a:prstGeom prst="rect">
                      <a:avLst/>
                    </a:prstGeom>
                    <a:noFill/>
                  </pic:spPr>
                </pic:pic>
              </a:graphicData>
            </a:graphic>
          </wp:anchor>
        </w:drawing>
      </w:r>
    </w:p>
    <w:p>
      <w:pPr>
        <w:spacing w:after="0" w:line="327"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company, can adopt the new or revised standard at the time private companies adopt the new or revised standard. This may make comparison of our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540" w:right="559" w:firstLine="4"/>
        <w:spacing w:after="0" w:line="252" w:lineRule="auto"/>
        <w:tabs>
          <w:tab w:leader="none" w:pos="80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closing of our initial public offering, (b) in which we have total annual gross revenue of at least $1.07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148"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133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7310" cy="9133840"/>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FINANCIAL AND OTHER DATA OF GEMINI</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following tables summarize Gemini’s financial and other data. Gemini has derived the summary statements of operations data for the years ended December 31, 2018 and 2019 and the balance sheet data as of December 31, 2019 from its audited financial statements included elsewhere in this proxy statement/prospectus. The summary statements of operations data for the nine months ended September 30, 2019 and 2020 and the summary balance sheet data as of September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2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You should read this data together with Gemini’s financial statements and related notes included elsewhere in this proxy statement/prospectus and the sections titled “</w:t>
      </w:r>
      <w:r>
        <w:rPr>
          <w:rFonts w:ascii="Times New Roman" w:cs="Times New Roman" w:eastAsia="Times New Roman" w:hAnsi="Times New Roman"/>
          <w:sz w:val="18"/>
          <w:szCs w:val="18"/>
          <w:i w:val="1"/>
          <w:iCs w:val="1"/>
          <w:color w:val="auto"/>
        </w:rPr>
        <w:t>Selected Financial and Other Data of Gemini</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Gemini</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 and Comprehensive Loss Data:</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30"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   Nine Months Ended September 30,</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14,651</w:t>
            </w:r>
          </w:p>
        </w:tc>
        <w:tc>
          <w:tcPr>
            <w:tcW w:w="14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34,472</w:t>
            </w:r>
          </w:p>
        </w:tc>
        <w:tc>
          <w:tcPr>
            <w:tcW w:w="140" w:type="dxa"/>
            <w:vAlign w:val="bottom"/>
          </w:tcPr>
          <w:p>
            <w:pPr>
              <w:spacing w:after="0"/>
              <w:rPr>
                <w:sz w:val="21"/>
                <w:szCs w:val="21"/>
                <w:color w:val="auto"/>
              </w:rPr>
            </w:pP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3160" w:type="dxa"/>
            <w:vAlign w:val="bottom"/>
            <w:gridSpan w:val="2"/>
            <w:vMerge w:val="continue"/>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vMerge w:val="continue"/>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4"/>
                <w:szCs w:val="24"/>
                <w:color w:val="auto"/>
              </w:rPr>
            </w:pP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40" w:type="dxa"/>
            <w:vAlign w:val="bottom"/>
            <w:tcBorders>
              <w:top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Net loss attributable to common</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(20,167)</w:t>
            </w: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(41,400)</w:t>
            </w:r>
          </w:p>
        </w:tc>
        <w:tc>
          <w:tcPr>
            <w:tcW w:w="300" w:type="dxa"/>
            <w:vAlign w:val="bottom"/>
            <w:tcBorders>
              <w:bottom w:val="single" w:sz="8" w:color="CCEEFF"/>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(8.01)</w:t>
            </w:r>
          </w:p>
        </w:tc>
        <w:tc>
          <w:tcPr>
            <w:tcW w:w="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0" w:type="dxa"/>
            <w:vAlign w:val="bottom"/>
          </w:tcPr>
          <w:p>
            <w:pPr>
              <w:spacing w:after="0"/>
              <w:rPr>
                <w:sz w:val="20"/>
                <w:szCs w:val="20"/>
                <w:color w:val="auto"/>
              </w:rPr>
            </w:pPr>
          </w:p>
        </w:tc>
        <w:tc>
          <w:tcPr>
            <w:tcW w:w="32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4,811,641</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5,171,537</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5,133,773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5,507,900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8"/>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18,528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21,608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carrying value</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380" w:type="dxa"/>
            <w:vAlign w:val="bottom"/>
            <w:gridSpan w:val="4"/>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4,338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47,113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(71,984)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(98,506)</w:t>
            </w:r>
          </w:p>
        </w:tc>
        <w:tc>
          <w:tcPr>
            <w:tcW w:w="0" w:type="dxa"/>
            <w:vAlign w:val="bottom"/>
          </w:tcPr>
          <w:p>
            <w:pPr>
              <w:spacing w:after="0"/>
              <w:rPr>
                <w:sz w:val="1"/>
                <w:szCs w:val="1"/>
                <w:color w:val="auto"/>
              </w:rPr>
            </w:pPr>
          </w:p>
        </w:tc>
      </w:tr>
      <w:tr>
        <w:trPr>
          <w:trHeight w:val="40"/>
        </w:trPr>
        <w:tc>
          <w:tcPr>
            <w:tcW w:w="31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(70,797)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(88,727)</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014"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14" w:gutter="0" w:footer="0" w:header="0"/>
          <w:type w:val="continuous"/>
        </w:sectPr>
      </w:pPr>
    </w:p>
    <w:bookmarkStart w:id="39" w:name="page40"/>
    <w:bookmarkEnd w:id="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935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7310" cy="593598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AND OTHER DATA OF FS DEVELOPMENT</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FS Development’s statement of operations data for the period from June 25, 2020 (inception) through September 30, 2020 and balance sheet data as at September 30, 2020 is derived from FS Development’s unaudited condensed financial statements included elsewhere in this proxy statement/prospectus.</w:t>
      </w:r>
    </w:p>
    <w:p>
      <w:pPr>
        <w:spacing w:after="0" w:line="10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This information is only a summary and should be read in conjunction with FS Development’s financial statements and related notes included elsewhere in this proxy statement/prospectus and the sections titled “</w:t>
      </w:r>
      <w:r>
        <w:rPr>
          <w:rFonts w:ascii="Times New Roman" w:cs="Times New Roman" w:eastAsia="Times New Roman" w:hAnsi="Times New Roman"/>
          <w:sz w:val="18"/>
          <w:szCs w:val="18"/>
          <w:i w:val="1"/>
          <w:iCs w:val="1"/>
          <w:color w:val="auto"/>
        </w:rPr>
        <w:t>Selected Financial and Other Data of FS Development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of FS Development</w:t>
      </w:r>
      <w:r>
        <w:rPr>
          <w:rFonts w:ascii="Times New Roman" w:cs="Times New Roman" w:eastAsia="Times New Roman" w:hAnsi="Times New Roman"/>
          <w:sz w:val="18"/>
          <w:szCs w:val="18"/>
          <w:color w:val="auto"/>
        </w:rPr>
        <w:t>.”</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Period</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From June 25,</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7"/>
                <w:szCs w:val="17"/>
                <w:color w:val="auto"/>
              </w:rPr>
            </w:pP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through</w:t>
            </w:r>
          </w:p>
        </w:tc>
      </w:tr>
      <w:tr>
        <w:trPr>
          <w:trHeight w:val="203"/>
        </w:trPr>
        <w:tc>
          <w:tcPr>
            <w:tcW w:w="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r>
      <w:tr>
        <w:trPr>
          <w:trHeight w:val="47"/>
        </w:trPr>
        <w:tc>
          <w:tcPr>
            <w:tcW w:w="634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452,486</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49,914</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Loss from operations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(502,400)</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earned on Trust Account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00" w:type="dxa"/>
            <w:vAlign w:val="bottom"/>
          </w:tcPr>
          <w:p>
            <w:pPr>
              <w:spacing w:after="0"/>
              <w:rPr>
                <w:sz w:val="21"/>
                <w:szCs w:val="21"/>
                <w:color w:val="auto"/>
              </w:rPr>
            </w:pPr>
          </w:p>
        </w:tc>
      </w:tr>
      <w:tr>
        <w:trPr>
          <w:trHeight w:val="41"/>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A common stock</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12,516,500</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34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B common stock</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3,018,750</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r>
      <w:tr>
        <w:trPr>
          <w:trHeight w:val="403"/>
        </w:trPr>
        <w:tc>
          <w:tcPr>
            <w:tcW w:w="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8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Pr>
          <w:p>
            <w:pPr>
              <w:spacing w:after="0"/>
              <w:rPr>
                <w:sz w:val="18"/>
                <w:szCs w:val="18"/>
                <w:color w:val="auto"/>
              </w:rPr>
            </w:pPr>
          </w:p>
        </w:tc>
      </w:tr>
      <w:tr>
        <w:trPr>
          <w:trHeight w:val="47"/>
        </w:trPr>
        <w:tc>
          <w:tcPr>
            <w:tcW w:w="6340" w:type="dxa"/>
            <w:vAlign w:val="bottom"/>
            <w:gridSpan w:val="2"/>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122,358,987</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4,778,652</w:t>
            </w:r>
          </w:p>
        </w:tc>
        <w:tc>
          <w:tcPr>
            <w:tcW w:w="100" w:type="dxa"/>
            <w:vAlign w:val="bottom"/>
          </w:tcPr>
          <w:p>
            <w:pPr>
              <w:spacing w:after="0"/>
              <w:rPr>
                <w:sz w:val="22"/>
                <w:szCs w:val="22"/>
                <w:color w:val="auto"/>
              </w:rPr>
            </w:pPr>
          </w:p>
        </w:tc>
      </w:tr>
      <w:tr>
        <w:trPr>
          <w:trHeight w:val="243"/>
        </w:trPr>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Value of Class A Common Stock subject to possible redemption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112,580,330</w:t>
            </w:r>
          </w:p>
        </w:tc>
        <w:tc>
          <w:tcPr>
            <w:tcW w:w="100" w:type="dxa"/>
            <w:vAlign w:val="bottom"/>
          </w:tcPr>
          <w:p>
            <w:pPr>
              <w:spacing w:after="0"/>
              <w:rPr>
                <w:sz w:val="21"/>
                <w:szCs w:val="21"/>
                <w:color w:val="auto"/>
              </w:rPr>
            </w:pPr>
          </w:p>
        </w:tc>
      </w:tr>
      <w:tr>
        <w:trPr>
          <w:trHeight w:val="40"/>
        </w:trPr>
        <w:tc>
          <w:tcPr>
            <w:tcW w:w="634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5,000,005</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02"/>
        </w:trPr>
        <w:tc>
          <w:tcPr>
            <w:tcW w:w="6340" w:type="dxa"/>
            <w:vAlign w:val="bottom"/>
            <w:tcBorders>
              <w:bottom w:val="single" w:sz="8" w:color="auto"/>
            </w:tcBorders>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764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7310" cy="87649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 UNAUDITED PRO FORMA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FINANCIAL INFORMATION</w:t>
      </w:r>
    </w:p>
    <w:p>
      <w:pPr>
        <w:spacing w:after="0" w:line="139"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following summary unaudited pro forma condensed combined financial information has been derived from the unaudited pro forma condensed combined balance sheet as of September 30, 2020 and the unaudited pro forma condensed combined statements of operations for the year ended December 31, 2019 and the nine months ended September 30, 2020 included in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The summary unaudited pro forma condensed combined financial information should be read in conjunction with the unaudited pro forma condensed combined balance sheet and the unaudited pro forma condensed combined statement of operations, and the accompanying notes. In addition, the unaudited condensed combined pro forma financial information was based on and should be read in conjunction with the historical financial statements of FS Development and Gemini, including the accompanying notes, which are included elsewhere in this proxy statement/prospectus.</w:t>
      </w:r>
    </w:p>
    <w:p>
      <w:pPr>
        <w:spacing w:after="0" w:line="10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capitalization, with no goodwill or other intangible assets recorded, in accordance with GAAP. Under this method of accounting, FS Development is treated as the “acquired” company for financial reporting purposes.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are stated at historical cost, with no goodwill or other intangible assets recorded. Operations prior to the Business Combination are those of Gemini.</w:t>
      </w:r>
    </w:p>
    <w:p>
      <w:pPr>
        <w:spacing w:after="0" w:line="124"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into cash of FS Development Common Stock:</w:t>
      </w:r>
    </w:p>
    <w:p>
      <w:pPr>
        <w:spacing w:after="0" w:line="92" w:lineRule="exact"/>
        <w:rPr>
          <w:sz w:val="20"/>
          <w:szCs w:val="20"/>
          <w:color w:val="auto"/>
        </w:rPr>
      </w:pPr>
    </w:p>
    <w:p>
      <w:pPr>
        <w:ind w:left="1400" w:right="559" w:hanging="424"/>
        <w:spacing w:after="0" w:line="284" w:lineRule="auto"/>
        <w:tabs>
          <w:tab w:leader="none" w:pos="166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Assuming No Redemptions</w:t>
      </w:r>
      <w:r>
        <w:rPr>
          <w:rFonts w:ascii="Times New Roman" w:cs="Times New Roman" w:eastAsia="Times New Roman" w:hAnsi="Times New Roman"/>
          <w:sz w:val="18"/>
          <w:szCs w:val="18"/>
          <w:color w:val="auto"/>
        </w:rPr>
        <w:t>: This presentation assumes that no FS Development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exercise redemption rights with respect to their Public Shares.</w:t>
      </w:r>
    </w:p>
    <w:p>
      <w:pPr>
        <w:spacing w:after="0" w:line="77"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53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Assuming Maximum Redemptions</w:t>
      </w:r>
      <w:r>
        <w:rPr>
          <w:rFonts w:ascii="Times New Roman" w:cs="Times New Roman" w:eastAsia="Times New Roman" w:hAnsi="Times New Roman"/>
          <w:sz w:val="18"/>
          <w:szCs w:val="18"/>
          <w:color w:val="auto"/>
        </w:rPr>
        <w:t>: This presentation assumes that all of FS Development’s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stockholders, without giving effect to the Subscription Agreements entered into by certain FS Development public stockholders participating in the PIPE Investment, exercise redemption rights with respect to their shares of FS Development Class A Common Stock. This scenario assumes that 11,152,375 FS Development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6"/>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47"/>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34"/>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 For the Nine</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redemption</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Months Ended September 30, 2020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FSDC</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scenario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8"/>
              </w:rPr>
              <w:t>scenario</w:t>
            </w:r>
          </w:p>
        </w:tc>
      </w:tr>
      <w:tr>
        <w:trPr>
          <w:trHeight w:val="46"/>
        </w:trPr>
        <w:tc>
          <w:tcPr>
            <w:tcW w:w="2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24,748</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(24,748)</w:t>
            </w:r>
          </w:p>
        </w:tc>
      </w:tr>
      <w:tr>
        <w:trPr>
          <w:trHeight w:val="40"/>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(33,827)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(33,827)</w:t>
            </w:r>
          </w:p>
        </w:tc>
      </w:tr>
      <w:tr>
        <w:trPr>
          <w:trHeight w:val="243"/>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A</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(0.96)</w:t>
            </w:r>
          </w:p>
        </w:tc>
      </w:tr>
      <w:tr>
        <w:trPr>
          <w:trHeight w:val="40"/>
        </w:trPr>
        <w:tc>
          <w:tcPr>
            <w:tcW w:w="304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 Class B</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2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w w:val="97"/>
              </w:rPr>
              <w:t>Historical</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gridSpan w:val="6"/>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Pro forma</w:t>
            </w:r>
          </w:p>
        </w:tc>
      </w:tr>
      <w:tr>
        <w:trPr>
          <w:trHeight w:val="46"/>
        </w:trPr>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54"/>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 Year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redemption</w:t>
            </w:r>
          </w:p>
        </w:tc>
      </w:tr>
      <w:tr>
        <w:trPr>
          <w:trHeight w:val="212"/>
        </w:trPr>
        <w:tc>
          <w:tcPr>
            <w:tcW w:w="2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FSDC</w:t>
            </w: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Gemini</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scenario</w:t>
            </w:r>
          </w:p>
        </w:tc>
      </w:tr>
      <w:tr>
        <w:trPr>
          <w:trHeight w:val="46"/>
        </w:trPr>
        <w:tc>
          <w:tcPr>
            <w:tcW w:w="2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41,225</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(41,225)</w:t>
            </w:r>
          </w:p>
        </w:tc>
      </w:tr>
      <w:tr>
        <w:trPr>
          <w:trHeight w:val="41"/>
        </w:trPr>
        <w:tc>
          <w:tcPr>
            <w:tcW w:w="2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(41,400)</w:t>
            </w: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4" w:lineRule="exact"/>
        <w:rPr>
          <w:sz w:val="20"/>
          <w:szCs w:val="20"/>
          <w:color w:val="auto"/>
        </w:rPr>
      </w:pPr>
    </w:p>
    <w:tbl>
      <w:tblPr>
        <w:tblLayout w:type="fixed"/>
        <w:tblInd w:w="470" w:type="dxa"/>
        <w:tblCellMar>
          <w:top w:w="0" w:type="dxa"/>
          <w:left w:w="0" w:type="dxa"/>
          <w:bottom w:w="0" w:type="dxa"/>
          <w:right w:w="0" w:type="dxa"/>
        </w:tblCellMar>
      </w:tblPr>
      <w:tr>
        <w:trPr>
          <w:trHeight w:val="598"/>
        </w:trPr>
        <w:tc>
          <w:tcPr>
            <w:tcW w:w="80" w:type="dxa"/>
            <w:vAlign w:val="bottom"/>
            <w:tcBorders>
              <w:top w:val="single" w:sz="8" w:color="auto"/>
              <w:left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Historical</w:t>
            </w: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40" w:type="dxa"/>
            <w:vAlign w:val="bottom"/>
            <w:tcBorders>
              <w:top w:val="single" w:sz="8" w:color="auto"/>
              <w:right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47"/>
        </w:trPr>
        <w:tc>
          <w:tcPr>
            <w:tcW w:w="80" w:type="dxa"/>
            <w:vAlign w:val="bottom"/>
            <w:tcBorders>
              <w:left w:val="single" w:sz="8" w:color="auto"/>
            </w:tcBorders>
          </w:tcPr>
          <w:p>
            <w:pPr>
              <w:spacing w:after="0"/>
              <w:rPr>
                <w:sz w:val="4"/>
                <w:szCs w:val="4"/>
                <w:color w:val="auto"/>
              </w:rPr>
            </w:pPr>
          </w:p>
        </w:tc>
        <w:tc>
          <w:tcPr>
            <w:tcW w:w="29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80" w:type="dxa"/>
            <w:vAlign w:val="bottom"/>
            <w:tcBorders>
              <w:left w:val="single" w:sz="8" w:color="auto"/>
            </w:tcBorders>
          </w:tcPr>
          <w:p>
            <w:pPr>
              <w:spacing w:after="0"/>
              <w:rPr>
                <w:sz w:val="15"/>
                <w:szCs w:val="15"/>
                <w:color w:val="auto"/>
              </w:rPr>
            </w:pPr>
          </w:p>
        </w:tc>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3"/>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2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212"/>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Balance Sheet – As of September 30, 2020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FSDC</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w w:val="98"/>
              </w:rPr>
              <w:t>Gemini</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0" w:type="dxa"/>
            <w:vAlign w:val="bottom"/>
          </w:tcPr>
          <w:p>
            <w:pPr>
              <w:spacing w:after="0"/>
              <w:rPr>
                <w:sz w:val="1"/>
                <w:szCs w:val="1"/>
                <w:color w:val="auto"/>
              </w:rPr>
            </w:pPr>
          </w:p>
        </w:tc>
      </w:tr>
      <w:tr>
        <w:trPr>
          <w:trHeight w:val="46"/>
        </w:trPr>
        <w:tc>
          <w:tcPr>
            <w:tcW w:w="3040" w:type="dxa"/>
            <w:vAlign w:val="bottom"/>
            <w:tcBorders>
              <w:left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tcPr>
          <w:p>
            <w:pPr>
              <w:spacing w:after="0"/>
              <w:rPr>
                <w:sz w:val="21"/>
                <w:szCs w:val="21"/>
                <w:color w:val="auto"/>
              </w:rPr>
            </w:pPr>
          </w:p>
        </w:tc>
        <w:tc>
          <w:tcPr>
            <w:tcW w:w="29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14,206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95,491</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16,253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97,538</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18,033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tcBorders>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24,531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17,484</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Borders>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left w:val="single" w:sz="8" w:color="auto"/>
            </w:tcBorders>
          </w:tcPr>
          <w:p>
            <w:pPr>
              <w:spacing w:after="0"/>
              <w:rPr>
                <w:sz w:val="17"/>
                <w:szCs w:val="17"/>
                <w:color w:val="auto"/>
              </w:rPr>
            </w:pPr>
          </w:p>
        </w:tc>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subject to</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tcBorders>
              <w:left w:val="single" w:sz="8" w:color="auto"/>
            </w:tcBorders>
          </w:tcPr>
          <w:p>
            <w:pPr>
              <w:spacing w:after="0"/>
              <w:rPr>
                <w:sz w:val="20"/>
                <w:szCs w:val="20"/>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3040" w:type="dxa"/>
            <w:vAlign w:val="bottom"/>
            <w:tcBorders>
              <w:left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tcBorders>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80,054</w:t>
            </w:r>
          </w:p>
        </w:tc>
        <w:tc>
          <w:tcPr>
            <w:tcW w:w="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61"/>
        </w:trPr>
        <w:tc>
          <w:tcPr>
            <w:tcW w:w="80" w:type="dxa"/>
            <w:vAlign w:val="bottom"/>
            <w:tcBorders>
              <w:left w:val="single" w:sz="8" w:color="auto"/>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150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7310" cy="9150985"/>
                    </a:xfrm>
                    <a:prstGeom prst="rect">
                      <a:avLst/>
                    </a:prstGeom>
                    <a:noFill/>
                  </pic:spPr>
                </pic:pic>
              </a:graphicData>
            </a:graphic>
          </wp:anchor>
        </w:drawing>
      </w:r>
    </w:p>
    <w:p>
      <w:pPr>
        <w:sectPr>
          <w:pgSz w:w="11900" w:h="16838" w:orient="portrait"/>
          <w:cols w:equalWidth="0" w:num="1">
            <w:col w:w="9019"/>
          </w:cols>
          <w:pgMar w:left="1440" w:top="270" w:right="1440" w:bottom="1001"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COMPARATIVE SHARE INFORMATION</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per share data of FS Development on a stand-alone basis and the unaudited pro forma condensed combined per share data for the year ended December 31, 2019 and the nine months ended September 30, 2020 after giving effect to the Business Combination, (1) assuming no FS Development stockholders exercise redemption rights with respect to their Public Shares upon the Closing; and</w:t>
      </w:r>
    </w:p>
    <w:p>
      <w:pPr>
        <w:spacing w:after="0" w:line="3" w:lineRule="exact"/>
        <w:rPr>
          <w:sz w:val="20"/>
          <w:szCs w:val="20"/>
          <w:color w:val="auto"/>
        </w:rPr>
      </w:pPr>
    </w:p>
    <w:p>
      <w:pPr>
        <w:ind w:left="540" w:right="559" w:firstLine="4"/>
        <w:spacing w:after="0" w:line="260" w:lineRule="auto"/>
        <w:tabs>
          <w:tab w:leader="none" w:pos="8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FS Development stockholders exercise their redemption rights with respect to a maximum of 11,152,375 Public Shares upon the Closing.</w:t>
      </w:r>
    </w:p>
    <w:p>
      <w:pPr>
        <w:spacing w:after="0" w:line="114"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You should read the information in the following table in conjunction with the selected historical financial information summary included elsewhere in this proxy statement/prospectus, and the historical financial statements of FS Development and Gemini and related notes that are included elsewhere in this proxy statement/prospectus. The unaudited FS Development and Gemini pro forma combined per share information is derived from, and should be read in conjunction with, the unaudited pro forma condensed combined financial statements and related notes included elsewhere in this proxy statement/prospectus.</w:t>
      </w:r>
    </w:p>
    <w:p>
      <w:pPr>
        <w:spacing w:after="0" w:line="106"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FS Development and Gemini would have been had the companies been combined during the periods presented.</w:t>
      </w:r>
    </w:p>
    <w:p>
      <w:pPr>
        <w:spacing w:after="0" w:line="15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Gemini equivalent pro forma</w:t>
      </w:r>
    </w:p>
    <w:p>
      <w:pPr>
        <w:spacing w:after="0" w:line="11" w:lineRule="exact"/>
        <w:rPr>
          <w:sz w:val="20"/>
          <w:szCs w:val="20"/>
          <w:color w:val="auto"/>
        </w:rPr>
      </w:pPr>
    </w:p>
    <w:p>
      <w:pPr>
        <w:ind w:left="3160"/>
        <w:spacing w:after="0"/>
        <w:tabs>
          <w:tab w:leader="none" w:pos="4760" w:val="left"/>
          <w:tab w:leader="none" w:pos="6960" w:val="left"/>
        </w:tabs>
        <w:rPr>
          <w:sz w:val="20"/>
          <w:szCs w:val="20"/>
          <w:color w:val="auto"/>
        </w:rPr>
      </w:pPr>
      <w:r>
        <w:rPr>
          <w:rFonts w:ascii="Times New Roman" w:cs="Times New Roman" w:eastAsia="Times New Roman" w:hAnsi="Times New Roman"/>
          <w:sz w:val="14"/>
          <w:szCs w:val="14"/>
          <w:b w:val="1"/>
          <w:bCs w:val="1"/>
          <w:color w:val="auto"/>
        </w:rPr>
        <w:t>Historical</w:t>
      </w:r>
      <w:r>
        <w:rPr>
          <w:sz w:val="20"/>
          <w:szCs w:val="20"/>
          <w:color w:val="auto"/>
        </w:rPr>
        <w:tab/>
      </w:r>
      <w:r>
        <w:rPr>
          <w:rFonts w:ascii="Times New Roman" w:cs="Times New Roman" w:eastAsia="Times New Roman" w:hAnsi="Times New Roman"/>
          <w:sz w:val="14"/>
          <w:szCs w:val="14"/>
          <w:b w:val="1"/>
          <w:bCs w:val="1"/>
          <w:color w:val="auto"/>
        </w:rPr>
        <w:t>Pro Forma Combined</w:t>
      </w:r>
      <w:r>
        <w:rPr>
          <w:sz w:val="20"/>
          <w:szCs w:val="20"/>
          <w:color w:val="auto"/>
        </w:rPr>
        <w:tab/>
      </w:r>
      <w:r>
        <w:rPr>
          <w:rFonts w:ascii="Times New Roman" w:cs="Times New Roman" w:eastAsia="Times New Roman" w:hAnsi="Times New Roman"/>
          <w:sz w:val="13"/>
          <w:szCs w:val="13"/>
          <w:b w:val="1"/>
          <w:bCs w:val="1"/>
          <w:color w:val="auto"/>
        </w:rPr>
        <w:t>per share data</w:t>
      </w:r>
      <w:r>
        <w:rPr>
          <w:rFonts w:ascii="Times New Roman" w:cs="Times New Roman" w:eastAsia="Times New Roman" w:hAnsi="Times New Roman"/>
          <w:sz w:val="19"/>
          <w:szCs w:val="19"/>
          <w:b w:val="1"/>
          <w:bCs w:val="1"/>
          <w:color w:val="auto"/>
          <w:vertAlign w:val="superscript"/>
        </w:rPr>
        <w:t>(3)</w:t>
      </w:r>
    </w:p>
    <w:p>
      <w:pPr>
        <w:spacing w:after="0" w:line="13" w:lineRule="exact"/>
        <w:rPr>
          <w:sz w:val="20"/>
          <w:szCs w:val="20"/>
          <w:color w:val="auto"/>
        </w:rPr>
      </w:pPr>
    </w:p>
    <w:tbl>
      <w:tblPr>
        <w:tblLayout w:type="fixed"/>
        <w:tblInd w:w="540" w:type="dxa"/>
        <w:tblCellMar>
          <w:top w:w="0" w:type="dxa"/>
          <w:left w:w="0" w:type="dxa"/>
          <w:bottom w:w="0" w:type="dxa"/>
          <w:right w:w="0" w:type="dxa"/>
        </w:tblCellMar>
      </w:tblPr>
      <w:tr>
        <w:trPr>
          <w:trHeight w:val="183"/>
        </w:trPr>
        <w:tc>
          <w:tcPr>
            <w:tcW w:w="192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i w:val="1"/>
                <w:iCs w:val="1"/>
                <w:color w:val="auto"/>
              </w:rPr>
              <w:t>(in thousands, except share</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102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Assuming Max</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Assuming</w:t>
            </w:r>
          </w:p>
        </w:tc>
        <w:tc>
          <w:tcPr>
            <w:tcW w:w="0" w:type="dxa"/>
            <w:vAlign w:val="bottom"/>
          </w:tcPr>
          <w:p>
            <w:pPr>
              <w:spacing w:after="0"/>
              <w:rPr>
                <w:sz w:val="1"/>
                <w:szCs w:val="1"/>
                <w:color w:val="auto"/>
              </w:rPr>
            </w:pPr>
          </w:p>
        </w:tc>
      </w:tr>
      <w:tr>
        <w:trPr>
          <w:trHeight w:val="83"/>
        </w:trPr>
        <w:tc>
          <w:tcPr>
            <w:tcW w:w="19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and per share amounts)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FSDC</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jc w:val="center"/>
              <w:ind w:right="4"/>
              <w:spacing w:after="0" w:line="84" w:lineRule="exact"/>
              <w:rPr>
                <w:sz w:val="20"/>
                <w:szCs w:val="20"/>
                <w:color w:val="auto"/>
              </w:rPr>
            </w:pPr>
            <w:r>
              <w:rPr>
                <w:rFonts w:ascii="Times New Roman" w:cs="Times New Roman" w:eastAsia="Times New Roman" w:hAnsi="Times New Roman"/>
                <w:sz w:val="9"/>
                <w:szCs w:val="9"/>
                <w:b w:val="1"/>
                <w:bCs w:val="1"/>
                <w:color w:val="auto"/>
              </w:rPr>
              <w:t>No</w:t>
            </w:r>
          </w:p>
        </w:tc>
        <w:tc>
          <w:tcPr>
            <w:tcW w:w="10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jc w:val="center"/>
              <w:ind w:right="24"/>
              <w:spacing w:after="0" w:line="84" w:lineRule="exact"/>
              <w:rPr>
                <w:sz w:val="20"/>
                <w:szCs w:val="20"/>
                <w:color w:val="auto"/>
              </w:rPr>
            </w:pPr>
            <w:r>
              <w:rPr>
                <w:rFonts w:ascii="Times New Roman" w:cs="Times New Roman" w:eastAsia="Times New Roman" w:hAnsi="Times New Roman"/>
                <w:sz w:val="9"/>
                <w:szCs w:val="9"/>
                <w:b w:val="1"/>
                <w:bCs w:val="1"/>
                <w:color w:val="auto"/>
              </w:rPr>
              <w:t>No</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jc w:val="center"/>
              <w:ind w:right="24"/>
              <w:spacing w:after="0" w:line="84" w:lineRule="exact"/>
              <w:rPr>
                <w:sz w:val="20"/>
                <w:szCs w:val="20"/>
                <w:color w:val="auto"/>
              </w:rPr>
            </w:pPr>
            <w:r>
              <w:rPr>
                <w:rFonts w:ascii="Times New Roman" w:cs="Times New Roman" w:eastAsia="Times New Roman" w:hAnsi="Times New Roman"/>
                <w:sz w:val="9"/>
                <w:szCs w:val="9"/>
                <w:b w:val="1"/>
                <w:bCs w:val="1"/>
                <w:color w:val="auto"/>
              </w:rPr>
              <w:t>Max</w:t>
            </w:r>
          </w:p>
        </w:tc>
        <w:tc>
          <w:tcPr>
            <w:tcW w:w="0" w:type="dxa"/>
            <w:vAlign w:val="bottom"/>
          </w:tcPr>
          <w:p>
            <w:pPr>
              <w:spacing w:after="0"/>
              <w:rPr>
                <w:sz w:val="1"/>
                <w:szCs w:val="1"/>
                <w:color w:val="auto"/>
              </w:rPr>
            </w:pPr>
          </w:p>
        </w:tc>
      </w:tr>
      <w:tr>
        <w:trPr>
          <w:trHeight w:val="190"/>
        </w:trPr>
        <w:tc>
          <w:tcPr>
            <w:tcW w:w="1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8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As of and for the Nine</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r>
              <w:rPr>
                <w:rFonts w:ascii="Times New Roman" w:cs="Times New Roman" w:eastAsia="Times New Roman" w:hAnsi="Times New Roman"/>
                <w:sz w:val="21"/>
                <w:szCs w:val="21"/>
                <w:b w:val="1"/>
                <w:bCs w:val="1"/>
                <w:color w:val="auto"/>
                <w:vertAlign w:val="superscript"/>
              </w:rPr>
              <w:t>(4)</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Book value per share, basic</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diluted</w:t>
            </w:r>
            <w:r>
              <w:rPr>
                <w:rFonts w:ascii="Times New Roman" w:cs="Times New Roman" w:eastAsia="Times New Roman" w:hAnsi="Times New Roman"/>
                <w:sz w:val="21"/>
                <w:szCs w:val="21"/>
                <w:color w:val="auto"/>
                <w:vertAlign w:val="superscript"/>
              </w:rPr>
              <w:t>(1)(2)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4.12</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0.98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A</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of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12,516,500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5,507,900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46,541,250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35,388,875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19,282,220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9"/>
              </w:rPr>
              <w:t>19,282,220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B</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of Class B,</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0" w:type="dxa"/>
            <w:vAlign w:val="bottom"/>
            <w:vMerge w:val="restart"/>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and for the Year</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Ended December 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2019</w:t>
            </w:r>
            <w:r>
              <w:rPr>
                <w:rFonts w:ascii="Times New Roman" w:cs="Times New Roman" w:eastAsia="Times New Roman" w:hAnsi="Times New Roman"/>
                <w:sz w:val="21"/>
                <w:szCs w:val="21"/>
                <w:b w:val="1"/>
                <w:bCs w:val="1"/>
                <w:color w:val="auto"/>
                <w:vertAlign w:val="superscript"/>
              </w:rPr>
              <w:t>(4)</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basic and diluted – Class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A</w:t>
            </w:r>
            <w:r>
              <w:rPr>
                <w:rFonts w:ascii="Times New Roman" w:cs="Times New Roman" w:eastAsia="Times New Roman" w:hAnsi="Times New Roman"/>
                <w:sz w:val="11"/>
                <w:szCs w:val="11"/>
                <w:color w:val="auto"/>
              </w:rPr>
              <w:t>(2)</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outstanding –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 and diluted</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5,171,537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46,541,250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35,388,875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99"/>
              </w:rPr>
              <w:t>19,282,220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w w:val="99"/>
              </w:rPr>
              <w:t>19,282,220</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980" w:right="559" w:hanging="436"/>
        <w:spacing w:after="0" w:line="269" w:lineRule="auto"/>
        <w:tabs>
          <w:tab w:leader="none" w:pos="1005"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Book value per share = Total equity (deficit)/shares outstanding at September 30, 2020 for FSDC, Gemini and the pro forma.</w:t>
      </w:r>
    </w:p>
    <w:p>
      <w:pPr>
        <w:ind w:left="980" w:right="559" w:hanging="436"/>
        <w:spacing w:after="0" w:line="264" w:lineRule="auto"/>
        <w:tabs>
          <w:tab w:leader="none" w:pos="1011"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Historical Book value per share and Net income (loss) per share are based on Class A and Class B common stock for FSDC and total common stock for Gemini.</w:t>
      </w:r>
    </w:p>
    <w:p>
      <w:pPr>
        <w:jc w:val="both"/>
        <w:ind w:left="980" w:right="559" w:hanging="436"/>
        <w:spacing w:after="0" w:line="264" w:lineRule="auto"/>
        <w:tabs>
          <w:tab w:leader="none" w:pos="1029"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equivalent pro forma basic and diluted per share data for Gemini is based on the expected exchange ratio of 0.2385 for both No Redemptions and Max Redemptions scenarios. The equivalent pro forma shares outstanding for Gemini represent the total consideration shares of up to 21.5 million, less shares underlying unvested, unissued, and/or unexercised stock options and warrants,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w:t>
      </w:r>
    </w:p>
    <w:p>
      <w:pPr>
        <w:ind w:left="980" w:hanging="436"/>
        <w:spacing w:after="0"/>
        <w:tabs>
          <w:tab w:leader="none" w:pos="98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cash dividends declared in the periods presented.</w:t>
      </w:r>
    </w:p>
    <w:p>
      <w:pPr>
        <w:sectPr>
          <w:pgSz w:w="11900" w:h="16838" w:orient="portrait"/>
          <w:cols w:equalWidth="0" w:num="1">
            <w:col w:w="9019"/>
          </w:cols>
          <w:pgMar w:left="1440" w:top="270" w:right="1440" w:bottom="1001" w:gutter="0" w:footer="0" w:header="0"/>
          <w:type w:val="continuous"/>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01" w:gutter="0" w:footer="0" w:header="0"/>
          <w:type w:val="continuous"/>
        </w:sectPr>
      </w:pPr>
    </w:p>
    <w:bookmarkStart w:id="43" w:name="page44"/>
    <w:bookmarkEnd w:id="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risk factors will apply to our business and operations following the completion of the Business Combination. These risk factors are not exhaustive and we may face additional risks and uncertainties that are not presently known to us, or that we currently deem immaterial, which may also impair our business, prospects, financial condition or operating results. You should carefully consider the following risk factors in addition to the other information included in this proxy statement/prospectus, including matters addressed in the section titled “Cautionary Note Regarding Forward-Looking Statements,” before deciding how to vote your shares of FS Development Common Stock. The following discussion should be read in conjunction with our financial statements and the financial statements of Gemini and the notes to the financial statements included herein.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Gemini</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Gemini”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has incurred significant losses since its inception and expects to incur losses for the foreseeable future.</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has no products approved for commercial sale and has not generated any revenue to date, and Gemini continues to incur significant research and development and other expenses related to its ongoing operations. As a result, Gemini is not profitable and has incurred significant losses in each period since its inception in March 2015. For the years ended December 31, 2018 and December 31, 2019, Gemini reported net losses of $20.2 million and $41.4 million for the years ended December 31, 2018 and 2019, respectively. For the nine months ended September 30, 2020, Gemini reported a net loss of $26.5 million. As of September 30, 2020, Gemini had an accumulated deficit of $98.5 million. Gemini expects to continue to incur significant losses for the foreseeable future, and Gemini expects these losses to increase as Gemini continues its research and development of, and seeks regulatory approvals for, its product candidates. Gemini anticipates that its expenses will increase substantially if, and as, Gemini:</w:t>
      </w:r>
    </w:p>
    <w:p>
      <w:pPr>
        <w:spacing w:after="0" w:line="113" w:lineRule="exact"/>
        <w:rPr>
          <w:sz w:val="20"/>
          <w:szCs w:val="20"/>
          <w:color w:val="auto"/>
        </w:rPr>
      </w:pPr>
    </w:p>
    <w:p>
      <w:pPr>
        <w:ind w:left="1320" w:right="479" w:hanging="434"/>
        <w:spacing w:after="0" w:line="282" w:lineRule="auto"/>
        <w:tabs>
          <w:tab w:leader="none" w:pos="13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larger scale clinical trials for its lead product candidate, GEM103, and any other product candidates;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discovers and develops new product candidates, and conducts nonclinical studies and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manufactures, or has manufactured, clinical and commercial supplies of its product candidates;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its product candidates;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commercializes GEM103 or any other product candidates, if approved;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attempts to transition from a company with a research focus to a company capable of supporting commercial activities, including establishing sales, marketing and distribution infrastructure;</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scientific, and management personnel;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operational, financial, and management information systems and personnel;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additional compounds or product candidates and acquires rights from third parties to those compounds or product candidates through licenses;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incurs additional costs associated with operating as a public company following the Business Combination.</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Even if Gemini succeeds in commercializing GEM103 or any other product candidates, Gemini may continue to incur substantial research and development and other expenditures to develop and market additional product candidates. Gemini may encounter unforeseen expenses, difficulties, complications, delays and other unknown factors that may adversely affect its business for any reason, including as a result of the Coronavirus Disease 19, or COVID-19 pandemic. The size of its future net losses will depend, in part, on the rate of future growth of its expenses and its ability to generate revenue. Its prior losses and expected future losses have had and will continue to have an adverse effect on its stockholders’ equity and working capital.</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currently has a limited operating history, has not generated any revenue to date, and may never become profitable.</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a clinical-stage biotechnology company with a limited operating history. Its operations to date have been limited to organizing and staffing its company, acquiring, developing and securing its technology and product candidates, and conducting clinical trials and preclinical studies of its product candidates. Gemini has not yet demonstrated its ability to complete clinical trials, obtain regulatory approval, formulate and manufacture a commercial-scale product, or conduct sales and marketing activities necessary for successful product commercialization. Investment in biotechnology product development is highly speculative because it entails substantial upfront expenditures in contract research organizations, or CROs, and contract manufacturing organizations, or CMOs, and significant risk that any potential product candidate will fail to demonstrate adequate effect or an acceptable safety profile, gain regulatory approval and become commercially viable. Consequently, any predictions you may make about its future success or viability may not be as accurate as they could be if Gemini had a longer operating history.</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Though GEM103 is in Phase 2a clinical development, Gemini does not expect to receive revenue from GEM103 for a number of years, if ever. To date, Gemini has not generated any revenue and Gemini will not be able to generate product revenue unless and until GEM103, or any other product candidate, successfully completes clinical trials, receives regulatory approval, and is commercialized. Gemini may seek to obtain revenue from collaboration or licensing agreements with third parties. Its ability to generate future product revenue from GEM103 or any other product candidates also depends on a number of additional factors, including its, or its current and future collaborators’, ability to:</w:t>
      </w:r>
    </w:p>
    <w:p>
      <w:pPr>
        <w:spacing w:after="0" w:line="121" w:lineRule="exact"/>
        <w:rPr>
          <w:sz w:val="20"/>
          <w:szCs w:val="20"/>
          <w:color w:val="auto"/>
        </w:rPr>
      </w:pPr>
    </w:p>
    <w:p>
      <w:pPr>
        <w:ind w:left="1320" w:right="479" w:hanging="434"/>
        <w:spacing w:after="0" w:line="282" w:lineRule="auto"/>
        <w:tabs>
          <w:tab w:leader="none" w:pos="14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nonclinical studies and clinical trials for GEM103 and any other product candidates;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marketing approvals for any product candidates that complete clinical development;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product candidates for which Gemini obtains marketing approval, and, if launched independently, successfully establish a sales, marketing and distribution infrastructure;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necessary safety data post-approval to ensure continued regulatory approval;</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72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any approved products;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technological and market developments;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Gemini may enter in the future and performing its obligations in such collaborations;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protect and enforce its intellectual property rights;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biotechnology product development, including that its product candidates may not advance through development or achieve the endpoints of applicable clinical trials, Gemini is unable to predict the timing or amount of increased expenses, or if or when Gemini will achieve or maintain profitability. In addition, its expenses could increase beyond expectations if Gemini decides, or are required by the U.S. Food and Drug Administration, or FDA, or applicable foreign regulatory authorities in other jurisdictions where Gemini may pursue regulatory approval, or applicable foreign regulatory authorities, to perform nonclinical studies or clinical trials in addition to those that Gemini currently anticipates. Even if Gemini completes the development and regulatory processes described above, Gemini anticipates incurring significant costs associated with launching and commercializing any approved product.</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Gemini does achieve profitability, Gemini may not be able to sustain or increase profitability on a quarterly or annual basis. Its failure to become and remain profitable would decrease the value of its company and could impair its ability to raise capital, maintain its research and development efforts, expand its business or continue its operations. A decline in the value of its company also could cause you to lose all or part of your investment.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a research and development company, Gemini’s operations have consumed substantial amounts of cash since inception. Gemini expects its research and development expenses to increase substantially in connection with its ongoing activities, particularly as Gemini advances GEM103 into later-stage clinical development.</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of September 30, 2020, Gemini had $13.2 million of cash and cash equivalents. Gemini believes that the net proceeds from the Business Combination and the PIPE transaction, together with its existing cash and cash equivalents, will fund its projected operating requirements through at least the next 12 months. Its forecast of the period of time through which its financial reserves will adequately support its operations is a forward-looking statement and involves risks and uncertainties, and actual results could vary as a result of a number of factors, including the factors discussed elsewhere in this “Risk factors” section. Gemini has based this estimate on assumptions that may prove to be wrong, and Gemini could utilize its available capital resources sooner than Gemini currently expects. Its future funding requirements, both short and long-term, will depend on many factors, including, but not limited to:</w:t>
      </w:r>
    </w:p>
    <w:p>
      <w:pPr>
        <w:spacing w:after="0" w:line="121" w:lineRule="exact"/>
        <w:rPr>
          <w:sz w:val="20"/>
          <w:szCs w:val="20"/>
          <w:color w:val="auto"/>
        </w:rPr>
      </w:pPr>
    </w:p>
    <w:p>
      <w:pPr>
        <w:jc w:val="both"/>
        <w:ind w:left="1320" w:right="479" w:hanging="434"/>
        <w:spacing w:after="0" w:line="266" w:lineRule="auto"/>
        <w:tabs>
          <w:tab w:leader="none" w:pos="156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GEM103 or any other product candidates Gemini may develop, including any COVID-19-related delays or other effects on its development programs;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applicable foreign regulatory authorities, including the potential for such authorities to require that Gemini performs more nonclinical studies or clinical trials than those that Gemini currently expects or change their requirements on studies that had previously been agreed to;</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its intellectual property portfolio, including the amount and timing of any payments Gemini may be required to make, or that Gemini may receive, in connection with licensing, preparing, filing, prosecuting, defending and enforcing any patents or other intellectual property rights;</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 including product pricing, as well as product coverage and the adequacy of reimbursement by third-party payors;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5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Gemini may receive regulatory approval and that Gemini determines to commercialize;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8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need to implement additional internal systems and infrastructure, including financial and reporting systems.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have any committed external source of funds or other support for its development efforts and Gemini cannot be certain that additional funding will be available on acceptable terms, or at all. Until Gemini can generate sufficient revenue to finance its cash requirements, which Gemini may never do, Gemini expects to finance its future cash needs through a combination of public or private equity offerings, debt financings, collaborations, strategic alliances, licensing arrangements, and other marketing or distribution arrangements. If Gemini raises additional funds through public or private equity offerings, the terms of these securities may include liquidation or other preferences that adversely affect its stockholders’ rights. Further, to the extent that Gemini raises additional capital through the sale of common stock or securities convertible or exchangeable into common stock, your ownership interest will be diluted. If Gemini raises additional capital through debt financing, Gemini could be subject to fixed payment obligations and may be subject to covenants limiting or restricting its ability to take specific actions, such as incurring additional debt, making capital expenditures or declaring dividends. If Gemini raises additional capital through marketing and distribution arrangements or other collaborations, strategic alliances or licensing arrangements with third parties, Gemini may have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relinquish certain valuable rights to its product candidates, technologies, future revenue streams or research programs or grant licenses on terms that may not be favorable to us. Gemini also could be required to seek collaborators for one or more of its product candidates at an earlier stage than otherwise would be desirable or relinquish its rights to product candidates or technologies that Gemini otherwise would seek to develop or commercialize itself. If Gemini is unable to raise additional capital in sufficient amounts or acceptable terms, Gemini may have to significantly delay, scale back or discontinue the development or commercialization of one or more of its product candidates or one or more of its other research and development initiatives. Any of the above events could significantly harm its business, prospects, financial condition and results of operations and cause the price of its common stock to decline.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is heavily dependent on the success of GEM103, its lead product candidate.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currently has no products that are approved for commercial sale and may never be able to develop marketable products. Gemini expects that a substantial portion of its efforts and expenditures over the next several years will be devoted to its lead product candidate, GEM103. Accordingly, its business currently depends heavily on the successful development, regulatory approval, and commercialization of GEM103. GEM103 is currently being tested in a Phase 2a clinical trial in genetically defined patients with dry age-related macular degeneration, or AMD. Gemini cannot be certain that GEM103 will successfully complete clinical trials, receive regulatory approval or be successfully commercialized even if Gemini receives regulatory approval. If Gemini is required to discontinue development of GEM103 or if GEM103 does not receive regulatory approval or fails to achieve significant market acceptance, Gemini would be substantially delayed in its ability to achieve profitability, if ever.</w:t>
      </w:r>
    </w:p>
    <w:p>
      <w:pPr>
        <w:spacing w:after="0" w:line="12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research, testing, manufacturing, safety, efficacy, labeling, approval, sale, marketing, and distribution of GEM103 is, and will remain, subject to comprehensive regulation by the FDA and applicable foreign regulatory authorities. Failure to obtain regulatory approval for GEM103 will prevent Gemini from commercializing and marketing GEM103.</w:t>
      </w:r>
    </w:p>
    <w:p>
      <w:pPr>
        <w:spacing w:after="0" w:line="9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Further, its Phase 2a clinical trial of GEM103 and other future clinical trials may not be able to replicate the results from its preclinical studies or past clinical trials of GEM103. To the extent any of foregoing has not occurred, its expected development time and development costs for GEM103 may be increased.</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Even if Gemini is able to successfully obtain approval from the FDA or applicable foreign regulatory authorities for GEM103, any approval might contain significant limitations related to use, including limitations on the stage of disease GEM103 is approved to treat, as well as restrictions for specified age groups, warnings, precautions or contraindications. Furthermore, even if Gemini obtains regulatory approval for GEM103, Gemini will still need to develop a commercial infrastructure or develop relationships with collaborators to commercialize, establish a commercially viable pricing structure and obtain coverage and adequate reimbursement from third-party payors, including government healthcare programs otherwise. If Gemini, or any future collaborators, are unable to successfully commercialize GEM103, Gemini may not be able to generate sufficient revenue to continue its business.</w:t>
      </w:r>
    </w:p>
    <w:p>
      <w:pPr>
        <w:spacing w:after="0" w:line="18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Gemini plans to devote a majority of its resources to the continued preclinical and clinical testing and potential approval of GEM103 for the treatment of patients with AMD, another key element of its strategy is to discover, develop and commercialize a portfolio of products. Gemini is seeking to do so through its internal discovery programs, but its resources are limited, and those that Gemini have are geared towards preclinical and clinical testing and seeking regulatory approval of GEM103 for the treatment of patients with AMD. Gemini may also explore strategic collaborations for the development or acquisition of new product candidates, but Gemini may not be successful in entering into such relationships. GEM103 is its only product candidate in clinical stages of development. Research programs to identify product candidates require substantial technical, financial and human resources, regardless of whether any product candidates are ultimately identified. Its research programs may initially show promise in identifying potential product candidates, yet fail to yield product candidates for clinical development for many reasons, including:</w:t>
      </w:r>
    </w:p>
    <w:p>
      <w:pPr>
        <w:spacing w:after="0" w:line="111" w:lineRule="exact"/>
        <w:rPr>
          <w:sz w:val="20"/>
          <w:szCs w:val="20"/>
          <w:color w:val="auto"/>
        </w:rPr>
      </w:pPr>
    </w:p>
    <w:p>
      <w:pPr>
        <w:ind w:left="1300" w:hanging="41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its product candidates obsolete;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Gemini develop may nevertheless be covered by third parties’ patents or other exclusive rights;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6" w:lineRule="auto"/>
        <w:tabs>
          <w:tab w:leader="none" w:pos="159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product may not be accepted as safe and effective by trial participants, the medical community or third-party payors;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2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or other proprietary rights of third parties for product candidates Gemini develop may potentially block its entry into certain markets or make such entry economically impracticable.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Gemini fails to develop and successfully commercialize other product candidates, its business and future prospects may be harmed and its business will be more vulnerable to any problems that Gemini encounters in developing and commercializing its product candidates.</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GEM103 and any other product candidates will be subject to rigorous and extensive clinical trials and extensive regulatory approval processes implemented by the FDA and applicable foreign regulatory authorities. The approval process is typically lengthy and expensive, and approval is never certain. Gemini has limited experience in conducting the clinical trials required to obtain regulatory approval. Gemini may not be able to conduct clinical trials at preferred sites, enlist clinical investigators, enroll sufficient numbers of participants or begin or successfully complete clinical trials in a timely fashion, if at all. Its planned clinical trials may be insufficient to demonstrate that its potential products will be active, safe or effective. Additional clinical trials may be required if clinical trial results are negative or inconclusive, which will require us to incur additional costs and significant delays.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Success in preclinical studies and earlier-stage clinical trials does not ensure that later clinical trials will generate the same results or otherwise provide adequate data to demonstrate the effectiveness and safety of a product candidate. In addition, the design of a clinical trial can determine whether its results will support approval of a product, and flaws in the design of a clinical trial may not become apparent until the clinical trial is well advanced. Because Gemini has limited experience designing clinical trials, Gemini may be unable to design and execute a clinical trial to support regulatory approval. In addition, there is a high failure rate for drugs and biologics proceeding through clinical trials. In fact, many companies in the pharmaceutical and biotechnology industries have suffered significant setbacks in late-stage clinical trials even after achieving promising results in nonclinical studies and earlier-stage clinical trials. Similarly, the outcome of nonclinical studies may not predict the success of clinical trials. Moreover, data obtained from nonclinical and clinical activities are subject to varying interpretations, which may delay, limit or prevent regulatory approval. In addition, Gemini may experience regulatory delays or rejections as a result of many factors, including due to changes in regulatory policy during the period of development of its product candidates. Any such delays could negatively impact its business, financial condition, results of operations and prospects.</w:t>
      </w:r>
    </w:p>
    <w:p>
      <w:pPr>
        <w:spacing w:after="0" w:line="13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From time to time, Gemini may publish interim “top-line” or preliminary data from its clinical trials. Preliminary or interim data from clinical trials that Gemini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Gemini previously published. As a result, interim and preliminary data should be viewed with caution until the final data are available. Adverse differences between preliminary or interim data and final data could significantly harm its business and financial prospects.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several of its planned and ongoing clinical trials utilize an “open-label” trial design. An “open-label” clinical trial is one where both the patient and investigator know whether the patient is receiving the investigational product candidate or either an existing approved biologic,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its product candidates for which Gemini includes an open-label clinical trial when studied in a controlled environment with a placebo or active control.</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is subject to many manufacturing risks, any of which could substantially increase its costs, delay clinical programs and limit supply of its products.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has contracted with a third party manufacturer to make new drug substance to support future clinical trials and for commercial sale, if approved. Its contract manufacturer may not be able to adopt, adapt or scale up the manufacturing process in a timely manner to support its future clinical trials. The process of manufacturing its product is complex, highly regulated and subject to several risks, including:</w:t>
      </w:r>
    </w:p>
    <w:p>
      <w:pPr>
        <w:spacing w:after="0" w:line="112" w:lineRule="exact"/>
        <w:rPr>
          <w:sz w:val="20"/>
          <w:szCs w:val="20"/>
          <w:color w:val="auto"/>
        </w:rPr>
      </w:pPr>
    </w:p>
    <w:p>
      <w:pPr>
        <w:jc w:val="both"/>
        <w:ind w:left="1320" w:right="459" w:hanging="434"/>
        <w:spacing w:after="0" w:line="255" w:lineRule="auto"/>
        <w:tabs>
          <w:tab w:leader="none" w:pos="151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is susceptible to product loss due to contamination by adventitious microorganisms, equipment failure, improper installation or operation of equipment, vendor or operator error and improper storage conditions. Even minor deviations from normal manufacturing processes could result in reduced production yields and quality as well as other supply disruptions. If microbial, viral or other contaminations are discovered in its products or in the manufacturing facilities in which its products are made, the manufacturing facilities may need to be closed for an extended period of time to investigate and eliminate the contamination;</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9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its products are made could be adversely affected by equipment failures, labor and raw material shortages, financial difficulties of its contract manufacturers, natural disasters, power failures, local political unrest and numerous other factors; and</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8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its products may result in shipment delays, inventory shortages, lot failures, product withdrawals or recalls or other interruptions in the supply of its products. Gemini may also have to record inventory write-offs and incur other charges and expenses for products that fail to meet specifications, undertake costly remediation efforts or seek more expensive manufacturing alternatives.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manufacture of GEM103 and other product candidates require significant expertise and capital investment, including the development of advanced manufacturing techniques and process controls. Manufacturers of these products sometimes encounter difficulties in production, especially during scale-up from the manufacturing process used for early clinical trials to a validated process needed for pivotal clinical studies and commercial launch. These problems include failure to meet target production costs and yields, sub-par quality control testing, including stability of the product, quality assurance system failures, operator error and shortages of qualified personnel, as well as compliance with strictly enforced federal, state and foreign regulations. Gemini cannot assure you that any product quality issues relating to the manufacture of GEM103 or any other product candidates will not occur in the future.</w:t>
      </w:r>
    </w:p>
    <w:p>
      <w:pPr>
        <w:spacing w:after="0" w:line="107"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Gemini does not have and Gemini does not currently plan to acquire or build the facilities or internal capabilities to manufacture bulk drug substance or filled drug product for use in clinical trials or commercialization. To a large extent, that makes us dependent on the goodwill of its contract manufacturing partners to quickly fix deviations that will inevitably occur during the manufacturing of its product.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altogether.</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Its business could be adversely affected by health epidemics in regions where third parties for which Gemini relies, such as CROs or CMOs, have concentrations of clinical trial sites or other business operations, and could cause significant disruption in the operations of third-party manufacturers and CROs upon whom Gemini relies. On January 30, 2020, the World Health Organization, or WHO, announced a global health emergency because of SARS-CoV-2, a new strain of novel coronavirus originating in Wuhan, China, and the risks to the international community as the virus spread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its business and delay its clinical programs and timelines.</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Quarantines, shelter-in-place and similar government orders, or the perception that such orders, shutdowns or other restrictions on the conduct of business operations could occur, related to COVID-19 pandemic or other infectious diseases, could impact personnel at third-party manufacturing facilities in the United States and other countries, or the availability or cost of materials, which would disrupt its supply chain. Any manufacturing supply interruption of materials could adversely affect its ability to conduct ongoing and future research and manufacturing activities.</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addition, its clinical trials may be affected by the COVID-19 pandemic. Clinical site initiation and patient enrollment may be delayed due to prioritization of healthcare system resources toward the COVID-19 pandemic. Some patients may not be able to comply with clinical trial protocols if quarantines impede patient movement or interrupt healthcare services. Similarly, Gemini’s clinical trial operations may be adversely impacted due to increased difficulty to recruit and retain patients and principal investigators and site staff who, as healthcare providers, may have heightened exposure to COVID-19 pandemic.</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spread of COVID-19 pandemic, which has caused a broad impact globally, may materially affect Gemini economically. While the potential economic impact brought by, and the duration of, COVID-19 pandemic may be difficult to assess or predict, a widespread pandemic could result in significant disruption of global financial markets, reducing its ability to access capital, which could in the future negatively affect its liquidity. In addition, a recession or market correction resulting from the spread of COVID-19 pandemic could materially affect its business and the value of its common stock.</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global pandemic of COVID-19 continues to rapidly evolve. The ultimate impact of the COVID-19 pandemic or a similar health epidemic is highly uncertain and subject to change. Gemini does not yet know the full extent of potential delays or impacts on its business, its clinical trials, healthcare systems or the global economy as a whole. However, these effects could have a material impact on its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may encounter difficulties in managing its growth, which could adversely affect its operations.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November 30, 2020, Gemini had 29 full-time and part-time employees. As Gemini continues development and pursues the potential commercialization of its product candidates, Gemini will need to expand its financial, development, regulatory, manufacturing, marketing and sales capabilities or contract with third parties to provide these capabilities for us. As its operations expand, Gemini expects that it will need to manage additional relationships with various strategic collaborators, suppliers and other third parties. Its future financial performance and its ability to develop and commercialize its product candidates and to compete effectively will depend, in part, on its ability to manage any future growth effectively.</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9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Gemini to provide reliable financial reports and, together with adequate disclosure controls and procedures, are designed to prevent fraud. Any failure to implement required new or improved controls, or difficulties encountered in their implementation could cause us to fail to meet its reporting obligations. In addition, any testing by Gemini conducted in connection with Section 404 of the Sarbanes-Oxley Act, or Section 404, or any subsequent testing by its independent registered public accounting firm, may reveal deficiencies in its internal controls over financial reporting that are deemed to be material weaknesses or that may require prospective or retroactive changes to its financial statements or identify other areas for further attention or improvement. Inferior internal controls could also cause investors to lose confidence in its reported financial information, which could have a negative effect on the trading price of its stock.</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will be required to disclose changes made in its internal controls and procedures on a quarterly basis and its management will be required to assess the effectiveness of these controls annually. However, for as long as Gemini is an emerging growth company, or EGC, its independent registered public accounting firm will not be required to attest to the effectiveness of its internal controls over financial reporting pursuant to Section 404. An independent assessment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of the effectiveness of its internal controls over financial reporting could detect problems that its management’s assessment might not. Undetected material weaknesses in its internal controls over financial reporting could lead to restatements of its financial statements and require us to incur the expense of remediation.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Gemini’s disclosure controls and procedures may not prevent or detect all errors or acts of fraud.</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disclosure controls and procedures are designed to reasonably assure that information required to be disclosed by it in reports Gemini files or submits under the Securities Exchange Act of 1934, as amended, or Exchange Act, is accumulated and communicated to management, recorded, processed, summarized and reported within the time periods specified in the rules and forms of the SEC. Gemini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its control system, misstatements or insufficient disclosures due to error or fraud may occur and not be detected.</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succeed, Gemini must recruit, retain, manage and motivate qualified clinical, scientific, technical and management personnel and Gemini faces significant competition for experienced personnel. If Gemini does not succeed in attracting and retaining qualified personnel, particularly at the management level, it could adversely affect its ability to execute its business plan and harm its operating results. Gemini is dependent on the members of its management team and its scientific advisors for its business success, including its Chief Executive Officer, Jason Meyenburg, its Chief Technology Officer, Scott Lauder, Ph.D., its Chief Medical Officer, Marc Uknis, M.D., and its interim Chief Financial Officer, Gregg Beloff. Gemini does not maintain “key person” insurance for any of its key personnel. An important element of its strategy is to take advantage of the research and development expertise of its current management. Gemini currently has employment agreements with all of its executive officers. Its employment agreements with its executive officers are terminable by them without notice and some provide for severance and change in control benefits. The loss of any one of its executive officers could result in a significant loss in the knowledge and experience that Gemini, as an organization, possesses and could cause significant delays, or outright failure, in the development and further commercialization of its product candidates.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There is intense competition for qualified personnel, including management in the technical fields in which Gemini operates and Gemini may not be able to attract and retain qualified personnel necessary for the successful research, development and commercialization of its product candidates. In particular, Gemini has experienced a very competitive hiring environment in Cambridge, Massachusetts, where Gemini is headquartered. Many of the other pharmaceutical companies that Gemini competes against for qualified personnel has greater financial and other resources, different risk profiles and a longer history in the industry than Gemini does. They also may provide more diverse opportunities and better chances for career advancement. Some of these characteristics may be more appealing to high-quality candidates than what Gemini has to offer. If Gemini is unable to continue to attract and retain high-quality personnel, the rate and success with which Gemini can discover and develop product candidates and its business will be limited.</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Gemini cannot ensure that its compliance controls, policies, and procedures will in every instance protect us from acts committed by its employees, agents, contractors, or collaborators that would violate the law or regulation,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its ability to conduct business, operating results, and reputation.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Gemini is exposed to the risk of employee fraud or other illegal activity by its employees, independent contractors, consultants, commercial partners and vendors. Misconduct by these parties could include intentional, reckless and/or negligent conduct that fails to comply with the laws enforced by the FDA and applicable foreign regulatory authorities, fails to provide true, complete and accurate information to the FDA and applicable foreign regulatory authorities, fails to comply with manufacturing standards Gemini has established, fails to comply with healthcare fraud and abuse laws in the United States and similar foreign laws, or fails to report financial information or data accurately or to disclose unauthorized activities to us. If Gemini obtains FDA approval of any of its product candidates and begin commercializing those products in the United States, its potential exposure under these laws will increase significantly, and its costs associated with compliance with these laws are also likely to increase. Additionally, Gemini is subject to the risk that a person could allege such fraud or other misconduct, even if none occurred. These laws may impact, among other things, its current activities with principal investigators and research patients, as well as proposed and future sales, marketing and education programs. If any such actions are instituted against us, and Gemini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its ability to operate its business and its results of operations. It is not always possible to identify and deter employee misconduct, and the precautions Gemini takes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Gemini is not successful in defending itself or asserting its rights, those actions could result in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w:t>
      </w:r>
    </w:p>
    <w:p>
      <w:pPr>
        <w:spacing w:after="0" w:line="39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its clinical trials is critical to its success. Gemini may encounter delays in enrolling, or be unable to enroll, a sufficient number of patients to complete any of its clinical trials, and even once enrolled Gemini may be unable to retain a sufficient number of patients to complete any of its trials.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Factors that may generally affect patient enrollment include:</w:t>
      </w:r>
    </w:p>
    <w:p>
      <w:pPr>
        <w:spacing w:after="0" w:line="144" w:lineRule="exact"/>
        <w:rPr>
          <w:sz w:val="20"/>
          <w:szCs w:val="20"/>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where patients are to be enrolled;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patient consents;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participants will drop out before completion;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of the product being studied in relation to other available therapies, including any new products that may be approved for the indications Gemini is investigating.</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if any significant adverse events or other side effects are observed in any of its future clinical trials, it may make it more difficult for Gemini to recruit patients to its clinical trials and patients may drop out of its trials, or Gemini may be required to abandon the trials or its development efforts of one or more product candidates altogether. Its inability to enroll a sufficient number of patients for its clinical trials would result in significant delays, which would increase its costs and have an adverse effect on Gemini.</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faces substantial competition, which may result in others discovering, developing or commercializing products before or more successfully than us.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biotechnology industry is intensely competitive and subject to rapid and significant technological change. Its competitors include multinational pharmaceutical companies, specialized biotechnology companies and universities and other research institutions. A number of pharmaceutical companies, as well as large and small biotechnology companies such as Apellis Pharmaceuticals, Inc. and IVERIC bio are pursuing the development or marketing of pharmaceuticals that target AMD. It is also probable that the number of companies seeking to develop products and therapies for the treatment of serious eye diseases, such as AMD, will increase. Many of its competitors have substantially greater financial, technical, human and other resources than Gemini does and may be better equipped to develop, manufacture and market technologically superior products. In addition, many of these competitors has significantly greater experience than Gemini has in undertaking nonclinical studies and human clinical trials of new pharmaceutical products and in obtaining regulatory approvals of human therapeutic products. Accordingly, its competitors may succeed in obtaining FDA approval for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3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competitors may obtain regulatory approval of their products more rapidly than Gemini does or may obtain patent protection or other intellectual property rights that limit its ability to develop or commercialize its product candidates. Its competitors may also develop drugs that are more effective, more convenient, more widely used and less costly or have a better safety profile than its products and these competitors may also be more successful than Gemini is in manufacturing and marketing their products. If Gemini is unable to compete effectively against these companies, then Gemini may not be able to commercialize its product candidates or achieve a competitive position in the market. This would adversely affect its ability to generate revenue. Its competitors also compete with us in recruiting and retaining qualified scientific, management and commercial personnel, establishing clinical trial sites and patient registration for clinical trials, as well as in acquiring technologies complementary to, or necessary for, its programs.</w:t>
      </w:r>
    </w:p>
    <w:p>
      <w:pPr>
        <w:spacing w:after="0" w:line="190"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business and operations would suffer in the event of computer system failures, cyber-attacks or deficiencies in its or related parties’ cyber security.</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Given its limited operating history, Gemini is still in the process of implementing its internal security measures. Its internal computer systems and those of current and future third parties on which Gemini rely may fail and are vulnerable to damage from computer viruses and unauthorized access. Its information technology and other internal infrastructure systems, including corporate firewalls, servers, leased lines and connection to the Internet, face the risk of systemic failure that could disrupt its operations. While Gemini has not, to its knowledge, experienced any such material system failure or security breach to date, if such an event were to occur and cause interruptions in its operations, it could result in a material disruption of its development programs and its business operations. For example, the loss of clinical trial data from completed or future clinical trials could result in delays in its regulatory approval efforts and significantly increase its costs to recover or reproduce the data. Likewise, Gemini relies on third parties for the manufacture of its product candidates and to conduct clinical trials, and similar events relating to their computer systems could also have a material adverse effect on its business. To the extent that any disruption or security breach were to result in a loss of, or damage to, its data or applications, or inappropriate disclosure of confidential or proprietary information, Gemini could incur liability, its competitive position could be harmed and the further development and commercialization of its product candidates could be hindered or delayed.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tax reform legislation could adversely affect its business and financial condition.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“Tax Cuts and Jobs Act,” or the Tax Act, significantly revised the Code. The Tax Act, among other things, includes a reduction of the corporate tax rate from a top marginal rate of 35% to a flat rate of 21%, a limitation of the tax deduction for net interest expense to 30% of adjusted earnings (except for certain small businesses), a limitation of the deduction for net operating losses, or NOLs, to 80% of current year taxable income and an elimination of NOL carrybacks (though any such NOLs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Additionally, on March 27, 2020, President Trump signed into law the Coronavirus Aid, Relief, and Economic Security Act, or the CARES Act, which, among other things, suspends the 80% limitation on the deduction for NOLs in taxable years beginning before January 1, 2021, permits a 5-year carryback of NOLs arising in taxable years beginning after December 31, 2017 and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before January 1, 2021, and generally caps the limitation on the deduction for net interest expense at 50% of adjusted taxable income for taxable years beginning in 2019 and 2020. Gemini continues to examine the impact this tax reform legislation may has on its business. Gemini urges investors to consult with their legal and tax advisers regarding the implications of the Tax Act and the CARES Act on an investment in its common stock.</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might not be able to utilize a significant portion of its U.S. NOL carryforwards and U.S. research and development tax credit carryforwards.</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of December 31, 2019, Gemini had U.S. federal and state NOL carryforwards of $66.5 million and $65.1 million, respectively, and U.S. federal and state research and development tax credit carryforwards of $2.1 million and $0.7 million, respectively. If not utilized, such NOL carryforwards and research and development credits will expire at various dates beginning in 2037 (with the exception of $58.9 million, which has no expiration date) and 2039, respectively. Gemini does not anticipate generating revenue from sales of products for the foreseeable future, if ever, and Gemini may never achieve profitability. These NOL and tax credit carryforwards could expire unused and be unavailable to offset future income tax liabilities. Under the Tax Act, unused losses generated in taxable years beginning after December 31, 2017 will not expire and may be carried forward indefinitely, and generally may not be carried back to prior taxable years, except that, under the CARES Act a 5-year carryback of NOLs arising in taxable years beginning after December 31, 2017 and before January 1, 2021 is permitted. Additionally, for taxable years beginning after December 31, 2020, the deductibility of such U.S. federal NOLs is limited to 80% of its taxable income in any future taxable year. In addition, under Section 382 of the Code, the amount of benefits from its NOL carryforwards may be impaired or limited if Gemini incurs a cumulative ownership change of more than 50% over a three-year period. Gemini may have experienced ownership changes in the past and may experience ownership changes in the future as a result of the Business Combination and subsequent shifts in its stock ownership, some of which are outside its control. As a result, its use of U.S. federal NOL carryforwards could be limited. State NOL carryforwards may be similarly limited. Any such disallowances may result in greater tax liabilities than Gemini would incur in the absence of such a limitation and any increased liabilities could adversely affect its business, results of operations, financial position and cash flows.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uses and generates materials that may expose it to material liability.</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research programs involve the use of hazardous materials and chemicals, which are currently only handled by third parties. Gemini is subject to foreign, federal, state and local environmental and health and safety laws and regulations governing, among other matters, the use, manufacture, handling, storage and disposal of hazardous materials and waste products. Gemini may incur significant costs to comply with these current or future environmental and health and safety laws and regulations. In addition, Gemini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its workers’ compensation, property and business interruption insurance and Gemini may not be able to maintain insurance on acceptable terms, if at all. Gemini currently carries no insurance specifically covering environmental claims.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46"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Government Regulation”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applicable foreign regulatory authorities are lengthy, time-consuming and inherently unpredictable. Its inability to obtain regulatory approval for GEM103 or any other product candidate would substantially harm its business.</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from the FDA and applicable foreign regulatory authorities is unpredictable but typically takes many years following the commencement of nonclinical studies and clinical trials and depends upon numerous factors, including the substantial discretion of regulatory authorities. In addition, approval policies, regulations or the type and amount of clinical data necessary to gain approval may change during the course of a product candidate’s development and may vary among jurisdictions.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GEM103 or its other product candidates could fail to receive regulatory approval from the FDA or an applicable foreign regulatory authority for many reasons, including:</w:t>
      </w:r>
    </w:p>
    <w:p>
      <w:pPr>
        <w:spacing w:after="0" w:line="94" w:lineRule="exact"/>
        <w:rPr>
          <w:sz w:val="20"/>
          <w:szCs w:val="20"/>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its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 is safe and effective for its proposed indication;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level of statistical significance required for approval;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a product candidate’s clinical and other benefits outweigh its safety risks;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its interpretation of data from nonclinical studies or clinical trials;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6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clinical trials of its product candidates to obtain regulatory approval;</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processes or facilities of third-party manufacturers with whom Gemini contract for clinical and commercial supplies; or</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its nonclinical and clinical data insufficient for approval.</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FDA or an applicable foreign regulatory authority may require more information, including additional nonclinical or clinical data to support approval, which may delay or prevent approval and its commercialization plans, or Gemini may decide to abandon the development program for other reasons. If Gemini were to obtain approval, regulatory authorities may approve any of its product for fewer more limited indications than Gemini request, may require labeling or a Risk Evaluation Mitigation Strategy, or REMS, that includes significant use or distribution restrictions or safety warnings, precautions, or contraindications,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Failures or delays in the commencement or completion of, or ambiguous or negative results from, Gemini’s ongoing and planned clinical trials of its product candidates could result in increased costs to us and could delay, prevent, or limit its ability to generate revenue and continue its business.</w:t>
      </w:r>
    </w:p>
    <w:p>
      <w:pPr>
        <w:spacing w:after="0" w:line="10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does not know whether its Phase 2a clinical trial or any of its planned clinical trials will be completed on schedule, if at all, as the commencement and completion of clinical trials can be delayed or prevented for a number of reasons, including, among others:</w:t>
      </w:r>
    </w:p>
    <w:p>
      <w:pPr>
        <w:spacing w:after="0" w:line="108" w:lineRule="exact"/>
        <w:rPr>
          <w:sz w:val="20"/>
          <w:szCs w:val="20"/>
          <w:color w:val="auto"/>
        </w:rPr>
      </w:pPr>
    </w:p>
    <w:p>
      <w:pPr>
        <w:jc w:val="both"/>
        <w:ind w:left="1320" w:right="459" w:hanging="434"/>
        <w:spacing w:after="0" w:line="261" w:lineRule="auto"/>
        <w:tabs>
          <w:tab w:leader="none" w:pos="13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authorities may not authorize Gemini’s or its investigators to commence its planned clinical trials or any other clinical trials Gemini may initiate, or may suspend its clinical trials, for example, through imposition of a clinical hold, and may request additional data to permit allowance of its investigational new drug, or IND;</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or receiving allowance of additional IND applications that may be required;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its clinical trials and nonclinical studies;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from its ongoing nonclinical studies;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terms with prospective CROs and clinical study sites, the terms of which can be subject to extensive negotiation and may vary significantly among different CROs and study sites;</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CROs to perform under these agreements, including due to impacts from the COVID-19 pandemic on their workforce;</w:t>
      </w:r>
    </w:p>
    <w:p>
      <w:pPr>
        <w:spacing w:after="0" w:line="80" w:lineRule="exact"/>
        <w:rPr>
          <w:rFonts w:ascii="Times New Roman" w:cs="Times New Roman" w:eastAsia="Times New Roman" w:hAnsi="Times New Roman"/>
          <w:sz w:val="18"/>
          <w:szCs w:val="18"/>
          <w:color w:val="auto"/>
        </w:rPr>
      </w:pPr>
    </w:p>
    <w:p>
      <w:pPr>
        <w:ind w:left="1320" w:right="479" w:hanging="434"/>
        <w:spacing w:after="0" w:line="312" w:lineRule="auto"/>
        <w:tabs>
          <w:tab w:leader="none" w:pos="131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quantity or quality of a product candidate or other materials necessary to conduct clinical trials, for example delays in the manufacturing of sufficient supply of finished drug product;</w:t>
      </w:r>
    </w:p>
    <w:p>
      <w:pPr>
        <w:spacing w:after="0" w:line="72" w:lineRule="exact"/>
        <w:rPr>
          <w:rFonts w:ascii="Times New Roman" w:cs="Times New Roman" w:eastAsia="Times New Roman" w:hAnsi="Times New Roman"/>
          <w:sz w:val="17"/>
          <w:szCs w:val="17"/>
          <w:color w:val="auto"/>
        </w:rPr>
      </w:pPr>
    </w:p>
    <w:p>
      <w:pPr>
        <w:ind w:left="1320" w:right="459" w:hanging="434"/>
        <w:spacing w:after="0" w:line="282" w:lineRule="auto"/>
        <w:tabs>
          <w:tab w:leader="none" w:pos="13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ethics committee or Institutional Review Board, or IRB, approval to conduct a clinical study at a prospective site or sites;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hanging="434"/>
        <w:spacing w:after="0" w:line="261" w:lineRule="auto"/>
        <w:tabs>
          <w:tab w:leader="none" w:pos="15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and enrolling subjects to participate in clinical trials, the proximity of subjects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side effects experienced by subjects in a clinical trial;</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decide, or regulatory authorities may require us, to conduct additional nonclinical or clinical trials or abandon product development programs;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validating, or inability to validate, any endpoints utilized in a clinical trial;</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3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authorities may disagree with its clinical study design and its interpretation of data from clinical trials, or may change the requirements for approval even after it has reviewed and commented on the design for its clinical trials; and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subjects who has enrolled in a clinical trial but may be prone to withdraw due to rigors of the clinical trials, lack of efficacy, side effects, personal issues, or loss of interest.</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Clinical trials may also be delayed or terminated as a result of ambiguous or negative interim results. In addition, a clinical study may be suspended or terminated by us, the FDA or applicable foreign regulatory authorities, the IRBs at the sites where the IRBs are overseeing a clinical study, a data and safety monitoring board, or DSMB, overseeing the clinical study at issue or other regulatory authorities due to a number of factors, including, among others:</w:t>
      </w:r>
    </w:p>
    <w:p>
      <w:pPr>
        <w:spacing w:after="0" w:line="116" w:lineRule="exact"/>
        <w:rPr>
          <w:sz w:val="20"/>
          <w:szCs w:val="20"/>
          <w:color w:val="auto"/>
        </w:rPr>
      </w:pPr>
    </w:p>
    <w:p>
      <w:pPr>
        <w:ind w:left="1320" w:right="479" w:hanging="434"/>
        <w:spacing w:after="0" w:line="282" w:lineRule="auto"/>
        <w:tabs>
          <w:tab w:leader="none" w:pos="151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study in accordance with regulatory requirements or its clinical protocols;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of the clinical study operations or study sites by the FDA or other regulatory authorities that reveals deficiencies or violations that require us to undertake corrective action, including in response to the imposition of a clinical hold;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7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safety signals, including any that could be identified in its ongoing nonclinical studies or clinical trials, adverse side effects or lack of effectiveness;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clinical supply materials;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clinical trials.</w:t>
      </w:r>
    </w:p>
    <w:p>
      <w:pPr>
        <w:spacing w:after="0" w:line="15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Any inability to successfully complete nonclinical and clinical development could result in additional costs to us or impair its ability to generate revenue. In addition, if Gemini makes changes to a product candidate, such as changes to the formulation, Gemini may need to conduct additional nonclinical studies or clinical trials to bridge or demonstrate the comparability of its modified product candidate to earlier versions, which could delay its clinical development plan or marketing approval for its product candidates. Clinical trial delays could also shorten any periods during which Gemini may have the exclusive right to commercialize its product candidates or allow its competitors to bring products to market before Gemini does, which could impair its ability to successfully commercialize its product candidates and may harm its business and results of operations.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has limited experience in conducting clinical trials and has never obtained approval for any product candidates and may be unable to do so successfully.</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a company, Gemini has limited experience in designing, conducting or completing clinical trials and has never progressed a product candidate through to regulatory approval. In part because of this lack of experience, its clinical trials may require more time and incur greater costs than Gemini anticipates. Gemini cannot be certain that the planned clinical trials will begin or conclude on time, if at all. Large-scale trials will require significant additional financial and management resources. Any performance failure on the part of such third parties could delay the clinical development of its product candidates or delay or prevent us from obtaining regulatory approval or commercializing its product candidates, depriving us of potential product revenue and resulting in additional losses.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advancement of healthcare reform may negatively impact its ability to profitably sell its product candidates, if approved.</w:t>
      </w:r>
    </w:p>
    <w:p>
      <w:pPr>
        <w:spacing w:after="0" w:line="7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United States and many foreign jurisdictions has enacted or proposed legislative and regulatory changes affecting the healthcare system that could prevent or delay marketing approval of its product candidates, restrict or regulate post-approval activities and affect its ability to profitably sell any product for which Gemini obtains marketing approval. Changes in regulations, statutes or the interpretation of existing regulations could impact its business in the future by requiring, for example: (i) changes to its manufacturing arrangements; (ii) additions or modifications to product labeling; (iii) the recall or discontinuation of its products; or (iv) additional record-keeping requirements.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of 2010, or collectively, the Affordable Care Act, was enacted, which includes measures that has significantly changed the way health care is financed by both governmental and private insurers. Some of the provisions of the Affordable Care Act have yet to be implemented, and there have been judicial, congressional, and executive branch challenges to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One Executive Order directs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second Executive Order terminates the cost-sharing subsidies that reimburse insurers under the Affordable Care Act. Several state Attorneys General filed suit to stop the Trump administration from terminating the subsidies, but their request for a restraining order was denied by a federal judge in California on October 25, 2017. Further, on June 14, 2018, U.S. Court of Appeals for the Federal Circuit ruled that the federal government was not required to pay more than $12 billion in Affordable Care Act risk corridor payments to third-party payors who argued were owed to them. The effects of this gap in reimbursement on third-party payors, the viability of the Affordable Care Act marketplace, providers, and potentially its business, are not yet known.</w:t>
      </w:r>
    </w:p>
    <w:p>
      <w:pPr>
        <w:spacing w:after="0" w:line="123"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Congress has also considered legislation that would repeal or repeal and replace all or part of the Affordable Care Act. While Congress has not passed comprehensive repeal legislation, two bills affecting the implementation of certain taxes under the Affordable Care Act has been signed into law.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Affordable Care Act, effective January 1, 2019, to close the coverage gap in most Medicare drug plans, commonly referred to as the “donut hole.” 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Moreover, CMS issued a final rule in 2018 that will give states greater flexibility, starting in 2020, in setting benchmarks for insurers in the individual and small group marketplaces, which may has the effect of relaxing the essential health benefits required under the Affordable Care Act for plans sold through such marketplaces. On December 14, 2018, a U.S. District Judge in the Northern District of Texas, or the Texas District Court Judge, ruled that the individual mandate is a critical and inseverable feature of the Affordable Care Act, and therefore, because it was repealed as part of the Tax Act, the remaining provisions of the Affordable Care Act are invalid as well. While the Texas District Court Judge, as well as the Trump Administration and CMS, has stated that the ruling will has no immediate effect, it is unclear how this decision, subsequent appeals and other efforts to repeal and replace the Affordable Care Act will impact the Affordable Care Act and its business.</w:t>
      </w:r>
    </w:p>
    <w:p>
      <w:pPr>
        <w:spacing w:after="0" w:line="12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2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Recently, there has been increasing legislative and enforcement interest in the United States with respect to specialty drug pricing practices. Specifically, there has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additional authorization to become effective, Congress and the Trump administration has each indicated that it will continue to seek new legislative and/or administrative measures to control drug costs. At the state level, legislatures has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expects that the healthcare reform measures that has been adopted and may be adopted in the future, may result in more rigorous coverage criteria and in additional downward pressure on the price that Gemini receives for any approved product and could seriously harm its future revenues. Any reduction in reimbursement from Medicare or other government programs may result in a similar reduction in payments from private third-party payors.</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Further, on May 30, 2018, the Trickett Wedler, Frank Mongiello, Jordan McLinn, and Matthew Bellina Right to Try Act of 2017, or the Right to Try Act, was signed into law. The law, among other things, provides a federal framework for certain patients to request access to certain investigational new drug products that has completed a Phase I clinical trial and that are undergoing investigation for FDA approval. There is no obligation for a pharmaceutical manufacturer to make its drug products available to eligible patients as a result of the Right to Try Act.</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There has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its product. Such reforms could have an adverse effect on anticipated revenue from product candidates that Gemini may successfully develop and for which Gemini may obtain regulatory approval and may affect its overall financial condition and ability to develop product candidates.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Gemini’s relationships with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 candidates for which Gemini obtains marketing approval. Its current and future arrangements with healthcare providers, third-party payors and customers may expose us to broadly applicable fraud and abuse and other healthcare laws and regulations that may constrain the business or financial arrangements and relationships through which Gemini researches, and if approved, markets, sells and distributes its products. Restrictions under applicable federal and state healthcare laws and regulations, include the following:</w:t>
      </w:r>
    </w:p>
    <w:p>
      <w:pPr>
        <w:spacing w:after="0" w:line="121" w:lineRule="exact"/>
        <w:rPr>
          <w:sz w:val="20"/>
          <w:szCs w:val="20"/>
          <w:color w:val="auto"/>
        </w:rPr>
      </w:pPr>
    </w:p>
    <w:p>
      <w:pPr>
        <w:jc w:val="both"/>
        <w:ind w:left="1320" w:right="459" w:hanging="434"/>
        <w:spacing w:after="0" w:line="256" w:lineRule="auto"/>
        <w:tabs>
          <w:tab w:leader="none" w:pos="151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9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federal civil and criminal false claims laws and civil monetary penalty laws, including the federal False Claims Act, which can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prohibit individuals or entities from, among other things knowingly presenting, or causing to be presented, to the federal government or a government contractor, grantee, or other recipient of federal funds, claims for payment that are false or fraudulent or making a false statement to avoid, decrease or conceal an obligation to pay money to the federal government;</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implementing regulations, imposes obligations on certain healthcare providers, health plans and healthcare clearinghouses, known as covered entities, as well as their business associates, which are individuals and entities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3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(as defined above) and their immediate family members; and</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2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local,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prices; state and local laws that require the registration of pharmaceutical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Efforts to ensure that its business arrangements with third parties comply with applicable healthcare laws and regulations will involve substantial costs. It is possible that governmental authorities will conclude that its business practices may not comply with current or future statutes, regulations or case law interpreting applicable fraud and abuse or other healthcare laws and regulations. If its operations are found to be in violation of any of these laws or any other governmental regulations that may apply to us, Gemini may be subject to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 If any of the physicians or other healthcare providers or entities with whom Gemini expects to do business is found not to be in compliance with applicable laws, that person or entity may be subject to criminal, civil or administrative sanctions, including exclusions from government funded healthcare programs.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its operating results and business.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and California Consumer Privacy Act of 2018, or CCPA), that govern the collection, use, disclosure and protection of health-related and other personal information could apply to its operations or the operations of its collaborators. The state of California, for example, recently adopted the CCPA, which will come into effect beginning in January 2020. The CCPA has been characterized as the first “GDPR-like” privacy statute to be enacted in the United States because it mirrors a number of the key provisions of the European Union General Data Protection Regulation, or EU GDPR.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In addition, Gemini may obtain health information from third parties (including research institutions from which Gemini obtains clinical trial data) that are subject to privacy and security requirements under HIPAA, as amended by HITECH. Depending on the facts and circumstances, Gemini could be subject to civil, criminal, and administrative penalties if Gemini knowingly obtain, use, or disclose individually identifiable health information maintained by a HIPAA-covered entity in a manner that is not authorized or permitted by HIPAA.</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including the EU GDPR and other EU data protection laws, could require us to take on more onerous obligations in its contracts, restrict its ability to collect, use and disclose data, or in some cases, impact its ability to operate in certain jurisdictions. Failure to comply with these laws and regulations could result in government enforcement actions (which could include civil, criminal and administrative penalties), private litigation, and/or adverse publicity and could negatively affect its operating results and business. Moreover, clinical trial subjects, employees and other individuals about whom Gemini or its potential collaborators obtain personal information, as well as the providers who share this information with us, may limit its ability to collect, use and disclose the information. Claims that Gemini has violated individuals’ privacy rights, failed to comply with data protection laws, or breached its contractual obligations, even if Gemini is not found liable, could be expensive and time-consuming to defend and could result in adverse publicity that could harm its business.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is uncertain and Gemini’s clinical trials for GEM103 and any other product candidates may experience delays, which would adversely affect its ability to obtain regulatory approvals or commercialize these programs on a timely basis or at all, which would have an adverse effect on its business.</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cannot be sure that Gemini will be able to submit INDs or similar applications for its preclinical programs on the timelines Gemini expects, if at all. To proceed with its development plans and ultimately commercialization, Gemini may need to conduct and meet regulatory requirements for preclinical and clinical studies. For therapeutic applications, the FDA may require additional extensive preclinical and other studies. Gemini cannot be certain of the timely completion or outcomes of its preclinical testing and studies and cannot predict if the FDA or other regulatory authorities will accept its proposed clinical programs or if the outcomes of its preclinical testing and studies will</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ultimately support the further development of its programs. As a result, there is no assurance that Gemini will be able to submit INDs or similar applications on the timelines Gemini expects, if at all, and Gemini cannot be sure that submission of an IND or similar applications will result in the FDA or other regulatory authorities allowing a clinical trial design to begin. For example, Gemini plans to use its IND for GEM103 in dry AMD to run a trial of GEM103 in wet AMD, however, Gemini has not yet met with the FDA to discuss such plans, and the FDA may reject such plans.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Gemini is able to obtain regulatory approvals for its product candidates, if they exhibit harmful side effects after approval, its regulatory approvals could be revoked or otherwise negatively impacted, and Gemini could be subject to costly and damaging product liability claims.</w:t>
      </w:r>
    </w:p>
    <w:p>
      <w:pPr>
        <w:spacing w:after="0" w:line="10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Clinical trials are conducted in representative samples of the potential patient population which may has significant variability. Even if Gemini receives regulatory approval for GEM103 or any of its other product candidates, Gemini will have tested them in only a small number of patients during its clinical trials.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Gemini cannot be sure that all side effects of its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If its applications for marketing are approved and more patients begin to use its product, new risks and side effects associated with its products may be discovered. There have been other products that have been approved by the regulatory authorities but for which safety concerns has been uncovered following approval. Such safety concerns have led to labelling changes or withdrawal of products from the market, and any of its product candidates may be subject to similar risks. Additionally, Gemini may be required to conduct additional nonclinical and clinical trials, require additional warnings on the label of its products, reformulate its product or make changes, create a medication guide outlining the risks of such side effects for distribution to patients and obtain new approvals for its and its suppliers’ manufacturing facilities for GEM103 and any other product candidates. Gemini might have to withdraw or recall its products from the marketplace. Gemini may also experience a significant drop in the potential sales of its products if and when regulatory approvals for such products are obtained, experience harm to its reputation in the marketplace or become subject to lawsuits, including class actions. Any of these results could decrease or prevent any sales of its approved products or substantially increase the costs and expenses of commercializing and marketing its products.</w:t>
      </w:r>
    </w:p>
    <w:p>
      <w:pPr>
        <w:spacing w:after="0" w:line="20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its product candidates receive regulatory approval, they will remain subject to extensive regulatory scrutiny and may still face future development and regulatory difficulties.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Even if Gemini obtains regulatory approval for a product candidate, regulatory authorities may still impose significant restrictions on its product candidates, including their indicated uses or marketing, or impose ongoing requirements for potentially costly post-approval studies. Further, even if Gemini obtains regulatory approval for a product candidate, it would be subject to ongoing requirements by the governing the manufacture, quality control, further development, labeling, packaging, storage, distribution, safety surveillance, import, export, advertising, promotion, recordkeeping and reporting of safety and other post-market information.</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 and applicable foreign regulatory authorities will continue to closely monitor the safety profile of any product even after approval. If the FDA or applicable foreign regulatory authorities become aware of new safety information after approval of its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addition, manufacturers of drug and biologic products and their facilities are subject to continual review and periodic inspections by the FDA and other regulatory authorities for compliance with current good manufacturing practice, or cGMP, regulations and standards. If Gemini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including requiring recall or withdrawal of the product from the market or suspension of manufacturing. If Gemini, its product candidates or the manufacturing facilities for its product candidates fail to comply with applicable regulatory requirements, or undesirable side effects caused by such products are identified, a regulatory agency may:</w:t>
      </w:r>
    </w:p>
    <w:p>
      <w:pPr>
        <w:spacing w:after="0" w:line="112" w:lineRule="exact"/>
        <w:rPr>
          <w:sz w:val="20"/>
          <w:szCs w:val="20"/>
          <w:color w:val="auto"/>
        </w:rPr>
      </w:pPr>
    </w:p>
    <w:p>
      <w:pPr>
        <w:ind w:left="1320" w:right="479" w:hanging="434"/>
        <w:spacing w:after="0" w:line="282" w:lineRule="auto"/>
        <w:tabs>
          <w:tab w:leader="none" w:pos="158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safety alerts, Dear Healthcare Provider letters, press releases or other communications containing warnings about such product;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Gemini conduct post-marketing studies;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4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marketing of, withdraw regulatory approval of or recall such product;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studies;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its ability to commercialize its products and generate revenue.</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its products for unapproved (or off-label) uses, are subject to enforcement letters, inquiries and investigations, and civil and criminal sanctions by the government. Additionally, applicable foreign regulatory authorities will heavily scrutinize advertising and promotion of any product candidate that obtains approval outside of the United States.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its products for off-label uses can also subject us to false claims litigation under federal and state statutes, which can lead to civil and criminal penalties and fines and agreements that materially restrict the manner in which a company promotes or distributes drug and biologic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federal False Claims Act lawsuits against pharmaceutical companies has increased significantly in volume and breadth, leading to several substantial civil and criminal settlements regarding certain sales practices promoting off-label product uses involving fines in excess of $1 billion. This growth in litigation has increased the risk that a pharmaceutical company will has to defend a false claim action, pay settlement fines or restitution, agree to comply with burdensome reporting and compliance obligations and be excluded from Medicare, Medicaid and other federal and state healthcare programs. If Gemini does not lawfully promote its approved products, Gemini may become subject to such litigation and, if Gemini does not successfully defend against such actions, those actions may has a material adverse effect on its business, financial condition and results of operations.</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its product candidates. If Gemini is slow or unable to adapt to changes in existing requirements or the adoption of new requirements or policies, or if Gemini is not able to maintain regulatory compliance, Gemini may lose any marketing approval that Gemini may have obtained, which would adversely affect its business, prospects and ability to achieve or sustain profitability.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insurance coverage and reimbursement may be limited or unavailable for its product candidates, if approved, which could make it difficult for us to sell its product candidates profitably.</w:t>
      </w:r>
    </w:p>
    <w:p>
      <w:pPr>
        <w:spacing w:after="0" w:line="7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success of its product candidates, if approved, depends on the availability of coverage and adequate reimbursement from third-party payors including governmental healthcare programs, such as Medicare and Medicaid, commercial payors, and health maintenance organizations. Gemini cannot be sure that coverage and reimbursement will be available for, or accurately estimate the potential revenue from, its product candidates or assure that coverage and reimbursement will be available for any product that Gemini may develop.</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Coverage and adequate reimbursement from third-party payors is critical to new product acceptance.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Third-party payors decide which products and treatments they will cover and the amount of reimbursement. Coverage and reimbursement by a third-party payor may depend upon a number of factors, including the third-party payor’s determination that use of a product is:</w:t>
      </w:r>
    </w:p>
    <w:p>
      <w:pPr>
        <w:spacing w:after="0" w:line="95" w:lineRule="exact"/>
        <w:rPr>
          <w:sz w:val="20"/>
          <w:szCs w:val="20"/>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As a result, obtaining coverage and reimbursement approval of a product from a third-party payor is a time consuming and costly process that could require us to provide to each payor supporting scientific, clinical and cost effectiveness data for the use of its products on a payor-by-payor basis, with no assurance that coverage and adequate reimbursement will be obtained. There is significant uncertainty related to the insurance coverage and reimbursement of newly approved products. In the United States, the principal decisions about reimbursement for new medicines are typically made by CMS, an agency within HHS, as CMS decides whether and to what extent a new medicine will be covered and reimbursed under Medicare. Private third-party payors tend to follow Medicare coverage and reimbursement limitations to a substantial degree, but also has their own methods and approval process apart from Medicare determinations. Even if Gemini obtains coverage for a given product, the resulting reimbursement payment rates might not be adequate for us to achieve or sustain profitability or may require co-payments that patients find unacceptably high.</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Its failure to obtain regulatory approval in international jurisdictions would prevent Gemini from marketing its product candidates outside the United States.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its products are approved for marketing in the United States, in order to market and sell its products in other jurisdictions, Gemini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Gemini must secure product reimbursement approvals before regulatory authorities will approve the product for sale in that country. Obtaining applicable foreign regulatory authorities and compliance with applicable foreign regulatory requirements could result in significant delays, difficulties and costs for it and could delay or prevent the introduction of its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has a negative effect on the regulatory approval process in others.</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Also, regulatory approval for its product candidates may be withdrawn if Gemini fails to comply with regulatory requirements, if problems occur after the product candidate reaches the market or for other reasons. If Gemini fails to comply with the regulatory requirements in international markets and fail to receive applicable marketing approvals,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its target market will be reduced and its ability to realize the full market potential of its product candidates will be harmed and its business will be adversely affected. Gemini may not obtain applicable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Gemini fails to obtain approval of its product candidates by applicable foreign regulatory authorities, Gemini will be unable to commercialize its product in that country, and the commercial prospects of that product candidate and its business prospects could decline.</w:t>
      </w:r>
    </w:p>
    <w:p>
      <w:pPr>
        <w:spacing w:after="0" w:line="18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Gemini is subject to U.S. and certain foreign export and import controls, sanctions, embargoes, anti-corruption laws, and anti-money laundering laws and regulations. Compliance with these legal standards could impair its ability to compete in domestic and international markets. Gemini can face criminal liability and other serious consequences for violations, which can harm its business.</w:t>
      </w:r>
    </w:p>
    <w:p>
      <w:pPr>
        <w:spacing w:after="0" w:line="11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Gemini conducts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Gemini may engage third parties to sell its products sell its products outside the United States, to conduct clinical trials, and/or to obtain necessary permits, licenses, patent registrations, and other regulatory approvals. Gemini has direct or indirect interactions with officials and employees of government agencies or government-affiliated hospitals, universities, and other organizations. Gemini can be held liable for the corrupt or other illegal activities of its employees, agents, contractors, and other collaborators, even if Gemini does not explicitly authorize or has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its business may rely, which could negatively impact its business.</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has fluctuated in recent years as a result. In addition, government funding of the SEC and other government agencies on which its operations may rely, including those that fund research and development activities is subject to the political process, which is inherently fluid and unpredictable.</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its business. For example, over the last several years, including beginning on December 22, 2018, the U.S. government has shut down several times and certain regulatory agencies, such as the FDA and the SEC, has had to furlough critical FDA, SEC and other government employees and stop critical activities. If a prolonged government shutdown occurs, it could significantly impact the ability of the FDA to timely review and process its regulatory submissions, which could have a material adverse effect on its business. Further, upon completion of the Business Combination and in its operations as a public company, future government shutdowns could impact its ability to access the public markets and obtain necessary capital in order to properly capitalize and continue its operations.</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Separately, in response to the global COVID-19 pandemic, on March 10, 2020 the FDA announced its intention to postpone most foreign inspections of manufacturing facilities and products, and subsequently, on March 18, 2020, the FDA announced its intention to temporarily postpone routine surveillance inspections of domestic manufacturing facilities. On July 10, 2020, FDA announced its intention to resume certain on-site inspections of domestic manufacturing facilities subject to a risk-based prioritization system. The FDA intends to use this risk-based assessment system to</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its regulatory submissions, which could has a material adverse effect on its business. For example, as of June 23, 2020, the FDA noted it is continuing to ensure timely reviews of applications for medical products during the COVID-19 pandemic in line with its user fee performance goals; however, FDA may not be able to continue its current pace and review timelines could be extended.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FDA becomes unable to continue its current level of performance, Gemini could experience delays and setbacks for its product candidates and for any approvals Gemini may seek which could adversely affect its business.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GEM103 and other product candidates for which Gemini intends to seek approval as biologic products may face competition sooner than anticipated.</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GEM103 is a biological product candidate. Gemini believes that any of its product candidates approved in the United States as a biological product under a Biologics License Application, or BLA, should qualify for the 12-year period of regulatory exclusivity. The enactment of the Biologics Price Competition and Innovation Act of 2009, or BPCIA, as part of the Affordable Care Act,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has a material adverse effect on the future commercial prospects for its biological products.</w:t>
      </w:r>
    </w:p>
    <w:p>
      <w:pPr>
        <w:spacing w:after="0" w:line="11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However, there is also a risk that this exclusivity could be changed in the future. For example, this exclusivity could be shortened due to congressional action or through other actions, including future proposed budgets, international trade agreements and other arrangements or proposals. The extent to which a biosimilar, once approved, will be substituted for any one of its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To the extent that Gemini does not receive any anticipated periods of regulatory exclusivity for GEM103 and other product candidates or the FDA or foreign regulatory authorities approve any biosimilar, interchangeable, or other competing products to GEM103 and other product candidates, it could has a material adverse effect on its business, financial condition, results of operations, stock price and prospects.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60"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Intellectual Property”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6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Gemini’s commercial success depends in part on its ability to obtain and maintain patent protection and trade secret protection for GEM103 and its other product candidates, proprietary patient screening technologies and their uses as well as Gemini’s ability to operate without infringing upon the proprietary rights of others. Gemini generally seeks to protect its proprietary position by filing patent applications in the United States and abroad related to its product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89" w:lineRule="auto"/>
        <w:rPr>
          <w:sz w:val="20"/>
          <w:szCs w:val="20"/>
          <w:color w:val="auto"/>
        </w:rPr>
      </w:pPr>
      <w:r>
        <w:rPr>
          <w:rFonts w:ascii="Times New Roman" w:cs="Times New Roman" w:eastAsia="Times New Roman" w:hAnsi="Times New Roman"/>
          <w:sz w:val="17"/>
          <w:szCs w:val="17"/>
          <w:color w:val="auto"/>
        </w:rPr>
        <w:t>candidates, proprietary technologies and their uses that are important to Gemini’s business. Gemini also seeks to protect its proprietary position by acquiring or in-licensing relevant issued patents or pending applications from third parties. Finally, Gemini maintains its non-patented, but proprietary technologies, as company trade secrets.</w:t>
      </w:r>
    </w:p>
    <w:p>
      <w:pPr>
        <w:spacing w:after="0" w:line="5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Gemini’s patent applications or the patent applications of Gemini’s licensors will result in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7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Even issued patents may later be found invalid or unenforceable or may be modified or revoked in proceedings instituted by third parties before various patent offices or in courts. The degree of future protection for Gemini and Gemini licensors’ proprietary rights is uncertain. Only limited protection may be available and may not adequately protect Gemini’s rights or permit it to gain or keep any competitive advantage. These uncertainties and/or limitations in Gemini’s ability to properly protect the intellectual property rights relating to its product candidates could have a material adverse effect on Gemini’s financial condition and results of operations.</w:t>
      </w:r>
    </w:p>
    <w:p>
      <w:pPr>
        <w:spacing w:after="0" w:line="7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currently does not have any company-owned or in-licensed patents covering GEM103. Although Gemini is pursuing pending patent applications on GEM103, these applications may not issue as patents and as a result Gemini may not be able to prevent biosimilars to GEM103 from entering the market when the market exclusivity period has expired. Gemini cannot be certain that the claims in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Gemini be certain that the claims in its issued patent or its licensor’s issued patents will not be found invalid or unenforceable if challenged.</w:t>
      </w:r>
    </w:p>
    <w:p>
      <w:pPr>
        <w:spacing w:after="0" w:line="8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Gemini or any of our potential future collaborators will be successful in protecting its product candidates by obtaining and defending patents. These risks and uncertainties include the following:</w:t>
      </w:r>
    </w:p>
    <w:p>
      <w:pPr>
        <w:spacing w:after="0" w:line="95" w:lineRule="exact"/>
        <w:rPr>
          <w:sz w:val="20"/>
          <w:szCs w:val="20"/>
          <w:color w:val="auto"/>
        </w:rPr>
      </w:pPr>
    </w:p>
    <w:p>
      <w:pPr>
        <w:jc w:val="both"/>
        <w:ind w:left="1320" w:right="479" w:hanging="434"/>
        <w:spacing w:after="0" w:line="261" w:lineRule="auto"/>
        <w:tabs>
          <w:tab w:leader="none" w:pos="133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 may not provide any competitive advantage;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1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competitors, many of whom have substantially greater resources than Gemini does and many of whom have made significant investments in competing technologies, may seek or may have already obtained patents that will limit, interfere with or eliminate Gemini’s ability to make, use and sell its potential product candidates;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7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6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Gemini or its licensors may not be able to file and prosecute all necessary or desirable patent applications at a reasonable cost or in a timely manner or in all jurisdictions where protection may be commercially advantageous. It is also possible that Gemini or its licensors will fail to identify patentable aspects of our research and development output before it is too late to obtain patent protection.</w:t>
      </w:r>
    </w:p>
    <w:p>
      <w:pPr>
        <w:spacing w:after="0" w:line="7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addition, although Gemini enters into non-disclosure and confidentiality agreements with parties who have access to patentable aspects of our research and development output, such as our employees, outside scientific collaborators,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6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may be unable to obtain intellectual property rights or technology necessary to develop and commercialize its product candidates.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Several third parties are actively researching and seeking and obtaining patent protection in the AMD field, and there are issued third-party patents and published third-party patent applications in these fields.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Gemini may not be aware of all third-party intellectual property rights potentially relating to its product candidates and technologies.</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Depending on what patent claims ultimately issue and how courts construe the issued patent claims, as well as depending on the ultimate formulation and method of use of its product candidates, Gemini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Gemini might be unable to develop and commercialize one or more of its product candidates, which would have a material adverse effect on its business, financial condition and results of operations. Moreover, even if Gemini obtains licenses to such intellectual property, but subsequently fail to meet its obligations under its license agreements, or such license agreements are terminated for any other reasons, Gemini may lose its rights to in-licensed technologies.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 competitive area, and several more established companies may pursue strategies to license or acquire third-party intellectual property rights that Gemini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Gemini also may be unable to license or acquire third-party intellectual property rights on terms that would allow us to make an appropriate return on its investment, or at all. If Gemini is unable to successfully obtain rights to required third-party intellectual property rights or maintain the existing intellectual property rights Gemini has, Gemini may have to abandon development of the relevant program or product candidate, which could have a material adverse effect on its business, financial condition, results of operations and prospects.</w:t>
      </w:r>
    </w:p>
    <w:p>
      <w:pPr>
        <w:spacing w:after="0" w:line="19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including the license agreement with Sanquin Blood Supply Foundation related to anti-CFH agonistic antibodies, we may be required to pay damages and could lose intellectual property rights that are necessary for developing and protecting our product candidates.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is dependent on patents, know-how and proprietary technology in-licensed from Sanquin Blood Supply Foundation. Its commercial success depends upon its ability to develop, manufacture, market and sell its product candidates and use its and its licensor’s proprietary technologies without infringing the proprietary rights of third parties. Sanquin Blood Supply Foundation may have the right to terminate the license agreement in full in the event Gemini materially breach or default in the performance of any of the obligations under the license agreement. A termination of the license agreement with Sanquin Blood Supply Foundation could result in the loss of significant rights and could harm its ability to commercialize its product candidates.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Disputes may also arise between Gemini and Sanquin Blood Supply Foundation, as well as any future potential licensors, regarding intellectual property subject to a license agreement, including:</w:t>
      </w:r>
    </w:p>
    <w:p>
      <w:pPr>
        <w:spacing w:after="0" w:line="94" w:lineRule="exact"/>
        <w:rPr>
          <w:sz w:val="20"/>
          <w:szCs w:val="20"/>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its technology and processes infringe on intellectual property of the licensor that is not subject to the licensing agreement;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right to sublicense patent and other rights to third parties under collaborative development relationships;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diligence obligations with respect to the use of the licensed technology in relation to its development and commercialization of its product candidates and what activities satisfy those diligence obligations;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its licensors and us and its partners; and</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5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Gemini has licensed prevent or impair its ability to maintain its current licensing arrangements on acceptable terms, Gemini may be unable to successfully develop and commercialize the affected product candidates.</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the Research Collaboration and License Agreement under which Gemini currently licenses intellectual property is complex, and certain provisions may be susceptible to multiple interpretations. The resolution of any contract interpretation disagreement that may arise could narrow what Gemini believes to be the scope of its rights to the relevant intellectual property, or increase what Gemini believes to be its financial or other obligations under the Research Collaboration and License Agreement, either of which could has a material adverse effect on its business, financial condition, results of operations, and prospects. Moreover, if disputes over intellectual property that Gemini has licensed prevent or impair its ability to maintain its current licensing arrangement on commercially acceptable terms, Gemini may be unable to successfully develop and commercialize the affected product candidates, which could have a material adverse effect on its business, financial conditions, results of operations, and prospects.</w:t>
      </w:r>
    </w:p>
    <w:p>
      <w:pPr>
        <w:spacing w:after="0" w:line="11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is generally also subject to all of the same risks with respect to protection of intellectual property that Gemini licenses, as Gemini is for intellectual property that Gemini owns, which are described below. If Gemini or its licensors fail to adequately protect this intellectual property, its ability to commercialize products could suffer.</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its competitive position on its product candidates for an adequate amount of time.</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its product candidates are obtained, once the patent life has expired, Gemini may be open to competition from competitive products. Given the amount of time required for the development, testing and regulatory review of new product candidates, patents protecting its product candidates might expire before or shortly after Gemini or its partners commercialize those candidates. As a result, its owned and licensed patent portfolio may not provide us with sufficient rights to exclude others from commercializing products similar or identical to its products.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Gemini may not be able to protect its intellectual property rights throughout the world.</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legal protection afforded to inventors and owners of intellectual property in countries outside of the United States may not be as protective or effective as that in the United States and Gemini may, therefore, be unable to acquire and enforce intellectual property rights outside the United States to the same extent as in the United States. Whether filed in the United States or abroad, its patent applications may be challenged or may fail to result in issued patents.</w:t>
      </w:r>
    </w:p>
    <w:p>
      <w:pPr>
        <w:spacing w:after="0" w:line="10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Currently, Gemini does not own or have in-licensed issued patents covering GEM103. Any future patents Gemini obtains may not be sufficiently broad to prevent others from practicing its technologies or from developing or commercializing competing products. Furthermore, others may independently develop or commercialize similar or alternative technologies or drugs, or design around its patents. Its patents may be challenged, invalidated, circumvented</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or narrowed, or fail to provide us with any competitive advantages. In many foreign countries, patent applications and/or issued patents, or parts thereof, must be translated into the native language. If its patent applications or issued patents are translated incorrectly, they may not adequately cover its technologies; in some countries, it may not be possible to rectify an incorrect translation, which may result in patent protection that does not adequately cover its technologies in those countries.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its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Gemini and its licensor may not be able to prevent third parties from practicing its and its licensor’s inventions in all countries outside the United States, or from selling or importing products made using its and its licensor’s inventions in and into the United States or other jurisdictions. Competitors may use its and its licensor’s technologies in jurisdictions where Gemini has not obtained patent protection to develop their own products and, further, may export otherwise infringing products to territories where Gemini and its licensor have patent protection, but enforcement is not as strong as that in the United States. These products may compete with its product candidates its and its licensor’s patents or other intellectual property rights may not be effective or sufficient to prevent them from competing.</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This could make it difficult for us and Gemini’s licensor to stop the infringement of its and its licensor’s patents or the marketing of competing products in violation of Gemini’s and its licensor’s proprietary rights, generally. Proceedings to enforce Gemini’s and its licensor’s patent rights in foreign jurisdictions could result in substantial costs and divert its and its licensor’s efforts and attention from other aspects of its business, could put Gemini’s and its licensor’s patents at risk of being invalidated or interpreted narrowly, could place Gemini’s and its licensor’s patent applications at risk of not issuing and could provoke third parties to assert claims against Gemini’s or its licensor. Gemini or its licensor may not prevail in any lawsuits that Gemini or its licensor initiates and the damages or other remedies awarded, if any, may not be commercially meaningful.</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Gemini and its licensor may have limited remedies if patents are infringed or if Gemini or its licensor are compelled to grant a license to a third party, which could materially diminish the value of those patents. This could limit its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Gemini and its licensor’s efforts to enforce intellectual property rights around the world may be inadequate to obtain a significant commercial advantage from the intellectual property that Gemini owns or licenses.</w:t>
      </w:r>
    </w:p>
    <w:p>
      <w:pPr>
        <w:spacing w:after="0" w:line="18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its patent protection depends on compliance with various procedural, document submission, fee payment and other requirements imposed by governmental patent agencies, and Gemini’s patent protection could be reduced or eliminated for non-compliance with these requirements.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Gemini or its licensor fails to maintain the patents and patent applications covering its product candidates, its competitors might be able to enter the market with similar or identical products or technology, which would have a material adverse effect on its business, financial condition and results of operations.</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may become involved in lawsuits or other proceedings to protect or enforce its intellectual property, which could be expensive, time-consuming and unsuccessful and have a material adverse effect on the success of its business.</w:t>
      </w:r>
    </w:p>
    <w:p>
      <w:pPr>
        <w:spacing w:after="0" w:line="9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Third parties may infringe Gemini’s or its licensor’s patents or misappropriate or otherwise violate its or its licensor’s intellectual property rights. In the future, Gemini or its licensor may initiate legal proceedings to enforce or defend Gemini’s or its licensor’s intellectual property rights, to protect its or its licensor’s trade secrets or to determine the validity or scope of intellectual property rights Gemini owns or controls. Also, third parties may initiate legal proceedings against Gemini or its licensor to challenge the validity or scope of intellectual property rights Gemini owns, controls or to which Gemini has rights. For example, generic or biosimilar drug manufacturers or other competitors or third parties may challenge the scope, validity or enforceability of Gemini’s or its licensor’s patents, requiring Gemini or its licensor to engage in complex, lengthy and costly litigation or other proceedings. These proceedings can be expensive and time-consuming and many of its or its licensor’s adversaries in these proceedings may have the ability to dedicate substantially greater resources to prosecuting these legal actions than Gemini can. Moreover, the outcome following legal assertions of invalidity and unenforceability is unpredictable. Accordingly, despite Gemini’s or its licensor’s efforts, Gemini or its licensor may not be able to prevent third parties from infringing upon or misappropriating intellectual property rights Gemini owns, controls or has rights to, particularly in countries where the laws may not protect those rights as fully as in the United States. Litigation could result in substantial costs and diversion of management resources, which could harm its business and financial results. In addition, if Gemini or its licensor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Gemini’s or its licensor’s patents do not cover the technology in question. An adverse result in any litigation proceeding could put one or more of Gemini’s or its licensor’s patents at risk of being invalidated, narrowed, held unenforceable or interpreted in such a manner that would not preclude third parties from entering the market with competing products.</w:t>
      </w:r>
    </w:p>
    <w:p>
      <w:pPr>
        <w:spacing w:after="0" w:line="13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Third-party pre-issuance submission of prior art to the USPTO, or opposition, derivation, revocation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pre-issuance or post-grant proceedings or other patent office proceedings or litigation in the United States or other jurisdictions provoked by third parties or brought by Gemini or its licensor, may be necessary to determine the inventorship, priority, patentability or validity of inventions with respect to Gemini’s or its licensor’s patents or patent applications. An unfavorable outcome could leave its technology or product candidates without patent protection, allow third parties to commercialize its technology or product candidates and compete directly with us, without payment to us, or could require Gemini or its licensor to obtain license rights from the prevailing party in order to be able to manufacture or commercialize its product candidates without infringing third-party patent rights. Its business could be harmed if the prevailing party does not offer Gemini or its licensor a license on commercially reasonable terms, or at all. Even if Gemini or its licensor obtains a license, it may be non-exclusive, thereby giving its competitors access to the same technologies licensed to Gemini or its licensor. In addition, if the breadth or strength of protection provided by Gemini’s or its licensor’s patents and patent applications is threatened, it could dissuade companies from collaborating with us to license, develop or commercialize product candidates. Even if Gemini successfully defends such litigation or proceeding, Gemini may incur substantial costs and it may distract its management and other employees. In addition, the uncertainties associated with litigation could have a material adverse effect on its ability to raise the funds necessary to continue its clinical trials, continue its research programs, license necessary technology from third parties, or enter into collaborations.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its confidential information could be compromised by disclosure during this type of litigation. In addition, many foreign jurisdictions have rules of discovery that are different than those in the United States and which may make defending or enforcing its or its licensor’s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Gemini alleging that Gemini infringes their intellectual property rights or Gemini may initiate legal proceedings against third parties to challenge the validity or scope of intellectual property rights controlled by third parties, the outcome of which would be uncertain and could have a material adverse effect on the success of its business.</w:t>
      </w:r>
    </w:p>
    <w:p>
      <w:pPr>
        <w:spacing w:after="0" w:line="9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Gemini’s commercial success depends upon its ability to develop, manufacture, market and sell any product candidates that Gemini may develop and use its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Gemini or its licensor alleging that Gemini or its licensor infringes their intellectual property rights or Gemini or its licensor may initiate legal proceedings against third parties to challenge the validity or scope of intellectual property rights controlled by third parties, including in oppositions, revocations,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derivation proceedings before the USPTO or its counterparts in other jurisdictions. These proceedings can be expensive and time-consuming and many of its or its licensor’s adversaries in these proceedings may have the ability to dedicate substantially greater resources to prosecuting these legal actions than Gemini or its licensor can.</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 unfavorable outcome in any such proceeding could require Gemini or its licensor to cease using the related technology or developing or commercializing its product candidates, or to attempt to license rights to it from the prevailing party, which may not be available on commercially reasonable terms, or at all.</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could be found liable for monetary damages, including treble damages and attorneys’ fees, if Gemini is found to have willfully infringed a patent. A finding of infringement could prevent us from commercializing its product candidates or force us to cease some of its business operations, which could materially harm its business.</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performs searches of patent and scientific databases in order to identify documents that may be of potential relevance to the freedom-to-operate and/or patentability of its product candidates. In general, such searches are conducted based on keywords, sequences, inventors/authors and assignees/entities to capture U.S. and European patents and patent applications, PCT publications and scientific journal articles.</w:t>
      </w:r>
    </w:p>
    <w:p>
      <w:pPr>
        <w:spacing w:after="0" w:line="11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patent landscape around its GEM103 product candidate is complex, and Gemini may not be aware of all third-party intellectual property rights potentially relating to its product candidates and technologies.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Moreover, it is possible that Gemini is or may become aware of patents or pending patent applications that Gemini thinks do not relate to its product candidates or that Gemini believes are invalid or unenforceable, but that may nevertheless be interpreted to encompass its product candidates and to be valid and enforceable. As to pending third-party applications, Gemini cannot predict with any certainty which claims will issue, if any, or the scope of such issued claims. If any third party intellectual property claims are asserted against us, even if Gemini believes the claims are without merit, there is no assurance that a court would find in its favor, e.g., on questions of infringement, validity, enforceability or priority. A court of competent jurisdiction could hold that these third-party patents are valid, enforceable and infringed, which could materially and adversely affect Gemini’s ability and the ability of its licensor to commercialize any product candidates Gemini may develop and any other product candidates or technologies covered by the asserted third-party patents. In order to successfully challenge the validity of any such U.S. patent in federal court, Gemini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Gemini or its licensor or other commercialization partners and Gemini were unable to successfully challenge the validity or enforceability of any such asserted patents, then Gemini or its licensor and other commercialization partners may be prevented from commercializing its product candidates, or may be required to pay significant damages, including treble damages and attorneys’ fees if Gemini is found to willfully infringe the asserted patents, or obtain a license to such patents, which may not be available on commercially</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reasonable terms, or at all. Even if Gemini were able to obtain a license, it could be non-exclusive, thereby giving its competitors and other third parties access to the same technologies licensed to us, and it could require us to make substantial licensing and royalty payments. Defense of these claims, regardless of their merit, would involve substantial litigation expense and would be a substantial diversion of employee resources from its business. Furthermore, because of the substantial amount of discovery required in connection with intellectual property litigation or administrative proceedings, there is a risk that some of its confidential information could be compromised by disclosure. In addition, any uncertainties resulting from the initiation and continuation of any litigation could have a material adverse effect on its ability to raise additional funds or otherwise have a material adverse effect on its business, results of operations, financial condition and prospects. Any of the foregoing would have a material adverse effect on Gemini’s business, financial condition and operating results.</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may be subject to claims by third parties asserting that its employees or Gemini has misappropriated a third party’s intellectual property, or claiming ownership of what Gemini regards as its own intellectual property.</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Many of Gemini’s employees, including its senior management, were previously employed at other biotechnology or pharmaceutical companies, including its competitors or potential competitors. Some of these employees executed proprietary rights, non-disclosure and non-competition agreements in connection with such previous employment. Gemini may be subject to claims that Gemini or these employees have used or disclosed confidential information or intellectual property, including trade secrets or other proprietary information, of any such employee’s former employer, or that third parties have an interest in its patents as an inventor or co-inventor. Litigation may be necessary to defend against these claims. If Gemini fails in prosecuting or defending any such claims, in addition to paying monetary damages, Gemini may lose valuable intellectual property rights or personnel or sustain other damages. Such intellectual property rights could be awarded to a third party, and Gemini could be required to obtain a license from such third party to commercialize its technology or products. Such a license may not be available on commercially reasonable terms, or at all. Even if Gemini successfully prosecutes or defends against such claims, litigation could result in substantial costs and distract management.</w:t>
      </w:r>
    </w:p>
    <w:p>
      <w:pPr>
        <w:spacing w:after="0" w:line="12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In addition, while it is Gemini’s policy to require its employees and contractors who may be involved in the conception or development of intellectual property to execute agreements assigning such intellectual property to us, Gemini may be unsuccessful in executing such an agreement with each party who, in fact, conceives or develops intellectual property that Gemini regards as its own. The assignment of intellectual property rights may not be self-executing, or the assignment agreements may be breached, and Gemini may be forced to bring claims against third parties, or defend claims that they may bring against us, to determine the ownership of what Gemini regards as its intellectual property. Such claims could have a material adverse effect on its business, financial condition, results of operations and prospects.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inability to protect its confidential information and trade secrets would harm its business and competitive position.</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to seeking patents for some of its technology and products, in its activities Gemini also relies substantially on trade secrets, including unpatented know-how, technology and other proprietary materials and information, to maintain its competitive position. Gemini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Gemini also enters into confidentiality and invention or patent assignment agreements with its employees and consultants. However, these steps may be inadequate, Gemini may fail to enter into agreements with all such parties or any of these parties may breach the agreements and disclose its proprietary information, and there may be no adequate remedy available for such breach of an agreement. Gemini cannot assure you that its proprietary information will not be disclosed or that Gemini can meaningfully protect its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its trade secrets, Gemini would have no right to prevent such competitor from using that technology or information to compete with us, which could harm its competitive position.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its intellectual property rights is uncertain because intellectual property rights have limitations and may not adequately protect Gemini’s business or permit Gemini to maintain our competitive advantage. For example:</w:t>
      </w:r>
    </w:p>
    <w:p>
      <w:pPr>
        <w:spacing w:after="0" w:line="108" w:lineRule="exact"/>
        <w:rPr>
          <w:sz w:val="20"/>
          <w:szCs w:val="20"/>
          <w:color w:val="auto"/>
        </w:rPr>
      </w:pPr>
    </w:p>
    <w:p>
      <w:pPr>
        <w:jc w:val="both"/>
        <w:ind w:left="1320" w:right="459" w:hanging="434"/>
        <w:spacing w:after="0" w:line="266" w:lineRule="auto"/>
        <w:tabs>
          <w:tab w:leader="none" w:pos="132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product candidates Gemini may develop or utilize similar technology but that are not covered by the claims of the patents that Gemini licenses or may own in the future;</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7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or its current or future collaborators, might not have been the first to make the inventions covered by the issued patents and pending patent applications that Gemini licenses or may own in the future;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or its current or future collaborators, might not have been the first to file patent applications covering certain of its or their inventions;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6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its technologies without infringing its owned or licensed intellectual property rights;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Gemini’s pending patent applications or those that it may own in the future will not lead to issued patents;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Gemini holds rights to may be held invalid or unenforceable, including as a result of legal challenges by its competitors;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competitors might conduct research and development activities in countries where Gemini does not have patent rights and then use the information learned from such activities to develop competitive products for sale in its major commercial markets;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not develop additional proprietary technologies that are patentable;</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its business;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may choose not to file a patent application in order to maintain certain trade secrets or know-how, and a third party may subsequently file a patent covering such intellectual property.</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its business, financial condition, results of operations and prospects.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Patents that ultimately issue that cover its product candidates could be found invalid or unenforceable if challenged in court or the USPTO.</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If Gemini or its licensing partner initiate legal proceedings against a third party to enforce a patent, if obtained, covering its product candidates, the defendant could counterclaim that the patent covering its product candidates,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equivalent proceedings in foreign jurisdictions (e.g., opposition proceedings). These types of proceedings could result in revocation or amendment to its patents such that they no longer cover its product candidates. The outcome for any particular patent following legal assertions of invalidity and unenforceability is unpredictable. With respect to the validity question, for example, Gemini cannot be certain that there is no invalidating prior art, of which Gemini, its patent counsel and the patent examiner were unaware during prosecution. If a defendant were to prevail on a legal assertion of invalidity and/or unenforceability, or if Gemini is otherwise unable to adequately protect its rights, Gemini would lose at least part, and perhaps all, of the patent protection on its product candidates. A loss of patent protection for its product candidates could have a material adverse impact on its ability to commercialize or license its technology and product candidates and, resultantly, on its business, financial condition, prospects and results of operations.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its ability to protect its product candidates.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Gemini’s success is heavily dependent on intellectual property, particularly patents. Obtaining and enforcing patents in the biotechnology industry involves technological and legal complexity, and obtaining and enforcing biotechnology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its and its licensor’s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its and its licensor’s ability to obtain new patents or to enforce existing patents and patents Gemini and its licensor may obtain in the future.</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Patent reform laws, such as the Leahy-Smith America Invents Act, or the Leahy-Smith Act, as well as changes in how patent laws are interpreted, could increase the uncertainties and costs surrounding the prosecution of its and its licensor’s patent applications and the enforcement or defense of its or its licensor’s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has on the operation of its business. However, the Leahy-Smith Act and its implementation could increase the uncertainties and costs surrounding the prosecution of its or its licensor’s patent applications and the enforcement or defense of its or its licensor’s issued patents, all of which could has a material adverse effect on its business, financial condition and results of operations.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Reliance on Third Parties”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will depend upon third parties, including independent investigators, to conduct its clinical trials under agreements with universities, medical institutions, CROs, strategic partners and others. Gemini expects to has to negotiate budgets and contracts with CROs and trial sites, which may result in delays to its development timelines and increased costs.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will rely heavily on third parties over the course of its clinical trials, and, as a result, will have limited control over the clinical investigators and limited visibility into their day-to-day activities, including with respect to their compliance with the approved clinical protocol. Nevertheless, its reliance on third parties does not relieve Gemini of its regulatory responsibilities and it will be responsible for ensuring that each of its trials is conducted in accordance with the applicable protocol, legal and regulatory requirements and scientific standards. Gemini and these third parties are required to comply with good clinical practice, or GCP, requirements, which are regulations and guidelines enforced by the FDA and applicable foreign regulatory authorities for product candidates in clinical development. Regulatory authorities enforce these GCP requirements through periodic inspections of trial sponsors, clinical investigators and trial sites. If Gemini or any of these third parties fail to comply with applicable GCP requirements, the clinical data generated in its clinical trials may be deemed unreliable and the FDA or applicable foreign regulatory authorities may require us to suspend or terminate these trials or perform additional nonclinical studies or clinical trials before</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approving its marketing applications. Gemini cannot be certain that, upon inspection, regulatory authorities will determine that any of its clinical trials comply with the GCP requirements. In addition, its clinical trials must be conducted with products produced under cGMP requirements and may require a large number of patients. Its failure or any failure by these third parties to comply with these applicable regulations or to recruit a sufficient number of patients may require us to repeat clinical trials, which would delay the regulatory approval process. Moreover, its business may be implicated if any of these third parties violates federal or state fraud and abuse or false claims laws and regulations or healthcare privacy and security laws.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third parties who may conduct its future clinical trials will not be its employees and, except for remedies that may be available to us under its agreements with those third parties, Gemini cannot control whether or not they devote sufficient time and resources to its ongoing nonclinical and clinical programs. These third parties may also have relationships with other commercial entities, including Gemini’s competitors, for whom they may also be conducting clinical trials or other product development activities, which could affect their performance on its behalf. If these third parties do not successfully carry out their contractual duties or obligations or meet expected deadlines, if they need to be replaced or if the quality or accuracy of the clinical data they obtain is compromised due to the failure to adhere to its clinical protocols or regulatory requirements or for other reasons, its clinical trials may be extended, delayed or terminated and Gemini may not be able to complete development of, obtain regulatory approval of or successfully commercialize its product candidates in a timely manner or at all. As a result, its financial results and the commercial prospects for its product candidates would be harmed, its costs could increase and its ability to generate revenue could be delayed.</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any of its relationships with these third-party CROs or others terminate, Gemini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its ability to meet its desired clinical development timelines. Though Gemini carefully manages its relationships with its CROs, there can be no assurance that Gemini will not encounter similar challenges or delays in the future or that these delays or challenges will not have a material adverse impact on its business, financial condition and prospects.</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CROs do not successfully carry out their contractual duties or obligations or meet expected deadlines or if the quality or accuracy of the clinical data they obtain is compromised due to the failure (including by clinical sites or investigators) to adhere to its clinical protocols, regulatory requirements or for other reasons, its clinical trials may be extended, delayed or terminated and Gemini may not be able to obtain regulatory approval for or successfully commercialize its product candidates. As a result, its results of operations and the commercial prospects for its product candidates would be harmed, its costs could increase substantially and its ability to generate revenues could be delayed significantly.</w:t>
      </w:r>
    </w:p>
    <w:p>
      <w:pPr>
        <w:spacing w:after="0" w:line="18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Gemini contracts with third parties for the manufacture of its product candidates for nonclinical testing and expects to continue to do so for clinical trials and for commercialization. This reliance on third parties increases the risk that Gemini will not have sufficient quantities of its product candidates or products, if approved, or that such supply will not be available to us at an acceptable cost, which could delay, prevent or impair its development or commercialization efforts.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have any manufacturing facilities. Gemini currently relies, and expect to continue to rely, on third-party manufacturers for the manufacture of its product candidates for nonclinical and clinical testing and for commercial supply of any of these product candidates for which Gemini obtains marketing approval. Reliance on third-party manufacturers may expose us to different risks than if Gemini were to manufacture product candidates itself. Any disruption in supply from any supplier or manufacturing location, including on account of the COVID-19 pandemic, could lead to supply delays or interruptions which would damage its business, financial condition, results of operations and prospects. To the extent any issues arise with its third-party manufacturers, Gemini may be unable to establish any agreements with any other third-party manufacturers or to do so on acceptable terms. Even if Gemini is able to establish agreements with third-party manufacturers, reliance on third-party manufacturers entails additional risks, including:</w:t>
      </w:r>
    </w:p>
    <w:p>
      <w:pPr>
        <w:spacing w:after="0" w:line="127" w:lineRule="exact"/>
        <w:rPr>
          <w:sz w:val="20"/>
          <w:szCs w:val="20"/>
          <w:color w:val="auto"/>
        </w:rPr>
      </w:pPr>
    </w:p>
    <w:p>
      <w:pPr>
        <w:ind w:left="1300" w:hanging="41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72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quality assurance and safety and pharmacovigilance reporting.</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applicable foreign regulatory requirements. Its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its product candidates and harm its business and results of operations.</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Any product candidates that Gemini may develop may compete with other product candidates and products for access to manufacturing facilities. There are a limited number of manufacturers that operate under cGMP regulations and that might be capable of manufacturing for us.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performance failure on the part of its existing or future manufacturers could delay clinical development or marketing approval. Gemini does not currently have arrangements in place for redundant supply for bulk drug substances. If any one of its current contract manufacturers cannot perform as agreed, Gemini may be required to replace that manufacturer. Although Gemini believes that there are several potential alternative manufacturers who could manufacture its product candidates, Gemini may incur added costs and delays in identifying and qualifying any such replacement.</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Its current and anticipated future dependence upon others for the manufacture of its product candidates may adversely affect its future profit margins and its ability to commercialize any product candidates that receive marketing approval on a timely and competitive basis.</w:t>
      </w:r>
    </w:p>
    <w:p>
      <w:pPr>
        <w:spacing w:after="0" w:line="172"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Gemini’s product candidates is complex and Gemini may encounter difficulties in production. If Gemini or any of its third-party manufacturers encounter such difficulties, or fails to meet rigorously enforced regulatory standards, its ability to provide supply of its product candidates for clinical trials or its products for patients, if approved, could be delayed or stopped, or Gemini may be unable to maintain a commercially viable cost structure.</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processes involved in manufacturing its product candidates are complex, expensive, highly-regulated, and subject to multiple risks. Further,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its product candidates to perform differently and affect the results of planned clinical trials or other future clinical trials.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the manufacturing process for any products that Gemini may develop is subject to FDA and other applicable foreign regulatory authority approval processes and continuous oversight, and Gemini will need to contract with manufacturers who can meet all applicable FDA and applicable foreign regulatory authority requirements, including, for example, complying with cGMPs, on an ongoing basis. If Gemini or its third-party manufacturers are unable to reliably produce products to specifications acceptable to the FDA or other regulatory authorities, Gemini may not obtain or maintain the approvals Gemini needs to commercialize such products. Even if Gemini obtains regulatory approval for any of its product candidates, there is no assurance that either Gemini or its contract manufacturers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or comparability nonclinical or clinical trials or the repetition of one or more clinical trials, increase clinical study costs, delay approval of its product candidates, impair commercialization efforts, increase its cost of goods, and has an adverse effect on its business, financial condition, results of operations, and growth prospects.</w:t>
      </w:r>
    </w:p>
    <w:p>
      <w:pPr>
        <w:spacing w:after="0" w:line="19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 may seek to establish collaborations, and, if Gemini is not able to establish them on commercially reasonable terms, Gemini may have to alter its development and commercialization plans.</w:t>
      </w:r>
    </w:p>
    <w:p>
      <w:pPr>
        <w:spacing w:after="0" w:line="7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may pursue collaborations in order to develop and commercialize GEM103 and other product candidates. Gemini face significant competition in seeking appropriate collaborators. Whether Gemini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may not be able to negotiate collaborations on a timely basis, on acceptable terms, or at all. If Gemini is unable to do so, Gemini may have to curtail the development of the product candidate for which Gemini is seeking to collaborate,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Gemini elects to increase its expenditures to fund development or commercialization activities on its own, Gemini may need to obtain additional capital, which may not be available to us on acceptable terms, or at all. If Gemini does not have sufficient funds, Gemini may not be able to further develop its product candidates or bring them to market and generate product revenue.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46"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Commercialization” to “we”, “us” and “our” generally refer to Gemini in the present tense or the Combined Entity from and after the Business Combination.</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Gemini commercializes its product candidates, these products may become subject to unfavorable pricing regulations, third-party reimbursement practices or healthcare reform initiatives, which could harm its business.</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Gemini might obtain marketing approval for a product in a particular country, but then be subject to price regulations that delay or limit its commercial launch of the product, possibly for lengthy time periods, which could negatively impact the revenue Gemini generates from the sale of the product in that particular country. Adverse pricing limitations may hinder its ability to recoup its investment in one or more product candidates, even if its product candidates obtain marketing approval.</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ability to commercialize any products successfully also will depend in part on the extent to which coverage and adequate reimbursement for these products and related treatments will be available from third-party payors such as government health administration authorities, private health insurers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Gemini cannot be sure that coverage and reimbursement will be available for any product that Gemini commercializes and, if reimbursement is available, what the level of reimbursement will be. Coverage and reimbursement may impact the demand for, or the price of, any product candidate for which Gemini obtains marketing approval, if any. If coverage and reimbursement are not available or reimbursement is available only to limited levels, Gemini may not be able to successfully commercialize any product candidate for which marketing approval is obtained, if any.</w:t>
      </w:r>
    </w:p>
    <w:p>
      <w:pPr>
        <w:spacing w:after="0" w:line="10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biologics, and coverage may be more limited than the purposes for which the product is approved by the FDA or applicable foreign regulatory authorities. Moreover, eligibility for coverage and reimbursement does not imply that a drug will be paid</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in all cases or at a rate that covers its costs, including research, development, manufacture, sale and distribution. Interim reimbursement levels for new drugs and biologics, if applicable, may also not be sufficient to cover its costs and may only be temporary.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drugs and biologics from countries where they may be sold at lower prices than in the United States. Its inability to promptly obtain coverage and profitable reimbursement rates third-party payors for any approved products that Gemini develops could have a material adverse effect on its operating results, its ability to raise capital needed to commercialize products and its overall financial condition.</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Gemini is unable to establish sales and marketing capabilities or enter into agreements with third parties to sell and market any product candidates Gemini may develop, Gemini may not be successful in commercializing those product candidates if and when they are approved.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does not currently have an infrastructure for the sales, marketing, and distribution of pharmaceutical products. In order to market its product candidates, if approved by the FDA or any other regulatory body, Gemini must build its sales, marketing, managerial, and other non-technical capabilities, or make arrangements with third parties to perform these services. There are risks involved with both establishing its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product candidate for which Gemini recruits a sales force and establishes marketing and other commercialization capabilities is delayed or does not occur for any reason, Gemini would have prematurely or unnecessarily incurred these commercialization expenses. This may be costly, and its investment would be lost if Gemini cannot retain or reposition its commercialization personnel.</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Gemini enter into arrangements with third parties to perform sales, marketing, commercial support, and distribution services, its product revenue or the profitability of product revenue may be lower than if Gemini were to market and sell any products Gemini may develop itself. In addition, Gemini may not be successful in entering into arrangements with third parties to commercialize its product candidates or may be unable to do so on terms that are favorable to us. Gemini may have little control over such third parties, and any of them may fail to devote the necessary resources and attention to sell and market its products effectively and they could expose its company to regulatory enforcement and legal risk in the execution of their sales and commercialization activities. If Gemini does not establish commercialization capabilities successfully, either on its own or in collaboration with third parties, Gemini will not be successful in commercializing its product candidates if approved.</w:t>
      </w:r>
    </w:p>
    <w:p>
      <w:pPr>
        <w:spacing w:after="0" w:line="113"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Gemini is unable to establish adequate sales, marketing, and distribution capabilities, whether independently or with third parties, or if Gemini is unable to do so on commercially reasonable terms, its business, results of operations, financial condition, and prospects will be materially adversely affected.</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Gemini’s product candidates may not achieve adequate market acceptance among physicians, patients, third-party payors and others in the medical community necessary for commercial success.</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Gemini’s product candidates receive regulatory approval, they may not gain adequate market acceptance among physicians, patients, third-party payors, pharmaceutical companies and others in the medical community. Demonstrating the safety and efficacy of its product candidates and obtaining regulatory approvals will not guarantee future revenue. Its commercial success also depends on coverage and adequate reimbursement of its product candidates by third-party payors, including government payors and private insurers, which may be difficult or time-consuming to obtain, may be limited in scope and may not be obtained in all jurisdictions in which Gemini may seek to market its products. Third-party payors closely examine medical products to determine whether they should be covered by reimbursement and, if so, the level of reimbursement that will apply. Gemini cannot be certain that third-party payors will sufficiently reimburse sales of its product, or enable us to sell its product at a profitable price. Similar concerns could also limit the reimbursement amounts that health insurers or government agencies in other countries are prepared to pay for its products. In many regions outside the United States where Gemini may pursue regulatory approvals and market its products, the pricing of prescription drugs is controlled by the government or regulatory agencies.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Regulatory agencies in these countries could determine that the pricing for its products should be based on prices of other commercially available products for the same disease, rather than allowing Gemini to market its products at a premium as new drugs. The degree of market acceptance of any of its approved product candidates will depend on a number of factors, including:</w:t>
      </w:r>
    </w:p>
    <w:p>
      <w:pPr>
        <w:spacing w:after="0" w:line="112" w:lineRule="exact"/>
        <w:rPr>
          <w:sz w:val="20"/>
          <w:szCs w:val="20"/>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 as demonstrated in clinical trials;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clinics and patients;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8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third-party payors;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its product candidates.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Gemini cannot predict whether physicians, physicians’ organizations, hospitals, other healthcare providers, government agencies or private insurers will determine that its product is safe, therapeutically effective and cost effective as compared with competing treatments. If any product candidate is approved but does not achieve an adequate level of acceptance by such parties, Gemini may not generate or derive sufficient revenue from that product candidate and may not become or remain profitable.</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Gemini may develop and insurance coverage may not be adequate.</w:t>
      </w:r>
    </w:p>
    <w:p>
      <w:pPr>
        <w:spacing w:after="0" w:line="9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Gemini faces an inherent risk of product liability exposure related to the testing of its product candidates in human clinical trials and will face an even greater risk if Gemini commercialize any resulting products. Product liability claims may be brought against us by subjects enrolled in its clinical trials, patients, their family members, healthcare providers or others using, administering or selling its products. If Gemini cannot successfully defend itself against claims that its product candidates or products that Gemini may develop caused injuries, Gemini could incur substantial liabilities. Regardless of merit or eventual outcome, liability claims may result in:</w:t>
      </w:r>
    </w:p>
    <w:p>
      <w:pPr>
        <w:spacing w:after="0" w:line="121" w:lineRule="exact"/>
        <w:rPr>
          <w:sz w:val="20"/>
          <w:szCs w:val="20"/>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Gemini may develop;</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its reputation and significant negative media attention;</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its business operations;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Gemini may develop;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its stock price.</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Its clinical trial liability insurance coverage may not adequately cover all liabilities that Gemini may incur. Gemini may not be able to maintain insurance coverage at a reasonable cost or in an amount adequate to satisfy any liability that may arise. Its inability to obtain product liability insurance at an acceptable cost or to otherwise protect against potential product liability claims could prevent or delay the commercialization of any products or product candidates that Gemini develop. Gemini intend to expand its insurance coverage for products to include the sale of commercial products if Gemini obtains marketing approval for its product candidates in development, but Gemini may be unable to obtain commercially reasonable product liability insurance for any products approved for marketing. Large judgments have been awarded in lawsuits based on drugs that had unanticipated side effects. If Gemini is sued for any injury caused by its products, product candidates or processes, its liability could exceed its product liability insurance coverage and its total assets. Claims against us, regardless of their merit or potential outcome, may also generate negative publicity or hurt our ability to obtain physician adoption of its product or expand its business.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FS Development and the Business Combination</w:t>
      </w:r>
    </w:p>
    <w:p>
      <w:pPr>
        <w:spacing w:after="0" w:line="16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FS Development and Combination” to “we”, “us” and “our” generally refer to FS Development in the present tense or the Combined Entity from and after the Business Combination.</w:t>
      </w:r>
    </w:p>
    <w:p>
      <w:pPr>
        <w:spacing w:after="0" w:line="17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Development’s Sponsor, directors and officers have interests in the Business Combination which may be different from or in addition to (and which may conflict with) the interests of its stockholders.</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Development’s Sponsor, officers and directors and their respective affiliates and associates have interests in and arising from the Business Combination that are different from, or in addition to, (and which may conflict with) the interests of FS Development’s public stockholders, which could result in a real or perceived conflict of interest. These interests include, among other things, the interests listed below:</w:t>
      </w:r>
    </w:p>
    <w:p>
      <w:pPr>
        <w:spacing w:after="0" w:line="99" w:lineRule="exact"/>
        <w:rPr>
          <w:sz w:val="20"/>
          <w:szCs w:val="20"/>
          <w:color w:val="auto"/>
        </w:rPr>
      </w:pPr>
    </w:p>
    <w:p>
      <w:pPr>
        <w:jc w:val="both"/>
        <w:ind w:left="1320" w:right="459" w:hanging="434"/>
        <w:spacing w:after="0" w:line="253" w:lineRule="auto"/>
        <w:tabs>
          <w:tab w:leader="none" w:pos="13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our initial business combination by August 14, 2022,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 .</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we fail to complete a business combination within the required period. Our Sponsor purchased the Founders Shares prior to the FS Development IPO for an aggregate purchase price of $25,000, and transferred 30,000 Founders Shares to each of Mr. Carey, Dr. Dubin and Dr. Pakianathan.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our Sponsor. If we do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1" w:lineRule="auto"/>
        <w:tabs>
          <w:tab w:leader="none" w:pos="139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5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and our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41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3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our Sponsor would be entitled to the repayment of any working capital loan and advances that have been made to FS Development and remain outstanding. As of the date of this proxy statement/prospectus, our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119"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we will continue to indemnify our existing directors and officers and will maintain a directors’ and officers’ liability insurance policy.</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7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our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our Sponsor or certain of our officers and directors to finance transaction costs in connection with an intended initial business combination.</w:t>
      </w:r>
    </w:p>
    <w:p>
      <w:pPr>
        <w:spacing w:after="0" w:line="119"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Business Combination Proposal — Interests of FS Development’s Directors and Officers and Others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additional information on interests of FS Development’s directors and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These financial interests of the Sponsor as well as FS Development’s directors and officers may have influenced their motivation in identifying and selecting Gemini as a business combination target, and their decision to approve the Business Combination. In considering the recommendations of the Board to vote for the proposals, its stockholders should consider these interests.</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Activities taken by FS Development’s affiliates to purchase, directly or indirectly, Public Shares will increase the likelihood of approval of the Business Combination Proposal and the other Proposals and may affect the market price of the FS Development’s securities.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Development’s Sponsor, directors, officers, advisors or their affiliates may purchase shares in privately negotiated transactions either prior to or following the Closing, although they are under no obligation to do so. None of FS Development’s Sponsor, directors, officers, advisors or their affiliates will make any such purchases when such parties are in possession of any material non-public information not disclosed to the seller or during a restricted period under</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Regulation M under the Exchange Act. Although none of FS Development’s Sponsor, directors, officers, advisors or their affiliates currently anticipate paying any premium purchase price for such Public Shares, in the event such parties do, the payment of a premium may not be in the best interest of those stockholders not receiving any such additional consideration. There is no limit on the number of shares that could be acquired by FS Development’s Sponsor, directors, officers, advisors or their affiliates, or the price such parties may pay, subject to compliance with applicable law and Nasdaq rules.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such transactions are effected, the consequence could be to cause the Business Combination to be approved in circumstances where such approval could not otherwise be obtained. Purchases of shares by the persons described above would allow them to exert more influence over the approval of the Business Combination Proposal and other proposals and would likely increase the chances that such Proposals would be approved. If the market does not view the Business Combination positively, purchases of Public Shares may have the effect of counteracting the market’s view, which would otherwise be reflected in a decline in the market price of FS Development’s securities. In addition, the termination of the support provided by these purchases may materially adversely affect the market price of FS Development’s securities. In addition, if such purchases are made, the public “float” of FS Development Class A Common Stock and the number of beneficial holders of FS Development Class A Common Stock may be reduced, possibly making it difficult to obtain or maintain the quotation, listing or trading of FS Development Class A Common Stock on a national securities exchange.</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Other than as expressly stated herein, there are no current commitments, plans or intentions to engage in any such transactions and no terms or conditions for any such transaction have been formulated. None of the funds in the Trust Account will be used to purchase shares in such transactions.</w:t>
      </w:r>
    </w:p>
    <w:p>
      <w:pPr>
        <w:spacing w:after="0" w:line="172"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FS Development did not obtain an opinion from an independent investment banking or accounting firm, and consequently, there can be no assurance from an independent source that the price FS Development is paying for is fair to FS Development from a financial point of view.</w:t>
      </w:r>
    </w:p>
    <w:p>
      <w:pPr>
        <w:spacing w:after="0" w:line="9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is not required to obtain an opinion from an independent investment banking or accounting firm that the price FS Development is paying in connection with the Business Combination is fair to FS Development from a financial point of view. The Board did not obtain a third-party valuation or fairness opinion in connection with its initial determination to approve and recommend the Business Combination. Accordingly, investors will be relying solely on the judgment of the Board in valuing Gemini’s business, and assuming the risk that the Board may not have properly valued the Business Combination.</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Sponsor has agreed to vote in favor of the Business Combination, regardless of how FS Development’s public stockholders vote.</w:t>
      </w:r>
    </w:p>
    <w:p>
      <w:pPr>
        <w:spacing w:after="0" w:line="9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Unlike some other blank check companies in which the initial stockholders agree to vote their Founders Shares in accordance with the majority of the votes cast by the public stockholders in connection with an initial business combination, the holders of the Founders Shares, pursuant to the Parent Support Agreement, have agreed, among other things, to vote their shares in favor of the Business Combination. Our initial stockholders</w:t>
      </w:r>
    </w:p>
    <w:p>
      <w:pPr>
        <w:spacing w:after="0" w:line="3"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own approximately % of our outstanding shares prior to the Business Combination. As a result, FS Development would need only , or approximately %, of the shares of FS Development Common</w:t>
      </w:r>
    </w:p>
    <w:p>
      <w:pPr>
        <w:spacing w:after="0" w:line="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Stock to be voted in favor of the Business Combination in order to have the Business Combination approved. Accordingly, it is more likely that the necessary stockholder approval will be received than would be the case if the Sponsor agreed to vote its Founders Shares in accordance with the majority of the votes cast by FS Development’s public stockholders.</w:t>
      </w:r>
    </w:p>
    <w:p>
      <w:pPr>
        <w:spacing w:after="0" w:line="18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FS Development has no operating history and is subject to a mandatory liquidation and subsequent dissolution requirement. If FS Development is unable to consummate a business combination, including the Business Combination, its public stockholders may be forced to wait more than 24 months before receiving distributions from the Trust Account.</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FS Development is a development stage blank check company, and it has no operating history and is subject to a mandatory liquidation and subsequent dissolution requirement. FS Development has until August 14, 2022 to complete a business combination. FS Development has no obligation to return funds to investors prior to such date unless (i) it consummates a business combination prior thereto or (ii) it seeks to amend its Current Charter prior to consummation of a business combination, and only then in cases where investors have sought to convert or sell their shares to FS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2" w:name="page83"/>
    <w:bookmarkEnd w:id="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Development. Only after the expiration of this full time period will public stockholders be entitled to distributions from the Trust Account if FS Development is unable to complete a business combination. Accordingly, investors’ funds may be unavailable to them until after such date and to liquidate their investment, public security holders may be forced to sell their Public Shares, potentially at a loss.</w:t>
      </w:r>
    </w:p>
    <w:p>
      <w:pPr>
        <w:spacing w:after="0" w:line="17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Closing, the Combined Entity’s only significant asset will be ownership of 100% of Gemini and such ownership may not be sufficient to pay dividends or make distributions or loans to enable it to pay any dividends on its Common Stock.</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Following the Closing, the Combined Entity will have no direct operations and no significant assets other than the ownership of 100% of Gemini. The Combined Entity will depend on Gemini for distributions, loans and other payments to generate the funds necessary to meet the Combined Entity’s financial obligations, including expenses related to operating as a publicly traded company, and to pay any dividends with respect to its Common Stock. In addition, there are legal and contractual restrictions in agreements governing current and future indebtedness of Gemini under its loan and security agreement with SVB. The earnings from, or other available assets of, Gemini, may not be sufficient to pay dividends or make distributions or loans to enable the Combined Entity to pay any dividends on its Common Stock.</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Subsequent to the Closing, FS Development may be required to take write-downs or write-offs, restructuring and impairment or other charges that could have a significant negative effect on its financial condition, results of operations and stock price, which could cause you to lose some or all of your investment.</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Although FS Development has conducted due diligence on Gemini, FS Development cannot assure you that this diligence revealed all material issues that may be present in Gemini’s business, that it would be possible to uncover all material issues through a customary amount of due diligence, or that factors outside of FS Development’s and Gemini’s control will not later arise. As a result, FS Development may be forced to later write-down or write-off assets, restructure its operations, or incur impairment or other charges that could result in losses. Even if FS Development’s due diligence successfully identifies certain risks, unexpected risks may arise and previously known risks may materialize in a manner not consistent with FS Development’s preliminary risk analysis. Even though these charges may be non-cash items and may not have an immediate impact on FS Development’s liquidity, the fact that FS Development reports charges of this nature could contribute to negative market perceptions about the Combined Entity’s or FS Development’s securities. In addition, charges of this nature may cause FS Development to be unable to obtain future financing on favorable terms or at all. Accordingly, any FS Development stockholder who chooses to remain a stockholder of the Combined Entity following the Business Combination could suffer a reduction in the value of their shares. Such stockholders are unlikely to have a remedy for such reduction in value unless they are able to successfully claim that the reduction was due to the breach by FS Development’s officers or directors of a duty of care or other fiduciary duty owed to them, or if they are able to successfully bring a private claim under securities laws that the proxy solicitation relating to the Business Combination contained an actionable material misstatement or material omission.</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actual financial position and results of operations may differ materially from the unaudited pro forma condensed combined financial information included in this proxy statement/prospectus may not be indicative of what FS Development’s actual financial position or results of operations would have been.</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 this proxy statement/prospectus is presented for illustrative purposes only and is not necessarily indicative of what FS Development’s actual financial position or results of operations would have been had the Business Combination been completed on the dates indicated. See the section 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for more information.</w:t>
      </w:r>
    </w:p>
    <w:p>
      <w:pPr>
        <w:spacing w:after="0" w:line="179"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third parties bring claims against FS Development or if FS Development files a bankruptcy petition or an involuntary bankruptcy petition is filed against FS Development that is not dismissed, the proceeds held in trust could be reduced and the per-share redemption price received by stockholders may be less than $10.00 (which was the offering price in our initial public offering).</w:t>
      </w:r>
    </w:p>
    <w:p>
      <w:pPr>
        <w:spacing w:after="0" w:line="11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Development’s placing of funds in trust may not protect those funds from third party claims against FS Development. Although FS Development will seek to have all vendors and service providers (except for our independent registered public accounting firm) FS Development engages and prospective target businesses FS Development negotiates with execute agreements with FS Development waiving any right, title, interest or claim of any kind in or to any monies held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the Trust Account for the benefit of FS Development’s public stockholders, they may not execute such agreements. Furthermore, even if such entities execute such agreements with FS Development, they may seek recourse against the Trust Account. Additionally, a court may not uphold the validity of such agreements. Accordingly, the proceeds held in trust could be subject to claims which could take priority over those of FS Development’s public stockholders.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if FS Development is forced to file a bankruptcy case or an involuntary bankruptcy case is filed against FS Development’s which is not dismissed, the proceeds held in the Trust Account could be subject to applicable bankruptcy law, and may be included in FS Development’s bankruptcy estate and subject to the claims of third parties with priority over the claims of FS Development’s stockholders. To the extent any bankruptcy claims deplete the Trust Account, FS Development may not be able to return to FS Development’s public stockholders at least $10.00 (which was the offering price in our initial public offering). As a result, if any such claims were successfully made against the Trust Account, the funds available for FS Development’s initial business combination, including the Business Combination, and redemptions could be reduced to less than $10.00 per Public Share.</w:t>
      </w:r>
    </w:p>
    <w:p>
      <w:pPr>
        <w:spacing w:after="0" w:line="11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Development’s stockholders may be held liable for claims by third parties against FS Development to the extent of distributions received by them.</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Current Charter provides that FS Development will continue in existence only until April 14, 2022. If FS Development has not completed a business combination by such date, FS Development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FS Development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FS Development’s remaining stockholders and the Board, dissolve and liquidate, subject in each case to FS Development’s obligations under Delaware law to provide for claims of creditors and the requirements of other applicable law.</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FS Development is forced to file a bankruptcy case or an involuntary bankruptcy case is filed against FS Development which is not dismissed, any distributions received by stockholders could be viewed under applicable debtor/creditor and/or bankruptcy laws as either a “preferential transfer” or a “fraudulent conveyance.” As a result, a bankruptcy court could seek to recover all amounts received by FS Development’s stockholders. Furthermore, because FS Development intends to distribute the proceeds held in the Public Shares to FS Development’s public stockholders promptly after expiration of the time FS Development has to complete an initial business combination, this may be viewed or interpreted as giving preference to FS Development’s public stockholders over any potential creditors with respect to access to or distributions from FS Development’s assets. Furthermore, the Board may be viewed as having breached their fiduciary duties to FS Development’s creditors and/or may have acted in bad faith, and thereby exposing itself and FS Development to claims of punitive damages, by paying public stockholders from the Trust Account prior to addressing the claims of creditors. FS Development cannot assure you that claims will not be brought against it for these reasons.</w:t>
      </w:r>
    </w:p>
    <w:p>
      <w:pPr>
        <w:spacing w:after="0" w:line="183"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FS Development’s ability to successfully effect the Business Combination and to be successful thereafter will be totally dependent upon the efforts of its key personnel, including Gemini’s key personnel, all of whom are expected to join FS Development following the Business Combination. While FS Development intends to closely scrutinize any individuals it engages after the Business Combination, it cannot assure you that its assessment of these individuals will prove to be correct.</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ability to successfully effect the Business Combination is dependent upon the efforts of FS Development’s key personnel, including key personnel of Gemini. Although FS Development expects all of such key personnel to remain with Gemini following the Business Combination, it is possible that FS Development will lose some key personnel, the loss of which could negatively impact the operations and profitability of the Combined Entity. While FS Development intends to closely scrutinize any individuals it engages after the Business Combination, it cannot assure you that its assessment of these individuals will prove to be correct. These individuals may be unfamiliar with the requirements of operating a public company which could cause FS Development to have to expend time and resources helping them become familiar with such requirements. This could be expensive and time-consuming and could lead to various regulatory issues which may adversely affect its operations. Additionally, FS Development</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cannot assure you that FS Development will be successful in integrating and retaining such key personnel, or in identifying and recruiting additional key individuals FS Development determines may be necessary following the Business Combination.</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market for FS Development’s securities may not continue, which would adversely affect the liquidity and price of its securities.</w:t>
      </w:r>
    </w:p>
    <w:p>
      <w:pPr>
        <w:spacing w:after="0" w:line="9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Following the Business Combination, the price of FS Development’s securities may fluctuate significantly due to the market’s reaction to the Business Combination and general market and economic conditions. An active trading market for FS Development’s securities following the Business Combination may never develop or, if developed, it may not be sustained. In addition, the price of FS Development’s securities after the Business Combination can vary due to general economic conditions and forecasts, FS Development’s general business condition and the release of FS Development’s financial reports. Additionally, if FS Development’s securities are not listed on, or become delisted from the Nasdaq for any reason, and are quoted on the OTC Bulletin Board, an inter-dealer automated quotation system for equity securities that is not a national securities exchange, the liquidity and price of FS Development’s securities may be more limited than if FS Development were quoted or listed on the NYSE American, LLC, the Nasdaq or another national securities exchange. You may be unable to sell your securities unless a market can be established or sustained.</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FS Development will be able to comply with the continued listing standards of the Nasdaq.</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 Class A Common Stock is expected to be listed on Nasdaq following the Business Combination. FS Development’s continued eligibility for listing may depend on the number of shares that are redeemed. If, after the Business Combination, the Nasdaq delists FS Development’s securities from trading on its exchange for failure to meet the listing standards, FS Development and its stockholders could face significant material adverse consequences including:</w:t>
      </w:r>
    </w:p>
    <w:p>
      <w:pPr>
        <w:spacing w:after="0" w:line="102" w:lineRule="exact"/>
        <w:rPr>
          <w:sz w:val="20"/>
          <w:szCs w:val="20"/>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FS Development’s securities;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2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FS Development Class A Common Stock is a “penny stock” which will require brokers trading in its FS Development Class A Common Stock to adhere to more stringent rules, possibly resulting in a reduced level of trading activity in the secondary trading market for FS Development Class A Common Stock;</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the event that the proceeds in the Trust Account are reduced below the lesser of (i) $10.00 per share and</w:t>
      </w:r>
    </w:p>
    <w:p>
      <w:pPr>
        <w:spacing w:after="0" w:line="27" w:lineRule="exact"/>
        <w:rPr>
          <w:sz w:val="20"/>
          <w:szCs w:val="20"/>
          <w:color w:val="auto"/>
        </w:rPr>
      </w:pPr>
    </w:p>
    <w:p>
      <w:pPr>
        <w:jc w:val="both"/>
        <w:ind w:left="460" w:right="459" w:hanging="6"/>
        <w:spacing w:after="0" w:line="251" w:lineRule="auto"/>
        <w:tabs>
          <w:tab w:leader="none" w:pos="7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8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Combination’s benefits do not meet the expectations of investors, stockholders or financial analysts, the market price of FS Development’s securities may decline.</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the benefits of the Business Combination do not meet the expectations of investors or securities analysts, the market price of FS Development’s securities prior to the Closing may decline. The market values of FS Development’s securities at the time of the Business Combination may vary significantly from their prices on the date the Merger Agreement was executed, the date of this proxy statement/prospectus, or the date on which FS Development’s stockholders vote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5" w:name="page86"/>
    <w:bookmarkEnd w:id="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the Business Combination. Because the number of shares to be issued pursuant to the Merger Agreement is fixed and will not be adjusted to reflect any changes in the market price of FS Development Class A Common Stock, the market value of FS Development stock issued in the Business Combination may be higher or lower than the value of these shares on an earlier date.</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following the Business Combination, fluctuations in the price of FS Development’s securities could contribute to the loss of all or part of your investment. Accordingly, the valuation ascribed to Gemini and FS Development Class A Common Stock in the Business Combination may not be indicative of the actual price that will prevail in the trading market following the Business Combination. If an active market for FS Development’s Class A Common Stock develops and continues, the trading price of FS Development’s Class A Common Stock following the Business Combination could be volatile and subject to wide fluctuations in response to various factors, some of which are beyond FS Development’s control. Any of the factors listed below could have a material adverse effect on your investment in FS Development’s Class A Common Stock and FS Development’s Class A Common Stock may trade at prices significantly below the price you paid for them. In such circumstances, the trading price of FS Development’s Class A Common Stock may not recover and may experience a further decline.</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Factors affecting the trading price of the Combined Entity’s securities following the Business Combination may include:</w:t>
      </w:r>
    </w:p>
    <w:p>
      <w:pPr>
        <w:spacing w:after="0" w:line="81" w:lineRule="exact"/>
        <w:rPr>
          <w:sz w:val="20"/>
          <w:szCs w:val="20"/>
          <w:color w:val="auto"/>
        </w:rPr>
      </w:pPr>
    </w:p>
    <w:p>
      <w:pPr>
        <w:ind w:left="1320" w:right="479" w:hanging="434"/>
        <w:spacing w:after="0" w:line="282" w:lineRule="auto"/>
        <w:tabs>
          <w:tab w:leader="none" w:pos="131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the Combined Entity’s quarterly financial results or the quarterly financial results of companies perceived to be similar to the Combined Entity;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the Combined Entity’s operating results;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Entity’s operating results failing to meet the expectation of securities analysts or investors in a particular period;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the Combined Entity or the market in general;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the Combined Entity;</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Entity’s ability to develop product candidates;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0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Combined Entity’s business, including any changes that affect development of Gemini’s product candidates, including GEM103, Gemini’s lead product candidate;</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the Combined Entity;</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Combined Entity’s capital structure, such as future issuances of securities or the incurrence of additional debt;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Combined Entity’s securities available for public sale;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board or management;</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FS Development’s directors, executive officers or significant stockholders or the perception that such sales could occur;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and acts of war or terrorism.</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the Combined Entity’s securities irrespective of its operating performance. The stock market in general and the Nasdaq in particular have experienced price and volume fluctuations that have often been unrelated or disproportionate to the operating performance of the particular companies affected. The trading prices and valuations of these stocks, and of the Combined Entity’s securities, may not be predictable. A loss of investor confidence in the market for biopharmaceutical stocks or the stocks of other companies which investors perceive to be similar to the Combined Entity could depress the Combined Entity’s stock</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price regardless of the Combined Entity’s business, prospects, financial conditions or results of operations. A decline in the market price of the Combined Entity’s securities also could adversely affect the Combined Entity’s ability to issue additional securities and the Combined Entity’s ability to obtain additional financing in the future.</w:t>
      </w:r>
    </w:p>
    <w:p>
      <w:pPr>
        <w:spacing w:after="0" w:line="176"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Following the Business Combination, if securities or industry analysts do not publish or cease publishing research or reports about the Combined Entity, its business, or its market, or if they change their recommendations regarding the Combined Entity’s securities adversely, the price and trading volume of the Combined Entity’s securities could decline.</w:t>
      </w:r>
    </w:p>
    <w:p>
      <w:pPr>
        <w:spacing w:after="0" w:line="11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trading market for the Combined Entity’s securities will be influenced by the research and reports that industry or securities analysts may publish about FS Development, its business, its market, or its competitors. Securities and industry analysts do not currently, and may never, publish research on FS Development or the Combined Entity. Because the Business Combination will result in Gemini being acquired by a special purpose acquisition company, research coverage from industry analysts may be limited. If no securities or industry analysts commence coverage of the Combined Entity, FS Development’s stock price and trading volume could be negatively impacted. If any of the analysts who may cover the Combined Entity change their recommendation regarding FS Development’s stock adversely, provide more favorable relative recommendations about FS Development’s competitors or publishes inaccurate or unfavorable research about the Combined Entity’s business, the price of the Combined Entity’s securities would likely decline. If any analyst who may cover the Combined Entity were to cease coverage of the Combined Entity or fail to regularly publish reports on it, FS Development could lose visibility in the financial markets, demand for the Combined Entity’s securities could decrease, which could cause its stock price or trading volume to decline.</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sales of shares by existing stockholders and future exercise of registration rights may adversely affect the market price of the Combined Entity’s common stock.</w:t>
      </w:r>
    </w:p>
    <w:p>
      <w:pPr>
        <w:spacing w:after="0" w:line="9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the Combined Entity’s common stock in the public market could occur at any time. If the Combined Entity’s stockholders sell, or the market perceives that the Combined Entity’s stockholders intend to sell, substantial amounts of the Combined Entity’s common stock in the public market, the market price of the Combined Entity’s common stock could decline.</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Registration Rights Agreement to be entered into in connection with the Business Combination,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the Combined Entity’s securities.</w:t>
      </w:r>
    </w:p>
    <w:p>
      <w:pPr>
        <w:spacing w:after="0" w:line="18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FS Development’s public stockholders will experience immediate dilution as a consequence of, among other transactions, the issuance of FS Development Class A Common Stock as consideration in the Business Combination and the PIPE Investment. Having a minority share position may reduce the influence that FS Development’s current stockholders have on the management of the Combined Entity.</w:t>
      </w:r>
    </w:p>
    <w:p>
      <w:pPr>
        <w:spacing w:after="0" w:line="11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 is anticipated that, upon the Closing, FS Development’s public stockholders (other than the PIPE Investment investors) will retain an ownership interest of approximately 26% in the Combined Entity, the PIPE Investment investors will own approximately 21%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ownership percentage with respect to the Combined Entity following the Business Combination does not take into account the redemption of any shares by FS Development’s public stockholders. If the actual facts are different than these assumptions (which they are likely to be), the percentage ownership retained by FS Development’s existing stockholders in the Combined Entity will be different.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Entity expects to incur significant additional costs as a result of being a public company, which may adversely affect its operating results and financial condition.</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Combined Entity expects to incur costs associated with corporate governance requirements, including requirements under the Sarbanes-Oxley Act of 2002, or the Sarbanes-Oxley Act, as well as rules implemented by the Dodd-Frank Wall Street Reform and Consumer Protection Act of 2010, or the Dodd-Frank Act, the SEC and Nasdaq. Its management and other personnel will need to devote a substantial amount of time to these compliance initiatives. Moreover, the Combined Entity expects these rules and regulations are expected to increase its accounting, legal and financial compliance costs and make some activities more time-consuming and costly. In addition, the Combined Entity will incur additional costs associated with its public company reporting requirements and the Combined Entity expects those costs to increase in the future. For example, the Combined Entity will be required to devote significant resources to complete the assessment and documentation of its internal control system and financial process under Section 404, including an assessment of the design of its information systems associated with its internal controls.</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date, the Combined Entity has not conducted a review of its internal control for the purpose of providing the reports required by these rules. During its review and testing, the Combined Entity may identify deficiencies and be unable to remediate them before the Combined Entity must provide the required reports. Furthermore, if the Combined Entity fails to remediate its existing material weakness in its internal control over financial reporting or if new material weaknesses are identified or arise in the future, the Combined Entity may not detect errors on a timely basis and its consolidated financial statements may be materially misstated. the Combined Entity or its independent registered public accounting firm may not be able to conclude on an ongoing basis that the Combined Entity has effective internal control over financial reporting, which could harm its operating results, cause investors to lose confidence in its reported financial information and cause the trading price of its stock to fall. In addition, as a public company the Combined Entity will be required to timely file accurate quarterly and annual reports with the SEC under the Exchange Act. Any failure to report its financial results on an accurate and timely basis could result in sanctions, lawsuits, delisting of its shares from Nasdaq or other adverse consequences. The Combined Entity will incur significant costs to remediate any material weaknesses the Combined Entity identifies through these efforts. The increased costs will increase its net loss and may require us to reduce costs in other areas of its business or increase the prices of its products or services. The Combined Entity also expects these rules and regulations to make it more expensive for us to maintain directors’ and officers’ liability insurance and the Combined Entity may be required to accept reduced policy limits and coverage or incur substantially higher costs to obtain the same or similar coverage. As a result, it may be more difficult for the Combined Entity to attract and retain qualified persons to serve on its board of directors, its board committees, or as executive officers. The Combined Entity cannot predict or estimate the amount of additional costs the Combined Entity may incur or the timing of such costs.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New laws and regulations, as well as changes to existing laws and regulations affecting public companies, including the provisions of the Sarbanes-Oxley Act, the Dodd-Frank Act and rules adopted by the SEC and Nasdaq, would likely result in increased costs as the Combined Entity responds to their requirements, which may adversely affect its operating results and financial condition.</w:t>
      </w:r>
    </w:p>
    <w:p>
      <w:pPr>
        <w:spacing w:after="0" w:line="9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the Proposed Charter and the Amended By-laws, as well as provisions of Delaware law, could impair a takeover attempt.</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Proposed Charter will contain provisions that may discourage unsolicited takeover proposals that stockholders may consider to be in their best interests. FS Development is also subject to anti-takeover provisions under Delaware law, which could discourage, delay, defer or prevent a merger, tender offer, proxy contest or other change of control transaction that a stockholder might consider in its best interest, including those attempts that might result in a premium over the market price for the shares of common stock held by the Combined Entity’s stockholders. These provisions provide for, among other things:</w:t>
      </w:r>
    </w:p>
    <w:p>
      <w:pPr>
        <w:spacing w:after="0" w:line="93" w:lineRule="exact"/>
        <w:rPr>
          <w:sz w:val="20"/>
          <w:szCs w:val="20"/>
          <w:color w:val="auto"/>
        </w:rPr>
      </w:pPr>
    </w:p>
    <w:p>
      <w:pPr>
        <w:ind w:left="1300" w:hanging="41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with a three-year staggered term;</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Combined Entity’s board of directors to issue one or more series of “blank check” preferred stock;</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3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the Combined Entity’s annual meetings; and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33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certain provisions of the organizational documents only by the affirmative vote of at least two-thirds of the Combined Entity’s then-outstanding shares of capital stock entitled to vote generally at an election of directors.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These anti-takeover provisions as well as certain provisions of Delaware law could make it more difficult for a third party to acquire the Combined Entity, even if the third party’s offer may be considered beneficial by many of the Combined Entity’s stockholders. As a result, the Combined Entity’s stockholders may be limited in their ability to obtain a premium for their shares. If prospective takeovers are not consummated for any reason, the Combined Entity may experience negative reactions from the financial markets, including negative impacts on the price of the Combined Entity common stock. These provisions could also discourage proxy contests and make it more difficult for the Combined Entity’s stockholders to elect directors of their choosing and to cause the Combined Entity to take other corporate actions that the Combined Entity’s stockholders desire. For more information, see “Charter Amendment Proposal.”</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Combination is subject to conditions, including certain conditions that may not be satisfied on a timely basis, if at all.</w:t>
      </w:r>
    </w:p>
    <w:p>
      <w:pPr>
        <w:spacing w:after="0" w:line="9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completion of the Business Combination is subject to a number of conditions. The completion of the Business Combination is not assured and is subject to risks, including the risk that approval of the Business Combination by FS Development stockholders is not obtained or that there are not sufficient funds in the Trust Account, in each case subject to certain terms specified in the Merger Agreement (as described under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 — Conditions to Closing</w:t>
      </w:r>
      <w:r>
        <w:rPr>
          <w:rFonts w:ascii="Times New Roman" w:cs="Times New Roman" w:eastAsia="Times New Roman" w:hAnsi="Times New Roman"/>
          <w:sz w:val="18"/>
          <w:szCs w:val="18"/>
          <w:color w:val="auto"/>
        </w:rPr>
        <w:t>”), or that other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are not satisfied. If FS Development does not complete the Business Combination, it could be subject to several risks, including:</w:t>
      </w:r>
    </w:p>
    <w:p>
      <w:pPr>
        <w:spacing w:after="0" w:line="108" w:lineRule="exact"/>
        <w:rPr>
          <w:sz w:val="20"/>
          <w:szCs w:val="20"/>
          <w:color w:val="auto"/>
        </w:rPr>
      </w:pPr>
    </w:p>
    <w:p>
      <w:pPr>
        <w:ind w:left="1320" w:right="479" w:hanging="434"/>
        <w:spacing w:after="0" w:line="282" w:lineRule="auto"/>
        <w:tabs>
          <w:tab w:leader="none" w:pos="13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may be liable for damages to one another under the terms and conditions of the Merger Agreement;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reactions from the financial markets, including declines in the price of FS Development’s Class A Common Stock due to the fact that current prices may reflect a market assumption that the Business Combination will be completed;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8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attention of FS Development’s management will have been diverted to the Business Combination rather than the pursuit of other opportunities in respect of an initial business combination.</w:t>
      </w:r>
    </w:p>
    <w:p>
      <w:pPr>
        <w:spacing w:after="0" w:line="93"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color w:val="auto"/>
        </w:rPr>
        <w:t>For more information about the closing conditions to the Business Combination, see the section 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Proposal — The Merger Agreement — Conditions to Closing</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FS Development or Gemini may waive one or more of the closing conditions without re-soliciting stockholder approval.</w:t>
      </w:r>
    </w:p>
    <w:p>
      <w:pPr>
        <w:spacing w:after="0" w:line="9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Certain conditions to FS Development’s or Gemini’s obligations to complete the Business Combination may be waived, in whole or in part, to the extent legally allowed, either unilaterally or by agreement of FS Development and Gemini. In the event of a waiver of a condition, the Board will evaluate the materiality of any such waiver to determine whether amendment of this proxy statement/prospectus and re-solicitation of proxies is necessary. In the event that the Board determines any such waiver is not significant enough to require re-solicitation of its stockholders, it will have the discretion to complete the Business Combination without seeking further stockholder approval.</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more information about the closing conditions to the Business Combination, see the section titled “The Business Combination Proposal — The Merger Agreement — Conditions to Closing.”</w:t>
      </w:r>
    </w:p>
    <w:p>
      <w:pPr>
        <w:spacing w:after="0" w:line="158"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Amended By-laws will provide that the Court of Chancery of the State of Delaware and the federal district courts of the District of Massachusetts will be the exclusive forums for substantially all disputes between the Combined Entity and its stockholders, which could limit the Combined Entity’s stockholders’ ability to obtain a favorable judicial forum for disputes with the Combined Entity or its directors, officers, or employees.</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Amended By-laws will provide that the Court of Chancery of the State of Delaware is the exclusive forum for:</w:t>
      </w:r>
    </w:p>
    <w:p>
      <w:pPr>
        <w:spacing w:after="0" w:line="94" w:lineRule="exact"/>
        <w:rPr>
          <w:sz w:val="20"/>
          <w:szCs w:val="20"/>
          <w:color w:val="auto"/>
        </w:rPr>
      </w:pPr>
    </w:p>
    <w:p>
      <w:pPr>
        <w:ind w:left="1300" w:hanging="41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its behalf;</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9" w:name="page90"/>
    <w:bookmarkEnd w:id="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51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Combined Entity arising under the Delaware General Corporation Law, the Proposed Charter, or the Amended By-laws;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8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the Proposed Charter or the Amended By-laws; and</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3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Combined Entity that is governed by the internal-affairs doctrine.</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This exclusive-forum provision would not apply to suits brought to enforce a duty or liability created by the Exchange Act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Amended By-laws provides that the federal district courts of the District of Massachusetts will be the exclusive forum for resolving any complaint asserting a cause of action arising under the Securities Act.</w:t>
      </w:r>
    </w:p>
    <w:p>
      <w:pPr>
        <w:spacing w:after="0" w:line="12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These exclusive-forum provisions may limit a stockholder’s ability to bring a claim in a judicial forum that it finds favorable for disputes with the Combined Entity or its directors, officers, or other employees, which may discourage lawsuits against the Combined Entity and its directors, officers, and other employees. If a court were to find either exclusive-forum provision in the Amended By-laws to be inapplicable or unenforceable in an action, it may incur additional costs associated with resolving the dispute in other jurisdictions, which could harm the Combined Entity’s business.</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Business Combination does not qualify as a tax-free reorganization under Section 368(a) of the Code, Gemini Equityholders may incur a substantially greater U.S. federal income tax liability as a result of the Business Combination.</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 and Gemini intend for the Business Combination to be treated for U.S. federal income tax purposes as a reorganization within the meaning of Section 368(a) of the Code. However, neither FS Development nor Gemini has requested, or intends to request, an opinion of tax counsel or a ruling from the Internal Revenue Service, or IRS, with respect to the tax consequences of the Business Combination and there can be no assurance that the companies’ position would be sustained by a court if challenged by the IRS. Accordingly, if the IRS or a court determines that the Business Combination does not qualify as a reorganization under Section 368(a) of the Code and is therefore fully taxable for U.S. federal income tax purposes, Gemini Equityholders generally would recognize taxable gain or loss on their receipt of Merger Consideration in connection with the Business Combination. For a more complete discussion of U.S. federal income tax consequences of the Business Combination, see the section titled “</w:t>
      </w:r>
      <w:r>
        <w:rPr>
          <w:rFonts w:ascii="Times New Roman" w:cs="Times New Roman" w:eastAsia="Times New Roman" w:hAnsi="Times New Roman"/>
          <w:sz w:val="18"/>
          <w:szCs w:val="18"/>
          <w:i w:val="1"/>
          <w:iCs w:val="1"/>
          <w:color w:val="auto"/>
        </w:rPr>
        <w:t>Certain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of the Business Combination to Gemini Equityholders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Redemption</w:t>
      </w:r>
    </w:p>
    <w:p>
      <w:pPr>
        <w:spacing w:after="0" w:line="146"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 Risks Related to the Redemption” to “we”, “us” and “our” generally refer to FS Development in the present tense or the Combined Entity from and after the Business Combination.</w:t>
      </w:r>
    </w:p>
    <w:p>
      <w:pPr>
        <w:spacing w:after="0" w:line="17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you or a “group” of stockholders of which you are a part are deemed to hold an aggregate of 20.0% or more of FS Development Class A Common Stock issued in the FS Development IPO, you (or, if a member of such a group, all of the members of such group in the aggregate) will lose the ability to redeem all such shares of 20.0% or more of FS Development Class A Common Stock issued in the FS Development IPO.</w:t>
      </w:r>
    </w:p>
    <w:p>
      <w:pPr>
        <w:spacing w:after="0" w:line="11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public stockholder,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of 20% or more of the shares of FS Development Class A Common Stock issued in the FS Development IPO. FS Development refers to such shares in excess of an aggregation of 20% or more of the shares issued in the FS Development IPO as “Unredeemable Shares.” In order to determine whether a stockholder is acting in concert or as a group with another stockholder, FS Development will require each public stockholder seeking to exercise redemption rights to certify to FS Development whether such stockholder is acting in concert or as a group with any other stockholder. Such certifications, together with other public information relating to stock ownership available to FS Development at that time, such as Section 13D, Section 13G and Section 16 filings under the Exchange Act, will be the sole basis on which FS Development makes the above-referenced determination. Your inability to redeem any Unredeemable Shares will reduce your influence over FS Development’s ability to</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consummate the Business Combination and you could suffer a material loss on your investment in FS Development if you sell Unredeemable Shares in open market transactions. Additionally, you will not receive redemption distributions with respect to the Unredeemable Shares if FS Development consummates the Business Combination. As a result, in order to dispose of such shares, you would be required to sell your stock in open market transactions, potentially at a loss. Notwithstanding the foregoing, stockholders may challenge FS Development’s determination as to whether a stockholder is acting in concert or as a group with another stockholder in a court of competent jurisdiction.</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a stockholder’s decision whether to redeem their shares for a pro rata portion of the Trust Account will put the stockholder in a better future economic position.</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 can give no assurance as to the price at which a stockholder may be able to sell its Public Shares in the future following the completion of the Business Combination or any alternative business combination. Certain events following the consummation of any initial business combination, including this Business Combination, may cause an increase in FS Development’s share price, and may result in a lower value realized now for a stockholder redeeming their shares than a stockholder of FS Development might realize in the future. Similarly, if a stockholder does not redeem their shares, the stockholder will bear the risk of ownership of the Public Shares after the consummation of any initial business combination, and there can be no assurance that a stockholder can sell its shares in the future for a greater amount than the redemption price set forth in this proxy statement/prospectus. A stockholder should consult the stockholder’s own tax and/or financial advisor for assistance on how this may affect his, her or its individual situation.</w:t>
      </w:r>
    </w:p>
    <w:p>
      <w:pPr>
        <w:spacing w:after="0" w:line="190"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FS Development’s stockholders fail to comply with the redemption requirements specified in this proxy statement/prospectus, they will not be entitled to redeem their shares of FS Development Class A Common Stock for a pro rata portion of the funds held in the Trust Account.</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Holders of Public Shares are required to submit a request in writing and deliver their stock (either physically or electronically) to FS Development’s transfer agent at least two (2) business days prior to the Special Meeting in order to exercise their rights to redeem their shares for a pro rata portion of the Trust Account. Stockholders electing to redeem their shares will receive their pro rata portion of the aggregate amount then on deposit in the Trust Account, including interest earned on the funds held in the Trust Account and not previously released to it to pay the Company’s franchise and income taxes, calculated as of two (2) business days prior to the anticipated Closing. See the section titled “</w:t>
      </w:r>
      <w:r>
        <w:rPr>
          <w:rFonts w:ascii="Times New Roman" w:cs="Times New Roman" w:eastAsia="Times New Roman" w:hAnsi="Times New Roman"/>
          <w:sz w:val="18"/>
          <w:szCs w:val="18"/>
          <w:i w:val="1"/>
          <w:iCs w:val="1"/>
          <w:color w:val="auto"/>
        </w:rPr>
        <w:t>Special Meeting of FS Development Stockholders — Redemption Rights</w:t>
      </w:r>
      <w:r>
        <w:rPr>
          <w:rFonts w:ascii="Times New Roman" w:cs="Times New Roman" w:eastAsia="Times New Roman" w:hAnsi="Times New Roman"/>
          <w:sz w:val="18"/>
          <w:szCs w:val="18"/>
          <w:color w:val="auto"/>
        </w:rPr>
        <w:t>” for additional information on how to exercise your redemption rights.</w:t>
      </w:r>
    </w:p>
    <w:p>
      <w:pPr>
        <w:spacing w:after="0" w:line="188"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FS Development’s stockholders who wish to redeem their shares for a pro rata portion of the Trust Account must comply with specific requirements for redemption that may make it more difficult for them to exercise their redemption rights prior to the deadline.</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public stockholders who wish to redeem their shares for a pro rata portion of the Trust Account must, among other things as fully described in the section titled “</w:t>
      </w:r>
      <w:r>
        <w:rPr>
          <w:rFonts w:ascii="Times New Roman" w:cs="Times New Roman" w:eastAsia="Times New Roman" w:hAnsi="Times New Roman"/>
          <w:sz w:val="18"/>
          <w:szCs w:val="18"/>
          <w:i w:val="1"/>
          <w:iCs w:val="1"/>
          <w:color w:val="auto"/>
        </w:rPr>
        <w:t>Special Meeting of FS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 Redemption Rights,</w:t>
      </w:r>
      <w:r>
        <w:rPr>
          <w:rFonts w:ascii="Times New Roman" w:cs="Times New Roman" w:eastAsia="Times New Roman" w:hAnsi="Times New Roman"/>
          <w:sz w:val="18"/>
          <w:szCs w:val="18"/>
          <w:color w:val="auto"/>
        </w:rPr>
        <w:t>” tender their certificates to FS Development’s transfer agent or deliver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to the transfer agent electronically through the Depository Trust Company, or DTC, at least two (2) business days prior to the Special Meeting. In order to obtain a physical stock certificate, a stockholder’s broker and/or clearing broker, DTC and FS Development’s transfer agent will need to act to facilitate this request. It is FS Development’s understanding that stockholders should generally allot at least two (2) weeks to obtain physical certificates from the transfer agent. However, because FS Development does not have any control over this process or over the brokers or DTC, it may take significantly longer than two (2) weeks to obtain a physical stock certificate. If it takes longer than anticipated to obtain a physical certificate, stockholders who wish to redeem their shares may be unable to obtain physical certificates by the deadline for exercising their redemption rights and thus will be unable to redeem their shares.</w:t>
      </w:r>
    </w:p>
    <w:p>
      <w:pPr>
        <w:spacing w:after="0" w:line="18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ability to execute FS Development’s strategic plan could be negatively impacted to the extent a significant number of stockholders choose to redeem their shares in connection with the Business Combination.</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the event the aggregate cash consideration FS Development would be required to pay for all shares of FS Development Class A Common Stock that are validly submitted for redemption plus any amount required to satisfy cash conditions pursuant to the terms of the Merger Agreement exceeds the aggregate amount of cash available to FS Development, FS Development may be required to increase the financial leverage FS Development’s business would have to support. This may negatively impact FS Development’s ability to execute on its own future strategic plan.</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proxy statement/prospectus contains forward-looking statements. Forward-looking statements provide FS Development’s and Gemini’s current expectations or forecasts of future events. Forward-looking statements include statements about FS Development’s and Gemini’s expectations, beliefs, plans, objectives, intentions, assumptions and other statements that are not historical facts.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 Forward-looking statements relating to FS Development in this proxy statement/prospectus include, but are not limited to, statements about FS Development’s:</w:t>
      </w:r>
    </w:p>
    <w:p>
      <w:pPr>
        <w:spacing w:after="0" w:line="121" w:lineRule="exact"/>
        <w:rPr>
          <w:sz w:val="20"/>
          <w:szCs w:val="20"/>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the Business Combination;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complete an initial business combination, including the Business Combination;</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the Closing conditions to the Business Combination, including approval by the stockholders of FS Development and the availability of at least $170 million of cash from the proceeds received from the PIPE Investment and in the Trust Account, after giving effect to redemptions of Public Shares, if any;</w:t>
      </w:r>
    </w:p>
    <w:p>
      <w:pPr>
        <w:spacing w:after="0" w:line="112"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performance following the Business Combination;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retaining or recruiting, or changes required in, our officers, key employees or directors following an initial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directors allocating their time to other businesses and potentially having conflicts of interest with Gemini’s business or in approving our initial business combination, as a result of which they would then receive expense reimbursements;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securities’ potential liquidity and trading;</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Merger Agreement;</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not held in the Trust Account;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from the outcome of any known and unknown litigation.</w:t>
      </w:r>
    </w:p>
    <w:p>
      <w:pPr>
        <w:spacing w:after="0" w:line="15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Forward-looking statements relating to Gemini and the Combined Entity following the Closing in this proxy statement/prospectus include, but are not limited to, statements about:</w:t>
      </w:r>
    </w:p>
    <w:p>
      <w:pPr>
        <w:spacing w:after="0" w:line="81" w:lineRule="exact"/>
        <w:rPr>
          <w:sz w:val="20"/>
          <w:szCs w:val="20"/>
          <w:color w:val="auto"/>
        </w:rPr>
      </w:pPr>
    </w:p>
    <w:p>
      <w:pPr>
        <w:jc w:val="both"/>
        <w:ind w:left="1320" w:right="479" w:hanging="434"/>
        <w:spacing w:after="0" w:line="282" w:lineRule="auto"/>
        <w:tabs>
          <w:tab w:leader="none" w:pos="1473"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Gemini’s clinical trials to demonstrate acceptable safety and efficacy of Gemini’s product candidates, including GEM103, Gemini’s lead product candidate, and other positive results;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2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clinical trials for GEM103 and Gemini’s other product candidates, including statements regarding the timing of initiation and completion of studies or trials and related preparatory work,</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during which the results of the trials will become available, and Gemini’s research and development programs;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ability to obtain marketing approvals of its product candidates and to meet existing or future regulatory standards or comply with post-approval requirements;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expectations regarding the potential market size and the size of the patient populations for its product candidates, if approved for commercial use;</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commercialization, marketing and manufacturing capabilities and strategy;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intellectual property position and expectations regarding its ability to obtain and maintain intellectual property protection;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2" w:name="page93"/>
    <w:bookmarkEnd w:id="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ability to identify additional products, product candidates or technologies with significant commercial potential that are consistent with its commercial objectives;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competitive position and expectations regarding developments and projections relating to its competitors and any competing therapies that are or become available;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8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expectations regarding developments and projections relating to Gemini’s competitors and industry.</w:t>
      </w:r>
    </w:p>
    <w:p>
      <w:pPr>
        <w:spacing w:after="0" w:line="9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proxy statement/prospectus, and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statements that FS Development or Gemini “believes” and similar statements reflect such parties’ beliefs and opinions on the relevant subject. These statements are based upon information available to such party as of the date of this proxy statement/prospectus, and while such party believes such information forms a reasonable basis for such statements, such information may be limited or incomplete, and these statements should not be read to indicate that either FS Development or Gemini has conducted an exhaustive inquiry into, or review of, all potentially available relevant information. These statements are inherently uncertain and investors are cautioned not to unduly rely upon these statements.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in deciding how to grant your proxy or instruct how your vote should be cast or vote your shares on the proposals set forth in this proxy statement/prospectus. As a result of a number of known and unknown risks and uncertainties, our actual results or performance may be materially different from those expressed or implied by these forward-looking statements. Some factors that could cause the Combined Entity’s actual results to differ include:</w:t>
      </w:r>
    </w:p>
    <w:p>
      <w:pPr>
        <w:spacing w:after="0" w:line="116" w:lineRule="exact"/>
        <w:rPr>
          <w:sz w:val="20"/>
          <w:szCs w:val="20"/>
          <w:color w:val="auto"/>
        </w:rPr>
      </w:pPr>
    </w:p>
    <w:p>
      <w:pPr>
        <w:ind w:left="1320" w:right="479" w:hanging="434"/>
        <w:spacing w:after="0" w:line="282" w:lineRule="auto"/>
        <w:tabs>
          <w:tab w:leader="none" w:pos="1324"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circumstances that could give rise to the termination of the Business Combination;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FS Development, Gemini or others following announcement of the Business Combination and the transactions contemplated therein;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5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transactions contemplated by the Business Combination due to the failure to obtain approval of the stockholders of FS Development or Gemini or other conditions to closing in the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proposed transaction disrupts current plans and operations as a result of the announcement and the Closing;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the ability of the Combined Entity to grow and manage growth profitably, maintain relationships with customers, compete within its industry and retain its key employees;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proposed Business Combination;</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FS Development or Gemini may be adversely impacted by other economic, business, and/or competitive factors;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exchange and interest rates; and</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6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proxy statement/prospectus, including those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herein, and other filings that have been made or will be made with the SEC.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3" w:name="page94"/>
    <w:bookmarkEnd w:id="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FS DEVELOPMENT STOCKHOLDERS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is furnishing this proxy statement/prospectus to its stockholders as part of the solicitation of</w:t>
      </w:r>
    </w:p>
    <w:p>
      <w:pPr>
        <w:spacing w:after="0" w:line="2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proxies by the Board for use at the Special Meeting to be held on , 2021 and at any adjournment or postponement thereof. This proxy statement/prospectus provides FS Development’s stockholders with information they need to know to be able to vote or direct their vote to be cast at the Special Meeting.</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Time and Place</w:t>
            </w:r>
          </w:p>
        </w:tc>
        <w:tc>
          <w:tcPr>
            <w:tcW w:w="1320" w:type="dxa"/>
            <w:vAlign w:val="bottom"/>
          </w:tcPr>
          <w:p>
            <w:pPr>
              <w:spacing w:after="0"/>
              <w:rPr>
                <w:sz w:val="20"/>
                <w:szCs w:val="20"/>
                <w:color w:val="auto"/>
              </w:rPr>
            </w:pPr>
          </w:p>
        </w:tc>
        <w:tc>
          <w:tcPr>
            <w:tcW w:w="3720" w:type="dxa"/>
            <w:vAlign w:val="bottom"/>
          </w:tcPr>
          <w:p>
            <w:pPr>
              <w:spacing w:after="0"/>
              <w:rPr>
                <w:sz w:val="20"/>
                <w:szCs w:val="20"/>
                <w:color w:val="auto"/>
              </w:rPr>
            </w:pPr>
          </w:p>
        </w:tc>
      </w:tr>
      <w:tr>
        <w:trPr>
          <w:trHeight w:val="365"/>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The Special Meeting will be held on</w:t>
            </w:r>
          </w:p>
        </w:tc>
        <w:tc>
          <w:tcPr>
            <w:tcW w:w="1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2021, at</w:t>
            </w: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Eastern Time, via live webcast at the following</w:t>
            </w:r>
          </w:p>
        </w:tc>
      </w:tr>
    </w:tbl>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address: . In light of the COVID-19 pandemic and to support the well-being of FS Development’s stockholders, directors and management, the Special Meeting will be completely virtual.</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Power; Record Date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You will be entitled to vote or direct votes to be cast at the Special Meeting if you owned shares of FS</w:t>
      </w:r>
    </w:p>
    <w:p>
      <w:pPr>
        <w:spacing w:after="0" w:line="27"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Development Common Stock at the close of business on , 2021, which is the Record Date. You are entitled to one vote for each share of FS Development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w:t>
      </w:r>
    </w:p>
    <w:p>
      <w:pPr>
        <w:spacing w:after="0" w:line="2" w:lineRule="exact"/>
        <w:rPr>
          <w:sz w:val="20"/>
          <w:szCs w:val="20"/>
          <w:color w:val="auto"/>
        </w:rPr>
      </w:pPr>
    </w:p>
    <w:p>
      <w:pPr>
        <w:ind w:left="460"/>
        <w:spacing w:after="0"/>
        <w:tabs>
          <w:tab w:leader="none" w:pos="4180" w:val="left"/>
        </w:tabs>
        <w:rPr>
          <w:sz w:val="20"/>
          <w:szCs w:val="20"/>
          <w:color w:val="auto"/>
        </w:rPr>
      </w:pPr>
      <w:r>
        <w:rPr>
          <w:rFonts w:ascii="Times New Roman" w:cs="Times New Roman" w:eastAsia="Times New Roman" w:hAnsi="Times New Roman"/>
          <w:sz w:val="18"/>
          <w:szCs w:val="18"/>
          <w:color w:val="auto"/>
        </w:rPr>
        <w:t>counted. On the Record Date, there were</w:t>
      </w:r>
      <w:r>
        <w:rPr>
          <w:sz w:val="20"/>
          <w:szCs w:val="20"/>
          <w:color w:val="auto"/>
        </w:rPr>
        <w:tab/>
      </w:r>
      <w:r>
        <w:rPr>
          <w:rFonts w:ascii="Times New Roman" w:cs="Times New Roman" w:eastAsia="Times New Roman" w:hAnsi="Times New Roman"/>
          <w:sz w:val="18"/>
          <w:szCs w:val="18"/>
          <w:color w:val="auto"/>
        </w:rPr>
        <w:t>shares of FS Development Common Stock outstanding, of</w:t>
      </w:r>
    </w:p>
    <w:p>
      <w:pPr>
        <w:spacing w:after="0" w:line="9" w:lineRule="exact"/>
        <w:rPr>
          <w:sz w:val="20"/>
          <w:szCs w:val="20"/>
          <w:color w:val="auto"/>
        </w:rPr>
      </w:pPr>
    </w:p>
    <w:p>
      <w:pPr>
        <w:ind w:left="460"/>
        <w:spacing w:after="0"/>
        <w:tabs>
          <w:tab w:leader="none" w:pos="1240" w:val="left"/>
          <w:tab w:leader="none" w:pos="3420" w:val="left"/>
        </w:tabs>
        <w:rPr>
          <w:sz w:val="20"/>
          <w:szCs w:val="20"/>
          <w:color w:val="auto"/>
        </w:rPr>
      </w:pPr>
      <w:r>
        <w:rPr>
          <w:rFonts w:ascii="Times New Roman" w:cs="Times New Roman" w:eastAsia="Times New Roman" w:hAnsi="Times New Roman"/>
          <w:sz w:val="18"/>
          <w:szCs w:val="18"/>
          <w:color w:val="auto"/>
        </w:rPr>
        <w:t>which</w:t>
      </w:r>
      <w:r>
        <w:rPr>
          <w:sz w:val="20"/>
          <w:szCs w:val="20"/>
          <w:color w:val="auto"/>
        </w:rPr>
        <w:tab/>
      </w:r>
      <w:r>
        <w:rPr>
          <w:rFonts w:ascii="Times New Roman" w:cs="Times New Roman" w:eastAsia="Times New Roman" w:hAnsi="Times New Roman"/>
          <w:sz w:val="18"/>
          <w:szCs w:val="18"/>
          <w:color w:val="auto"/>
        </w:rPr>
        <w:t>are Public Shares and</w:t>
      </w:r>
      <w:r>
        <w:rPr>
          <w:sz w:val="20"/>
          <w:szCs w:val="20"/>
          <w:color w:val="auto"/>
        </w:rPr>
        <w:tab/>
      </w:r>
      <w:r>
        <w:rPr>
          <w:rFonts w:ascii="Times New Roman" w:cs="Times New Roman" w:eastAsia="Times New Roman" w:hAnsi="Times New Roman"/>
          <w:sz w:val="17"/>
          <w:szCs w:val="17"/>
          <w:color w:val="auto"/>
        </w:rPr>
        <w:t>are Founders Shares held by the Sponsor.</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of the Sponsor, Directors and Officers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connection with the FS Development IPO, FS Development entered into agreements with each of its Sponsor, directors and officers pursuant to which each agreed to vote any shares of FS Development Common Stock owned by it in favor of the Business Combination Proposal and for all other proposals presented at the Special Meeting. These agreements apply to the Sponsor as it relates to the Founders Shares and the requirement to vote such shares in favor of the Business Combination Proposal and for all other proposals presented to FS Development stockholders in this proxy statement/prospectus.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Development’s Sponsor, directors and officers have waived any redemption rights, including with respect to shares of FS Development Common Stock issued or purchased in the FS Development IPO or in the aftermarket, in connection with Business Combination.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 and Required Vote for Proposals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quorum of FS Development stockholders is necessary to hold a valid meeting. A quorum will be present at the Special Meeting if a majority of the FS Development Common Stock outstanding and entitled to vote at the Special Meeting is represented in person or by proxy at the Special Meeting.</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approval of the Charter Amendment Proposal requires the affirmative vote of a majority of the issued and outstanding FS Development Common Stock as of the Record Date for the Special Meeting, voting together as a single class. The approval of the Business Combination Proposal, the Nasdaq Stock Issuance Proposal, the Incentive Plan Proposal, the Advisory Charter Approvals and the Adjournment Proposal each require the affirmative vote of the holders of a majority of the shares of FS Development Common Stock cast by the stockholders represented in person or by proxy and entitled to vote thereon at the Special Meeting, voting together as a single class.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Business Combination Proposal is not approved, the Nasdaq Stock Issuance Proposal, the Charter Amendment Proposal, the Advisory Charter Proposals, and the Incentive Plan Proposal will not be presented to the FS Development stockholders for a vote. The approval of the Business Combination Proposal, the Nasdaq Stock Issuance Proposal, the Charter Amendment Proposal, and the Incentive Plan Proposal are preconditions to the Closing. The Nasdaq Stock Issuance Proposal, the Charter Amendment Proposal, the Advisory Charter Proposal and the Incentive Plan Proposal are conditioned on the approval of the Business Combination Proposal (and the Business Combination Proposal is conditioned on the approval of the Nasdaq Stock Issuance Proposal, the Charter Amendment Proposal, and the Incentive Plan Proposal). The Adjournment Proposal is not conditioned on the approval of any other proposal set forth in this proxy statement/prospectus.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It is important for you to note that in the event the Business Combination Proposal does not receive the requisite vote for approval, then FS Development will not consummate the Business Combination. If FS Development does not consummate the Business Combination and fails to complete an initial business combination by August 14, 2022, FS Development will be required to dissolve and liquidate its Trust Account by returning the then remaining funds in such account to the public stockholders.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Special Meeting, FS Development will count a properly executed proxy marked “ABSTAIN” with respect to a particular proposal as present for purposes of determining whether a quorum is present. The failure to vote, abstentions and broker non-votes will have the same effect as a vote “AGAINST” the Charter Amendment Proposal. The failure to vote, abstentions and broker non-votes will not be counted as votes cast and will have no effect on any of the Business Combination Proposal, the Nasdaq Stock Issuance Proposal, the Advisory Charter Proposals, the Incentive Plan Proposal, or the Adjournment Proposal.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has unanimously determined that each of the Proposals is fair to and in the best interests of FS Development and its stockholders, and has unanimously approved such proposals. The Board unanimously recommends that stockholders:</w:t>
      </w:r>
    </w:p>
    <w:p>
      <w:pPr>
        <w:spacing w:after="0" w:line="95" w:lineRule="exact"/>
        <w:rPr>
          <w:sz w:val="20"/>
          <w:szCs w:val="20"/>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Business Combination Proposal;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Nasdaq Stock Issuance Proposal;</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Charter Amendment Proposal;</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each of the Advisory Charter Proposals;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Incentive Plan Proposal;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Adjournment Proposal, if it is presented to the meeting.</w:t>
      </w:r>
    </w:p>
    <w:p>
      <w:pPr>
        <w:spacing w:after="0" w:line="144" w:lineRule="exact"/>
        <w:rPr>
          <w:sz w:val="20"/>
          <w:szCs w:val="20"/>
          <w:color w:val="auto"/>
        </w:rPr>
      </w:pPr>
    </w:p>
    <w:p>
      <w:pPr>
        <w:jc w:val="both"/>
        <w:ind w:left="460" w:right="479" w:firstLine="45"/>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 Proposals, you should keep in mind that the Sponsor, members of the Board and officers of FS Development have interests in the Business Combination that are different from or in addition to (or which may conflict with) your interests as a stockholder.</w:t>
      </w:r>
    </w:p>
    <w:p>
      <w:pPr>
        <w:spacing w:after="0" w:line="11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Business Combination Proposal — Interests of FS Development’s Directors and Officers and Others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for additional information on interests of FS Development’s directors and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Each share of FS Development Common Stock that you own in your name entitles you to one vote. If you are a record owner of your shares, there are two ways to vote your shares of FS Development Common Stock at the Special Meeting:</w:t>
      </w:r>
    </w:p>
    <w:p>
      <w:pPr>
        <w:spacing w:after="0" w:line="93" w:lineRule="exact"/>
        <w:rPr>
          <w:sz w:val="20"/>
          <w:szCs w:val="20"/>
          <w:color w:val="auto"/>
        </w:rPr>
      </w:pPr>
    </w:p>
    <w:p>
      <w:pPr>
        <w:jc w:val="both"/>
        <w:ind w:left="1320" w:right="459" w:hanging="434"/>
        <w:spacing w:after="0" w:line="256" w:lineRule="auto"/>
        <w:tabs>
          <w:tab w:leader="none" w:pos="132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 Can Vote By Signing and Returning the Enclosed Proxy Card</w:t>
      </w:r>
      <w:r>
        <w:rPr>
          <w:rFonts w:ascii="Times New Roman" w:cs="Times New Roman" w:eastAsia="Times New Roman" w:hAnsi="Times New Roman"/>
          <w:sz w:val="18"/>
          <w:szCs w:val="18"/>
          <w:color w:val="auto"/>
        </w:rPr>
        <w:t>. If you vote by proxy card,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whose name is listed on the proxy card, will vote your shares as you instruct on the proxy card. If you sign and return the proxy card but do not give instructions on how to vote your shares, your shares will be voted as recommended by the Board “FOR” the Business Combination Proposal, the Nasdaq Stock Issuance Proposal, the Charter Amendment Proposal, the Advisory Charter Proposals, the Incentive Plan Proposal, and the Adjournment Proposal (if presented). Votes received after a matter has been voted upon at the Special Meeting will not be counted.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Can Attend the Special Meeting and Vote Through the Internet</w:t>
      </w:r>
      <w:r>
        <w:rPr>
          <w:rFonts w:ascii="Times New Roman" w:cs="Times New Roman" w:eastAsia="Times New Roman" w:hAnsi="Times New Roman"/>
          <w:sz w:val="18"/>
          <w:szCs w:val="18"/>
          <w:color w:val="auto"/>
        </w:rPr>
        <w:t>. You will be able to attend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online and vote during the meeting by visiting and entering the control number included on your proxy card or on the instructions that accompanied your proxy materials, as applicable.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If your shares are held in “street name” or are in a margin or similar account, you should contact your broker to ensure that votes related to the shares you beneficially own are properly counted. If you wish to attend the meeting and vote online and your shares are held in “street name,” you must obtain a legal proxy from your broker, bank or nominee. That is the only way FS Development can be sure that the broker, bank or nominee has not already voted your shares.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Revoking Your Proxy</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you are a record owner of your shares and you give a proxy, you may change or revoke it at any time before it is exercised by doing any one of the following:</w:t>
      </w:r>
    </w:p>
    <w:p>
      <w:pPr>
        <w:spacing w:after="0" w:line="94" w:lineRule="exact"/>
        <w:rPr>
          <w:sz w:val="20"/>
          <w:szCs w:val="20"/>
          <w:color w:val="auto"/>
        </w:rPr>
      </w:pPr>
    </w:p>
    <w:p>
      <w:pPr>
        <w:ind w:left="1300" w:hanging="414"/>
        <w:spacing w:after="0"/>
        <w:tabs>
          <w:tab w:leader="none" w:pos="13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new proxy card bearing a later date;</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written notice of your revocation to FS Development’s Corporate Secretary, which notice must be received by FS Development’s Corporate Secretary prior to the vote at the Special Meeting;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electronically at the Special Meeting by visiting and entering the control number found on your proxy card, voting instruction form or notice you previously received. Please note that your attendance at the Special Meeting will not alone serve to revoke your proxy.</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by your broker, bank or another nominee as of the close of business on the Record Date, you must follow the instructions of your broker, bank or other nominee to revoke or change your voting instructions.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Answer Your Questions About Voting Your Shares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you are a stockholder and have any questions about how to vote or direct a vote in respect of your FS Development Common Stock, you may call Morrow Sodali LLC, FS Development’s proxy solicitor, at (800)</w:t>
      </w:r>
    </w:p>
    <w:p>
      <w:pPr>
        <w:ind w:left="460"/>
        <w:spacing w:after="0"/>
        <w:tabs>
          <w:tab w:leader="none" w:pos="1480" w:val="left"/>
          <w:tab w:leader="none" w:pos="2780" w:val="left"/>
          <w:tab w:leader="none" w:pos="3300" w:val="left"/>
          <w:tab w:leader="none" w:pos="4060" w:val="left"/>
          <w:tab w:leader="none" w:pos="5120" w:val="left"/>
          <w:tab w:leader="none" w:pos="5960" w:val="left"/>
          <w:tab w:leader="none" w:pos="6600" w:val="left"/>
          <w:tab w:leader="none" w:pos="7560" w:val="left"/>
          <w:tab w:leader="none" w:pos="8080" w:val="left"/>
        </w:tabs>
        <w:rPr>
          <w:sz w:val="20"/>
          <w:szCs w:val="20"/>
          <w:color w:val="auto"/>
        </w:rPr>
      </w:pPr>
      <w:r>
        <w:rPr>
          <w:rFonts w:ascii="Times New Roman" w:cs="Times New Roman" w:eastAsia="Times New Roman" w:hAnsi="Times New Roman"/>
          <w:sz w:val="18"/>
          <w:szCs w:val="18"/>
          <w:color w:val="auto"/>
        </w:rPr>
        <w:t>662-5200</w:t>
      </w:r>
      <w:r>
        <w:rPr>
          <w:sz w:val="20"/>
          <w:szCs w:val="20"/>
          <w:color w:val="auto"/>
        </w:rPr>
        <w:tab/>
      </w:r>
      <w:r>
        <w:rPr>
          <w:rFonts w:ascii="Times New Roman" w:cs="Times New Roman" w:eastAsia="Times New Roman" w:hAnsi="Times New Roman"/>
          <w:sz w:val="18"/>
          <w:szCs w:val="18"/>
          <w:color w:val="auto"/>
        </w:rPr>
        <w:t>(Individuals)</w:t>
      </w:r>
      <w:r>
        <w:rPr>
          <w:sz w:val="20"/>
          <w:szCs w:val="20"/>
          <w:color w:val="auto"/>
        </w:rPr>
        <w:tab/>
      </w: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658-9400</w:t>
      </w:r>
      <w:r>
        <w:rPr>
          <w:sz w:val="20"/>
          <w:szCs w:val="20"/>
          <w:color w:val="auto"/>
        </w:rPr>
        <w:tab/>
      </w:r>
      <w:r>
        <w:rPr>
          <w:rFonts w:ascii="Times New Roman" w:cs="Times New Roman" w:eastAsia="Times New Roman" w:hAnsi="Times New Roman"/>
          <w:sz w:val="18"/>
          <w:szCs w:val="18"/>
          <w:color w:val="auto"/>
        </w:rPr>
        <w:t>(banks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brokers)</w:t>
      </w:r>
      <w:r>
        <w:rPr>
          <w:sz w:val="20"/>
          <w:szCs w:val="20"/>
          <w:color w:val="auto"/>
        </w:rPr>
        <w:tab/>
      </w:r>
      <w:r>
        <w:rPr>
          <w:rFonts w:ascii="Times New Roman" w:cs="Times New Roman" w:eastAsia="Times New Roman" w:hAnsi="Times New Roman"/>
          <w:sz w:val="18"/>
          <w:szCs w:val="18"/>
          <w:color w:val="auto"/>
        </w:rPr>
        <w:t>or</w:t>
      </w:r>
      <w:r>
        <w:rPr>
          <w:sz w:val="20"/>
          <w:szCs w:val="20"/>
          <w:color w:val="auto"/>
        </w:rPr>
        <w:tab/>
      </w:r>
      <w:r>
        <w:rPr>
          <w:rFonts w:ascii="Times New Roman" w:cs="Times New Roman" w:eastAsia="Times New Roman" w:hAnsi="Times New Roman"/>
          <w:sz w:val="17"/>
          <w:szCs w:val="17"/>
          <w:color w:val="auto"/>
        </w:rPr>
        <w:t>email: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FSDC.info@investor.morrowsodali.com.</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Additional Matters May Be Presented at the Special Meeting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Special Meeting has been called only to consider the approval of the Business Combination Proposal, the Nasdaq Stock Issuance Proposal, the Charter Amendment Proposal, the Incentive Plan Proposal, the Advisory Charter Proposals and the Adjournment Proposal. Under the Current By-laws, other than procedural matters incident to the conduct of the Special Meeting, no other matters may be considered at the Special Meeting if they are not included in this proxy statement/prospectus, which serves as the notice of the Special Meeting.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Current Charter, any holders of Public Shares may demand that such shares be redeemed in exchange for a pro rata share of the aggregate amount on deposit in the Trust Account, less franchise and income taxes payable.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FS Development IPO (including interest earned on the funds held in the Trust Account and not previously released to it to pay the Company’s franchise and income taxes). For illustrative purposes, based on funds in the Trust Account of approximately $ million on September 30, 2020, the estimated per share redemption price would have been approximately $ .</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exercise your redemption rights, you must:</w:t>
      </w:r>
    </w:p>
    <w:p>
      <w:pPr>
        <w:spacing w:after="0" w:line="158" w:lineRule="exact"/>
        <w:rPr>
          <w:sz w:val="20"/>
          <w:szCs w:val="20"/>
          <w:color w:val="auto"/>
        </w:rPr>
      </w:pPr>
    </w:p>
    <w:p>
      <w:pPr>
        <w:ind w:left="1300" w:hanging="414"/>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box on the enclosed proxy card to elect redemption;</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58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 the written request to redeem your Public Shares for cash to Continental Stock Transfer &amp; Trust Company, a “Stockholder Certification” if you are not acting in concert or as a “group” (as defined in Section 13d-3 of the Exchange Act) with any other stockholder with respect to shares of FS Development Common Stock;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tabs>
          <w:tab w:leader="none" w:pos="1300" w:val="left"/>
          <w:tab w:leader="none" w:pos="43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prior to 5:00 PM Eastern time on</w:t>
      </w:r>
      <w:r>
        <w:rPr>
          <w:sz w:val="20"/>
          <w:szCs w:val="20"/>
          <w:color w:val="auto"/>
        </w:rPr>
        <w:tab/>
      </w:r>
      <w:r>
        <w:rPr>
          <w:rFonts w:ascii="Times New Roman" w:cs="Times New Roman" w:eastAsia="Times New Roman" w:hAnsi="Times New Roman"/>
          <w:sz w:val="18"/>
          <w:szCs w:val="18"/>
          <w:color w:val="auto"/>
        </w:rPr>
        <w:t>, 2021 (two (2) business days before the Special Meeting),</w:t>
      </w:r>
    </w:p>
    <w:p>
      <w:pPr>
        <w:spacing w:after="0" w:line="27" w:lineRule="exact"/>
        <w:rPr>
          <w:sz w:val="20"/>
          <w:szCs w:val="20"/>
          <w:color w:val="auto"/>
        </w:rPr>
      </w:pPr>
    </w:p>
    <w:p>
      <w:pPr>
        <w:jc w:val="both"/>
        <w:ind w:left="1320" w:right="479"/>
        <w:spacing w:after="0" w:line="255" w:lineRule="auto"/>
        <w:rPr>
          <w:sz w:val="20"/>
          <w:szCs w:val="20"/>
          <w:color w:val="auto"/>
        </w:rPr>
      </w:pPr>
      <w:r>
        <w:rPr>
          <w:rFonts w:ascii="Times New Roman" w:cs="Times New Roman" w:eastAsia="Times New Roman" w:hAnsi="Times New Roman"/>
          <w:sz w:val="18"/>
          <w:szCs w:val="18"/>
          <w:color w:val="auto"/>
        </w:rPr>
        <w:t>tender your shares physically or electronically and submit a request in writing that we redeem your Public Shares for cash to Continental Stock Transfer &amp; Trust Company, FS Development’s transfer agent, at the following address: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State Street Plaza,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mzimkind@continentalstock.comand</w:t>
      </w:r>
    </w:p>
    <w:p>
      <w:pPr>
        <w:spacing w:after="0" w:line="126" w:lineRule="exact"/>
        <w:rPr>
          <w:sz w:val="20"/>
          <w:szCs w:val="20"/>
          <w:color w:val="auto"/>
        </w:rPr>
      </w:pPr>
    </w:p>
    <w:p>
      <w:pPr>
        <w:jc w:val="both"/>
        <w:ind w:left="1320" w:right="459" w:hanging="434"/>
        <w:spacing w:after="0" w:line="253" w:lineRule="auto"/>
        <w:tabs>
          <w:tab w:leader="none" w:pos="143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Public Shares either physically or electronically through DTC to FS Development’s transfer agent at least two (2) business days before the Special Meeting. Stockholders seeking to exercise their redemption rights and opting to deliver physical certificates should allot sufficient time to obtain physical certificates from the transfer agent and time to effect delivery. It is FS Development’s understanding that stockholders should generally allot at least two weeks to obtain physical certificates from the transfer agent. However, FS Development does not have any control over this process and it may take longer than two weeks. Stockholders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demand for redemption, once made, may be withdrawn at any time until the deadline for exercising redemption requests (and submitting shares to the transfer agent) and thereafter, with FS Development’s consent, until the closing of the Business Combination. If you delivered your shares for redemption to FS Development’s transfer agent and decide within the required timeframe not to exercise your redemption rights, you may request that FS Development’s transfer agent return the shares (physically or electronically). You may make such request by contacting FS Development’s transfer agent at the phone number or address listed above.</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Prior to exercising redemption rights, stockholders should verify the market price of FS Development Class A Common Stock as they may receive higher proceeds from the sale of their FS Development Class A Common Stock in the public market than from exercising their redemption rights if the market price per share is higher than the redemption price. We cannot assure you that you will be able to sell your shares of FS Development Class A Common Stock in the open market, even if the market price per share is higher than the redemption price stated above, as there may not be sufficient liquidity in FS Development Common Stock when you wish to sell your shares.</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If you exercise your redemption rights, your shares of FS Development Class A Common Stock will cease to be outstanding immediately prior to the Business Combination and will only represent the right to receive a pro rata share of the aggregate amount on deposit in the Trust Account. You will no longer own those shares and will have no right to participate in, or have any interest in, the future growth of the Combined Entity, if any. You will be entitled to receive cash for these shares only if you properly and timely demand redemption.</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Business Combination is not approved or completed for any reason, then public stockholders who elected to exercise their redemption rights will not be entitled to redeem their shares. In such case FS Development will promptly return any Public Shares previously delivered by the public holders.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Dissenter Rights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FS Development stockholders do not have dissenter rights in connection with the Business Combination or the other proposals.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Potential Purchases of Shares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connection with the stockholder vote to approve the proposed Business Combination, the Sponsor, directors, officers or advisors or their respective affiliates may privately negotiate transactions to purchase shares from stockholders who would have otherwise elected to have their shares redeemed in conjunction with a proxy solicitation pursuant to the proxy rules for a per-share pro rata portion of the Trust Account. None of FS Development’s Sponsor, directors, officers or advisors or their respective affiliates will make any such purchases when they are in possession of any material non-public information not disclosed to the seller or during a restricted period under Regulation M under the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Exchange Act. Such a purchase would include a contractual acknowledgement that such stockholder, although still the record holder of FS Development shares, is no longer the beneficial owner thereof and therefore agrees not to exercise its redemption rights, and could include a contractual provision that directs such stockholder to vote such shares in a manner directed by the purchaser. In the event that the Sponsor, directors, officers or advisors or their affiliates purchase shares in privately negotiated transactions from public stockholders who have already elected to exercise their redemption rights, such selling stockholders would be required to revoke their prior elections to redeem their shares. Any such privately negotiated purchases may be effected at purchase prices that are below or in excess of the per-share pro rata portion of the Trust Account.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is soliciting proxies on behalf of the Board. This solicitation is being made by mail but also may be made by telephone or in person. FS Development and its directors, officers and employees may also solicit proxies in person. FS Development will file with the SEC all scripts and other electronic communications as proxy soliciting materials. FS Development will bear the cost of the solicitation.</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FS Development has hired Morrow Sodali LLC to assist in the proxy solicitation process. FS Development will pay that firm a fee of $22,500, plus disbursements.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will ask banks, brokers and other institutions, nominees and fiduciaries to forward the proxy materials to their principals and to obtain their authority to execute proxies and voting instructions. FS Development will reimburse them for their reasonable expenses.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need assistance in completing your proxy card or have questions regarding the Special Meeting, please contact Morrow Sodali LLC, the proxy solicitation agent for FS Development, by calling (800) 662-5200 or banks and brokers can call collect at (203) 658-9400, or by emailing: FSDC.info@investor.morrowsodali.com.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combined balance sheet of Combined Entity as of September 30, 2020 and the unaudited pro forma combined statements of operations of Combined Entity for the year ended December 31, 2019 and nine months ended September 30, 2020 present the combination of the financial information of FS Development and Gemini after giving effect to the Business Combination, PIPE Investment and related adjustments described in the accompanying notes. FS Development and Gemini are collectively referred to herein as the “Companies”, and the Companies, subsequent to the Business Combination and PIPE Investment, are referred to herein as “Combined Entity”.</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statements of operations for the year ended December 31, 2019 and the nine months ended September 30, 2020 give pro forma effect to the Business Combination and PIPE Investment as if they had occurred as of January 1, 2019. The unaudited pro forma combined balance sheet as of September 30, 2020 gives pro forma effect to the Business Combination and PIPE Investment as if they were completed on September 30, 2020.</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is based on and should be read in conjunction with the audited and unaudited historical financial statements of each of FS Development Corp. and Gemini and the notes thereto, as well as the disclosures contained in the sections titled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 of FS Development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 Operations of Gemini</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presented for illustrative purposes only and do not necessarily reflect what Combined Entity’s financial condition or results of operations would have been had the Business Combination and PIPE Investment occurred on the dates indicated. Further, the unaudited pro forma combined financial information also may not be useful in predicting the future financial condition and results of operations of Combined Entity.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with Merger Sub, Gemini and the Shareholders Representative, pursuant to which Merger Sub will merge with and into Gemini, with Gemini surviving the merger as a wholly-owned subsidiary of FS Development. Upon the Closing, FS Development will then change its name to “Gemini Therapeutics, Inc.” The aggregate consideration to be paid to Gemini Equityholders pursuant to the Merger Agreement (subject to certain adjustments as provided therein) will be up to 21,500,000 shares of Class A Common Stock. In connection with the Business Combination, FS Development will also expect to consummate the private placement of 9,506,000 shares of Class A Common Stock at $10.00 per share, for aggregate gross proceeds of $95,060,000, under the PIPE Investment.</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The unaudited pro forma combined information contained herein assumes that FS Development stockholders approve the Business Combination. FS Development’s public stockholders may elect to redeem their Public Shares for cash even if they approve the Business Combination. FS Development Corp. cannot predict how many of its public stockholders will exercise their right to have their Public Shares redeemed for cash. As a result, the Combined Entity has elected to provide the unaudited pro forma combined financial information under two different redemption scenarios, which produce different allocations of total Combined Entity equity between holders of Public Shares. As described in greater detail in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of the unaudited pro forma combined financial information, the first scenario, or “no redemption scenario,” assumes that none of FS Development’s public stockholders will exercise their right to have their Public Shares redeemed for cash, and the second scenario, or “maximum redemption scenario,” assumes that holders of the maximum number of Public Shares that could be redeemed for cash while still leaving sufficient cash available to consummate the Business Combination will exercise their right to have their Public Shares redeemed for cash. The actual results will be within the parameters described by the scenarios. However, there can be no assurance regarding which scenario will be closest to the actual results. Under both scenarios, Gemini is considered the accounting acquirer, as further discussed in Note 2,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of the unaudited pro forma combined financial information.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spacing w:after="0" w:line="62"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BALANCE SHEET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6"/>
                <w:szCs w:val="16"/>
                <w:color w:val="auto"/>
              </w:rPr>
            </w:pPr>
          </w:p>
        </w:tc>
        <w:tc>
          <w:tcPr>
            <w:tcW w:w="2140" w:type="dxa"/>
            <w:vAlign w:val="bottom"/>
            <w:gridSpan w:val="8"/>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FSDC</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94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0" w:type="dxa"/>
            <w:vAlign w:val="bottom"/>
          </w:tcPr>
          <w:p>
            <w:pPr>
              <w:spacing w:after="0"/>
              <w:rPr>
                <w:sz w:val="10"/>
                <w:szCs w:val="10"/>
                <w:color w:val="auto"/>
              </w:rPr>
            </w:pP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0"/>
                <w:szCs w:val="10"/>
                <w:color w:val="auto"/>
              </w:rPr>
            </w:pPr>
          </w:p>
        </w:tc>
        <w:tc>
          <w:tcPr>
            <w:tcW w:w="94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equivalents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13,215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 (b)</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205,854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79,677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(a), (b)</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991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Current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1,608</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14,206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191,201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207,015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79,677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95,491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Cash held in Trust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(120,751)</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(120,751)</w:t>
            </w:r>
          </w:p>
        </w:tc>
        <w:tc>
          <w:tcPr>
            <w:tcW w:w="100" w:type="dxa"/>
            <w:vAlign w:val="bottom"/>
          </w:tcPr>
          <w:p>
            <w:pPr>
              <w:spacing w:after="0"/>
              <w:rPr>
                <w:sz w:val="18"/>
                <w:szCs w:val="18"/>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1,341</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122,359</w:t>
            </w: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16,253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70,450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209,062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(41,074)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97,538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 and</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6,683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7,236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Franchise tax payable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w:t>
            </w: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Term loan, current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portion</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3,750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3,750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 notes, net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7,600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(7,600)</w:t>
            </w:r>
          </w:p>
        </w:tc>
        <w:tc>
          <w:tcPr>
            <w:tcW w:w="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(7,600)</w:t>
            </w:r>
          </w:p>
        </w:tc>
        <w:tc>
          <w:tcPr>
            <w:tcW w:w="100" w:type="dxa"/>
            <w:vAlign w:val="bottom"/>
          </w:tcPr>
          <w:p>
            <w:pPr>
              <w:spacing w:after="0"/>
              <w:rPr>
                <w:sz w:val="21"/>
                <w:szCs w:val="21"/>
                <w:color w:val="auto"/>
              </w:rPr>
            </w:pP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(e)</w:t>
            </w:r>
          </w:p>
        </w:tc>
        <w:tc>
          <w:tcPr>
            <w:tcW w:w="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Current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553</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18,033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(7,600)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10,986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(7,600)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10,986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Deferred underwriting</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commissions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(4,226)</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Pr>
          <w:p>
            <w:pPr>
              <w:spacing w:after="0"/>
              <w:rPr>
                <w:sz w:val="18"/>
                <w:szCs w:val="18"/>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portion and discount</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6,190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6,190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7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24,531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(11,826)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17,484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(11,826)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47,113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(47,113)</w:t>
            </w: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(47,113)</w:t>
            </w:r>
          </w:p>
        </w:tc>
        <w:tc>
          <w:tcPr>
            <w:tcW w:w="100" w:type="dxa"/>
            <w:vAlign w:val="bottom"/>
          </w:tcPr>
          <w:p>
            <w:pPr>
              <w:spacing w:after="0"/>
              <w:rPr>
                <w:sz w:val="18"/>
                <w:szCs w:val="18"/>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convertible</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33,336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(33,336)</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(33,336)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1760" w:type="dxa"/>
            <w:vAlign w:val="bottom"/>
          </w:tcPr>
          <w:p>
            <w:pPr>
              <w:ind w:left="360"/>
              <w:spacing w:after="0" w:line="167" w:lineRule="exact"/>
              <w:rPr>
                <w:sz w:val="20"/>
                <w:szCs w:val="20"/>
                <w:color w:val="auto"/>
              </w:rPr>
            </w:pPr>
            <w:r>
              <w:rPr>
                <w:rFonts w:ascii="Times New Roman" w:cs="Times New Roman" w:eastAsia="Times New Roman" w:hAnsi="Times New Roman"/>
                <w:sz w:val="16"/>
                <w:szCs w:val="16"/>
                <w:b w:val="1"/>
                <w:bCs w:val="1"/>
                <w:color w:val="auto"/>
              </w:rPr>
              <w:t>Total convertible</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176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80,449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(80,449)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(80,449)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Class A common stock</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subject to redemption</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(112,580)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B common stock</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capital</w:t>
            </w: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9,773</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281,614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296,888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170,091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185,365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(98,506)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(6,304)</w:t>
            </w:r>
          </w:p>
        </w:tc>
        <w:tc>
          <w:tcPr>
            <w:tcW w:w="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(105,311)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(6,304)</w:t>
            </w:r>
          </w:p>
        </w:tc>
        <w:tc>
          <w:tcPr>
            <w:tcW w:w="100" w:type="dxa"/>
            <w:vAlign w:val="bottom"/>
          </w:tcPr>
          <w:p>
            <w:pPr>
              <w:spacing w:after="0"/>
              <w:rPr>
                <w:sz w:val="21"/>
                <w:szCs w:val="21"/>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(f)</w:t>
            </w:r>
          </w:p>
        </w:tc>
        <w:tc>
          <w:tcPr>
            <w:tcW w:w="8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(105,311)</w:t>
            </w:r>
          </w:p>
        </w:tc>
        <w:tc>
          <w:tcPr>
            <w:tcW w:w="0" w:type="dxa"/>
            <w:vAlign w:val="bottom"/>
          </w:tcPr>
          <w:p>
            <w:pPr>
              <w:spacing w:after="0"/>
              <w:rPr>
                <w:sz w:val="1"/>
                <w:szCs w:val="1"/>
                <w:color w:val="auto"/>
              </w:rPr>
            </w:pPr>
          </w:p>
        </w:tc>
      </w:tr>
      <w:tr>
        <w:trPr>
          <w:trHeight w:val="33"/>
        </w:trPr>
        <w:tc>
          <w:tcPr>
            <w:tcW w:w="17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Stockholders’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(88,727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275,305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191,578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163,781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80,054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100" w:name="page101"/>
    <w:bookmarkEnd w:id="100"/>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3"/>
        </w:trPr>
        <w:tc>
          <w:tcPr>
            <w:tcW w:w="2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3"/>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6"/>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Equity (Deficit)   $  122,359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$ 16,253</w:t>
            </w:r>
          </w:p>
        </w:tc>
        <w:tc>
          <w:tcPr>
            <w:tcW w:w="11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70,450</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$ 209,062</w:t>
            </w: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(41,074)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97,538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-544195</wp:posOffset>
            </wp:positionV>
            <wp:extent cx="5143500" cy="5829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582930"/>
                    </a:xfrm>
                    <a:prstGeom prst="rect">
                      <a:avLst/>
                    </a:prstGeom>
                    <a:noFill/>
                  </pic:spPr>
                </pic:pic>
              </a:graphicData>
            </a:graphic>
          </wp:anchor>
        </w:drawing>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01" w:name="page102"/>
    <w:bookmarkEnd w:id="1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FOR THE NINE MONTHS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ENDED SEPTEMBER 30, 2020</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FSDC</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10"/>
                <w:szCs w:val="10"/>
                <w:color w:val="auto"/>
              </w:rPr>
            </w:pPr>
          </w:p>
        </w:tc>
        <w:tc>
          <w:tcPr>
            <w:tcW w:w="84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0"/>
                <w:szCs w:val="10"/>
                <w:color w:val="auto"/>
              </w:rPr>
            </w:pPr>
          </w:p>
        </w:tc>
        <w:tc>
          <w:tcPr>
            <w:tcW w:w="86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8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20" w:type="dxa"/>
            <w:vAlign w:val="bottom"/>
            <w:gridSpan w:val="2"/>
            <w:vMerge w:val="continue"/>
          </w:tcPr>
          <w:p>
            <w:pPr>
              <w:spacing w:after="0"/>
              <w:rPr>
                <w:sz w:val="16"/>
                <w:szCs w:val="16"/>
                <w:color w:val="auto"/>
              </w:rPr>
            </w:pPr>
          </w:p>
        </w:tc>
        <w:tc>
          <w:tcPr>
            <w:tcW w:w="148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20,472</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3,774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4,276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4,276</w:t>
            </w:r>
          </w:p>
        </w:tc>
        <w:tc>
          <w:tcPr>
            <w:tcW w:w="0" w:type="dxa"/>
            <w:vAlign w:val="bottom"/>
          </w:tcPr>
          <w:p>
            <w:pPr>
              <w:spacing w:after="0"/>
              <w:rPr>
                <w:sz w:val="1"/>
                <w:szCs w:val="1"/>
                <w:color w:val="auto"/>
              </w:rPr>
            </w:pPr>
          </w:p>
        </w:tc>
      </w:tr>
      <w:tr>
        <w:trPr>
          <w:trHeight w:val="251"/>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Franchise tax expense</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60" w:type="dxa"/>
            <w:vAlign w:val="bottom"/>
          </w:tcPr>
          <w:p>
            <w:pPr>
              <w:spacing w:after="0"/>
              <w:rPr>
                <w:sz w:val="21"/>
                <w:szCs w:val="21"/>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21"/>
                <w:szCs w:val="21"/>
                <w:color w:val="auto"/>
              </w:rPr>
            </w:pPr>
          </w:p>
        </w:tc>
        <w:tc>
          <w:tcPr>
            <w:tcW w:w="56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(g)</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24,246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24,748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(24,246)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(24,748)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(24,748)</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(4,493)</w:t>
            </w: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(6,800)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(4,493)</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(6,800)</w:t>
            </w:r>
          </w:p>
        </w:tc>
        <w:tc>
          <w:tcPr>
            <w:tcW w:w="0" w:type="dxa"/>
            <w:vAlign w:val="bottom"/>
          </w:tcPr>
          <w:p>
            <w:pPr>
              <w:spacing w:after="0"/>
              <w:rPr>
                <w:sz w:val="1"/>
                <w:szCs w:val="1"/>
                <w:color w:val="auto"/>
              </w:rPr>
            </w:pPr>
          </w:p>
        </w:tc>
      </w:tr>
      <w:tr>
        <w:trPr>
          <w:trHeight w:val="237"/>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extinguishment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of debt</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(2,311)</w:t>
            </w: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(2,311)</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(2,311)</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(h)</w:t>
            </w: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(2,311)</w:t>
            </w:r>
          </w:p>
        </w:tc>
        <w:tc>
          <w:tcPr>
            <w:tcW w:w="0" w:type="dxa"/>
            <w:vAlign w:val="bottom"/>
          </w:tcPr>
          <w:p>
            <w:pPr>
              <w:spacing w:after="0"/>
              <w:rPr>
                <w:sz w:val="1"/>
                <w:szCs w:val="1"/>
                <w:color w:val="auto"/>
              </w:rPr>
            </w:pPr>
          </w:p>
        </w:tc>
      </w:tr>
      <w:tr>
        <w:trPr>
          <w:trHeight w:val="189"/>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value of warrant</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liability</w:t>
            </w:r>
          </w:p>
        </w:tc>
        <w:tc>
          <w:tcPr>
            <w:tcW w:w="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(501)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(26,522)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(6,804)</w:t>
            </w:r>
          </w:p>
        </w:tc>
        <w:tc>
          <w:tcPr>
            <w:tcW w:w="6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(33,827)</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(6,804)</w:t>
            </w:r>
          </w:p>
        </w:tc>
        <w:tc>
          <w:tcPr>
            <w:tcW w:w="80" w:type="dxa"/>
            <w:vAlign w:val="bottom"/>
            <w:shd w:val="clear" w:color="auto" w:fill="CCEEFF"/>
          </w:tcPr>
          <w:p>
            <w:pPr>
              <w:spacing w:after="0"/>
              <w:rPr>
                <w:sz w:val="21"/>
                <w:szCs w:val="21"/>
                <w:color w:val="auto"/>
              </w:rPr>
            </w:pP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(33,827)</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common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outstanding –</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Class A</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12,516,500</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5,507,900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46,541,250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35,388,875</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 loss</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 share – Class A</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   $</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(i)   $</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(0.96)</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Weighted common</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outstanding –</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B</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net loss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 share – Class 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17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OPERATIONS FOR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No redemption scenario</w:t>
            </w:r>
          </w:p>
        </w:tc>
        <w:tc>
          <w:tcPr>
            <w:tcW w:w="140" w:type="dxa"/>
            <w:vAlign w:val="bottom"/>
          </w:tcPr>
          <w:p>
            <w:pPr>
              <w:spacing w:after="0"/>
              <w:rPr>
                <w:sz w:val="16"/>
                <w:szCs w:val="16"/>
                <w:color w:val="auto"/>
              </w:rPr>
            </w:pPr>
          </w:p>
        </w:tc>
        <w:tc>
          <w:tcPr>
            <w:tcW w:w="216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Maximum redemption scenario</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FSDC</w:t>
            </w: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Gemini</w:t>
            </w:r>
          </w:p>
        </w:tc>
        <w:tc>
          <w:tcPr>
            <w:tcW w:w="80" w:type="dxa"/>
            <w:vAlign w:val="bottom"/>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7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40" w:type="dxa"/>
            <w:vAlign w:val="bottom"/>
            <w:gridSpan w:val="5"/>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(Historical)  (Historical)</w:t>
            </w:r>
          </w:p>
        </w:tc>
        <w:tc>
          <w:tcPr>
            <w:tcW w:w="13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Adjustments Note 3</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w:t>
            </w: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34,472</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34,472</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administrative</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expenses</w:t>
            </w:r>
          </w:p>
        </w:tc>
        <w:tc>
          <w:tcPr>
            <w:tcW w:w="5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6,753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6,753</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72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41,225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41,225</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(41,225)</w:t>
            </w:r>
          </w:p>
        </w:tc>
        <w:tc>
          <w:tcPr>
            <w:tcW w:w="0" w:type="dxa"/>
            <w:vAlign w:val="bottom"/>
          </w:tcPr>
          <w:p>
            <w:pPr>
              <w:spacing w:after="0"/>
              <w:rPr>
                <w:sz w:val="1"/>
                <w:szCs w:val="1"/>
                <w:color w:val="auto"/>
              </w:rPr>
            </w:pPr>
          </w:p>
        </w:tc>
      </w:tr>
      <w:tr>
        <w:trPr>
          <w:trHeight w:val="277"/>
        </w:trPr>
        <w:tc>
          <w:tcPr>
            <w:tcW w:w="17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540" w:type="dxa"/>
            <w:vAlign w:val="bottom"/>
          </w:tcPr>
          <w:p>
            <w:pPr>
              <w:spacing w:after="0"/>
              <w:rPr>
                <w:sz w:val="20"/>
                <w:szCs w:val="20"/>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46"/>
        </w:trPr>
        <w:tc>
          <w:tcPr>
            <w:tcW w:w="1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189"/>
        </w:trPr>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value of warrant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liability</w:t>
            </w:r>
          </w:p>
        </w:tc>
        <w:tc>
          <w:tcPr>
            <w:tcW w:w="540" w:type="dxa"/>
            <w:vAlign w:val="bottom"/>
          </w:tcPr>
          <w:p>
            <w:pPr>
              <w:spacing w:after="0"/>
              <w:rPr>
                <w:sz w:val="19"/>
                <w:szCs w:val="19"/>
                <w:color w:val="auto"/>
              </w:rPr>
            </w:pPr>
          </w:p>
        </w:tc>
        <w:tc>
          <w:tcPr>
            <w:tcW w:w="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gridSpan w:val="4"/>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(41,400)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1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basic and</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5,171,537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46,541,250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35,388,875</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net</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per share</w:t>
            </w:r>
          </w:p>
        </w:tc>
        <w:tc>
          <w:tcPr>
            <w:tcW w:w="540" w:type="dxa"/>
            <w:vAlign w:val="bottom"/>
          </w:tcPr>
          <w:p>
            <w:pPr>
              <w:spacing w:after="0"/>
              <w:rPr>
                <w:sz w:val="18"/>
                <w:szCs w:val="18"/>
                <w:color w:val="auto"/>
              </w:rPr>
            </w:pPr>
          </w:p>
        </w:tc>
        <w:tc>
          <w:tcPr>
            <w:tcW w:w="34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the Business Combination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with Merger Sub and Gemini, pursuant to which Merger Sub will merge with and into Gemini, with Gemini as the surviving company in the Merger and, after giving effect to such Merger, Gemini shall be a wholly-owned subsidiary of FS Development. Upon the closing of the Business Combination, it is anticipated that FS Development will change its name to “Gemini Therapeutics, Inc.”</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the consideration to be received by the Gemini Equityholders in connection with the Business Combination will be an aggregate number of shares of Combined Entity common stock equal to (i) $215.0 million, divided by (ii) $10.00. In addition, immediately after the completion of the Business Combination, certain investors have agreed to subscribe for and purchase an aggregate of $95,060,000 of common stock of Combined Entity (the “PIPE Investment”).</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represents the aggregate merger consideration under the no redemption and maximum redemption scenarios: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2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No Redemption and</w:t>
            </w:r>
          </w:p>
        </w:tc>
      </w:tr>
      <w:tr>
        <w:trPr>
          <w:trHeight w:val="212"/>
        </w:trPr>
        <w:tc>
          <w:tcPr>
            <w:tcW w:w="5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47"/>
        </w:trPr>
        <w:tc>
          <w:tcPr>
            <w:tcW w:w="5600" w:type="dxa"/>
            <w:vAlign w:val="bottom"/>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Shares Issued</w:t>
            </w:r>
          </w:p>
        </w:tc>
      </w:tr>
      <w:tr>
        <w:trPr>
          <w:trHeight w:val="46"/>
        </w:trPr>
        <w:tc>
          <w:tcPr>
            <w:tcW w:w="56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6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consideration to Gemini</w:t>
            </w:r>
            <w:r>
              <w:rPr>
                <w:rFonts w:ascii="Times New Roman" w:cs="Times New Roman" w:eastAsia="Times New Roman" w:hAnsi="Times New Roman"/>
                <w:sz w:val="20"/>
                <w:szCs w:val="20"/>
                <w:color w:val="auto"/>
                <w:vertAlign w:val="superscript"/>
              </w:rPr>
              <w:t>(a)(b)</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215,000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89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value of common stock issued to Gemini included in the consideration is reflected at $10 per share as defined in the Merger Agreement.</w:t>
      </w:r>
    </w:p>
    <w:p>
      <w:pPr>
        <w:jc w:val="both"/>
        <w:ind w:left="880" w:right="479" w:hanging="426"/>
        <w:spacing w:after="0" w:line="272" w:lineRule="auto"/>
        <w:tabs>
          <w:tab w:leader="none" w:pos="1017"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of up to 21.5 million consideration shares include 19.3 million shares to be issued for all issued and outstanding Gemini common and preferred stock plus 2.2 million shares underlying unvested, unissued, and/or unexercised stock options and warrants, which amount will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As of the date of the signing of the Merger Agreement, the conversion ratio was 10.00. The closing conversion ratio will be calculated in accordance with the methodology and procedures set forth in the Merger Agreement, and FS Development will file with the SEC a Current Report on Form 8-K announcing the final conversion ratio no later than four business days prior to the special meeting of its stockholders.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summarizes the unaudited pro form common stock shares outstanding under the no redemption and maximum redemption scenarios: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600" w:type="dxa"/>
            <w:vAlign w:val="bottom"/>
            <w:gridSpan w:val="3"/>
          </w:tcPr>
          <w:p>
            <w:pPr>
              <w:jc w:val="center"/>
              <w:ind w:left="512"/>
              <w:spacing w:after="0"/>
              <w:rPr>
                <w:sz w:val="20"/>
                <w:szCs w:val="20"/>
                <w:color w:val="auto"/>
              </w:rPr>
            </w:pPr>
            <w:r>
              <w:rPr>
                <w:rFonts w:ascii="Times New Roman" w:cs="Times New Roman" w:eastAsia="Times New Roman" w:hAnsi="Times New Roman"/>
                <w:sz w:val="16"/>
                <w:szCs w:val="16"/>
                <w:b w:val="1"/>
                <w:bCs w:val="1"/>
                <w:color w:val="auto"/>
              </w:rPr>
              <w:t>Assuming No</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Assuming</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3240" w:type="dxa"/>
            <w:vAlign w:val="bottom"/>
          </w:tcPr>
          <w:p>
            <w:pPr>
              <w:spacing w:after="0"/>
              <w:rPr>
                <w:sz w:val="18"/>
                <w:szCs w:val="18"/>
                <w:color w:val="auto"/>
              </w:rPr>
            </w:pPr>
          </w:p>
        </w:tc>
        <w:tc>
          <w:tcPr>
            <w:tcW w:w="1600" w:type="dxa"/>
            <w:vAlign w:val="bottom"/>
            <w:gridSpan w:val="3"/>
          </w:tcPr>
          <w:p>
            <w:pPr>
              <w:jc w:val="center"/>
              <w:ind w:left="552"/>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6"/>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Maximum Redemption</w:t>
            </w:r>
          </w:p>
        </w:tc>
      </w:tr>
      <w:tr>
        <w:trPr>
          <w:trHeight w:val="46"/>
        </w:trPr>
        <w:tc>
          <w:tcPr>
            <w:tcW w:w="3240" w:type="dxa"/>
            <w:vAlign w:val="bottom"/>
          </w:tcPr>
          <w:p>
            <w:pPr>
              <w:spacing w:after="0"/>
              <w:rPr>
                <w:sz w:val="4"/>
                <w:szCs w:val="4"/>
                <w:color w:val="auto"/>
              </w:rPr>
            </w:pPr>
          </w:p>
        </w:tc>
        <w:tc>
          <w:tcPr>
            <w:tcW w:w="1600" w:type="dxa"/>
            <w:vAlign w:val="bottom"/>
            <w:tcBorders>
              <w:bottom w:val="single" w:sz="8" w:color="auto"/>
            </w:tcBorders>
            <w:gridSpan w:val="3"/>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700" w:type="dxa"/>
            <w:vAlign w:val="bottom"/>
            <w:tcBorders>
              <w:bottom w:val="single" w:sz="8" w:color="auto"/>
            </w:tcBorders>
            <w:gridSpan w:val="4"/>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0" w:type="dxa"/>
            <w:vAlign w:val="bottom"/>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0"/>
                <w:szCs w:val="20"/>
                <w:color w:val="auto"/>
              </w:rPr>
            </w:pPr>
          </w:p>
        </w:tc>
      </w:tr>
      <w:tr>
        <w:trPr>
          <w:trHeight w:val="47"/>
        </w:trPr>
        <w:tc>
          <w:tcPr>
            <w:tcW w:w="32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244"/>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public stockholders</w:t>
            </w:r>
          </w:p>
        </w:tc>
        <w:tc>
          <w:tcPr>
            <w:tcW w:w="1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12,075,000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5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Sponsor and Directors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3,460,250</w:t>
            </w:r>
          </w:p>
        </w:tc>
        <w:tc>
          <w:tcPr>
            <w:tcW w:w="380" w:type="dxa"/>
            <w:vAlign w:val="bottom"/>
          </w:tcPr>
          <w:p>
            <w:pPr>
              <w:spacing w:after="0"/>
              <w:rPr>
                <w:sz w:val="22"/>
                <w:szCs w:val="2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3,460,250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3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FS Development</w:t>
            </w:r>
          </w:p>
        </w:tc>
        <w:tc>
          <w:tcPr>
            <w:tcW w:w="1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15,535,250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8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Gemini</w:t>
            </w:r>
            <w:r>
              <w:rPr>
                <w:rFonts w:ascii="Times New Roman" w:cs="Times New Roman" w:eastAsia="Times New Roman" w:hAnsi="Times New Roman"/>
                <w:sz w:val="20"/>
                <w:szCs w:val="20"/>
                <w:color w:val="auto"/>
                <w:vertAlign w:val="superscript"/>
              </w:rPr>
              <w:t>(A)</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19,282,221</w:t>
            </w:r>
          </w:p>
        </w:tc>
        <w:tc>
          <w:tcPr>
            <w:tcW w:w="38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19,282,221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r>
      <w:tr>
        <w:trPr>
          <w:trHeight w:val="28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Shares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9,506,000</w:t>
            </w:r>
          </w:p>
        </w:tc>
        <w:tc>
          <w:tcPr>
            <w:tcW w:w="3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9,506,000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r>
      <w:tr>
        <w:trPr>
          <w:trHeight w:val="174"/>
        </w:trPr>
        <w:tc>
          <w:tcPr>
            <w:tcW w:w="32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Shares at Closing (excluding</w:t>
            </w: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238"/>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Gemini 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44,323,471</w:t>
            </w:r>
          </w:p>
        </w:tc>
        <w:tc>
          <w:tcPr>
            <w:tcW w:w="3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33,171,096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40"/>
        </w:trPr>
        <w:tc>
          <w:tcPr>
            <w:tcW w:w="3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8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Gemini-Remaining Consideration Shares</w:t>
            </w:r>
            <w:r>
              <w:rPr>
                <w:rFonts w:ascii="Times New Roman" w:cs="Times New Roman" w:eastAsia="Times New Roman" w:hAnsi="Times New Roman"/>
                <w:sz w:val="20"/>
                <w:szCs w:val="20"/>
                <w:color w:val="auto"/>
                <w:vertAlign w:val="superscript"/>
              </w:rPr>
              <w:t>(A)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2,217,779</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2,217,779</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74"/>
        </w:trPr>
        <w:tc>
          <w:tcPr>
            <w:tcW w:w="32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Shares at Closing (including</w:t>
            </w: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5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Gemini shares)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46,541,250</w:t>
            </w: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35,388,875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0"/>
        </w:trPr>
        <w:tc>
          <w:tcPr>
            <w:tcW w:w="3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71" w:lineRule="auto"/>
        <w:tabs>
          <w:tab w:leader="none" w:pos="922"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consideration to be issued to Gemini is up to $215.0 million or 21.5 million shares ($10 per share price). The total shares to be issued includes Gemini common and preferred stock plus shares underlying unvested stock options. Accordingly, the consideration shares outstanding at the closing of the Business Combination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 Merger Consideration</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4" w:name="page105"/>
    <w:bookmarkEnd w:id="1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historical financial information of FS Development and Gemini has been adjusted in the unaudited pro forma combined financial information to give effect to events that are (1) directly attributable to the Business Combination and the PIPE Investment, (2) factually supportable, and (3) with respect to the statements of operations, expected to have a continuing impact on the combined results. The pro forma adjustments are prepared to illustrate the estimated effect of the Business Combination and the PIPE Investment and certain other adjustments.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The Business Combination will be accounted for as a reverse recapitalization because Gemini has been determined to be the accounting acquirer under Financial Accounting Standards Board’s Accounting Standards Codification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both the no redemption and maximum redemption scenarios. The determination is primarily based on the evaluation of the following facts and circumstances taking into consideration both the no redemption and maximum redemption scenarios:</w:t>
      </w:r>
    </w:p>
    <w:p>
      <w:pPr>
        <w:spacing w:after="0" w:line="116" w:lineRule="exact"/>
        <w:rPr>
          <w:sz w:val="20"/>
          <w:szCs w:val="20"/>
          <w:color w:val="auto"/>
        </w:rPr>
      </w:pPr>
    </w:p>
    <w:p>
      <w:pPr>
        <w:ind w:left="1320" w:right="479" w:hanging="434"/>
        <w:spacing w:after="0" w:line="282" w:lineRule="auto"/>
        <w:tabs>
          <w:tab w:leader="none" w:pos="135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equity holders of Gemini will hold the majority of voting rights in Combined Entity;</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equity holders of Gemini will have the right to appoint the majority of the directors on the Combined Entity Board;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of Gemini will comprise the senior management of Combined Entity;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Gemini will comprise the ongoing operations of Combined Entity.</w:t>
      </w:r>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Under the reverse recapitalization model, the Business Combination will be treated as Gemini issuing equity for the net assets of FS Development, with no goodwill or intangible assets recorded.</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has been prepared using the assumptions below with respect to the potential redemption of Public Shares into cash:</w:t>
      </w:r>
    </w:p>
    <w:p>
      <w:pPr>
        <w:spacing w:after="0" w:line="36" w:lineRule="exact"/>
        <w:rPr>
          <w:sz w:val="20"/>
          <w:szCs w:val="20"/>
          <w:color w:val="auto"/>
        </w:rPr>
      </w:pPr>
    </w:p>
    <w:p>
      <w:pPr>
        <w:ind w:left="1320" w:right="479" w:hanging="434"/>
        <w:spacing w:after="0" w:line="286" w:lineRule="auto"/>
        <w:tabs>
          <w:tab w:leader="none" w:pos="141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Assuming No Redemptions</w:t>
      </w:r>
      <w:r>
        <w:rPr>
          <w:rFonts w:ascii="Times New Roman" w:cs="Times New Roman" w:eastAsia="Times New Roman" w:hAnsi="Times New Roman"/>
          <w:sz w:val="18"/>
          <w:szCs w:val="18"/>
          <w:color w:val="auto"/>
        </w:rPr>
        <w:t>: This presentation assumes that no FS Development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redemption rights with respect to their Public Shares; and</w:t>
      </w:r>
    </w:p>
    <w:p>
      <w:pPr>
        <w:spacing w:after="0" w:line="19"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4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Assuming Maximum Redemptions</w:t>
      </w:r>
      <w:r>
        <w:rPr>
          <w:rFonts w:ascii="Times New Roman" w:cs="Times New Roman" w:eastAsia="Times New Roman" w:hAnsi="Times New Roman"/>
          <w:sz w:val="18"/>
          <w:szCs w:val="18"/>
          <w:color w:val="auto"/>
        </w:rPr>
        <w:t>: This presentation assumes that all of FS Development’s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stockholders exercise redemption rights with respect to their Public Shares. This scenario assumes that 11,152,375 Class A common stock shares are redeemed for an aggregate redemption payment of approximately $111.5 million. This maximum redemption scenario is based on the maximum number of redemptions which may occur, but which would still provide FS Development with net tangible assets of $5.0 million, less FS Development’s unpaid expenses.</w:t>
      </w:r>
    </w:p>
    <w:p>
      <w:pPr>
        <w:spacing w:after="0" w:line="6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If the actual facts are different than these assumptions, then the amounts and shares outstanding in the unaudited pro forma combined financial information will be different.</w:t>
      </w:r>
    </w:p>
    <w:p>
      <w:pPr>
        <w:spacing w:after="0" w:line="4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to enter into new equity awards with its employees upon the consummation of the Business Combination. The terms of these new equity awards have not been finalized and remain subject to change. Accordingly, no effect has been given to the unaudited pro forma combined financial information for the new awards.</w:t>
      </w:r>
    </w:p>
    <w:p>
      <w:pPr>
        <w:spacing w:after="0" w:line="4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information does not reflect the income tax effects of the pro forma adjustments as any change in the deferred tax balance would be offset by an increase in the valuation allowance given Gemini incurred significant losses during the historical periods presented.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Pro Forma Adjustments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Combined Balance Sheet as of September 30, 2020</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pro forma adjustments included in the unaudited pro forma combined balance sheet as of September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2020 are as follows:</w:t>
      </w:r>
    </w:p>
    <w:p>
      <w:pPr>
        <w:spacing w:after="0" w:line="137" w:lineRule="exact"/>
        <w:rPr>
          <w:sz w:val="20"/>
          <w:szCs w:val="20"/>
          <w:color w:val="auto"/>
        </w:rPr>
      </w:pPr>
    </w:p>
    <w:p>
      <w:pPr>
        <w:ind w:left="1320" w:right="459" w:hanging="434"/>
        <w:spacing w:after="0" w:line="284" w:lineRule="auto"/>
        <w:tabs>
          <w:tab w:leader="none" w:pos="1443" w:val="left"/>
        </w:tabs>
        <w:numPr>
          <w:ilvl w:val="0"/>
          <w:numId w:val="1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Represents the impact of the Business Combination and PIPE Investment on the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of Combined Entity.</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represents the sources and uses of funds as it relates to the Business Combination:</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No redemption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212"/>
        </w:trPr>
        <w:tc>
          <w:tcPr>
            <w:tcW w:w="4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scenario</w:t>
            </w:r>
          </w:p>
        </w:tc>
        <w:tc>
          <w:tcPr>
            <w:tcW w:w="0" w:type="dxa"/>
            <w:vAlign w:val="bottom"/>
          </w:tcPr>
          <w:p>
            <w:pPr>
              <w:spacing w:after="0"/>
              <w:rPr>
                <w:sz w:val="1"/>
                <w:szCs w:val="1"/>
                <w:color w:val="auto"/>
              </w:rPr>
            </w:pPr>
          </w:p>
        </w:tc>
      </w:tr>
      <w:tr>
        <w:trPr>
          <w:trHeight w:val="47"/>
        </w:trPr>
        <w:tc>
          <w:tcPr>
            <w:tcW w:w="47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cash held in Trust Account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120,751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PIPE – FS Development Sponsor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 Gemini Stockholders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PIPE Investors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64,460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redeeming FS Development Stockholders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(111,524)</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underwriting commissions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40"/>
        </w:trPr>
        <w:tc>
          <w:tcPr>
            <w:tcW w:w="4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other transaction costs</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Excess cash to balance sheet from Business Combination</w:t>
            </w: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191,201</w:t>
            </w:r>
          </w:p>
        </w:tc>
        <w:tc>
          <w:tcPr>
            <w:tcW w:w="100" w:type="dxa"/>
            <w:vAlign w:val="bottom"/>
          </w:tcPr>
          <w:p>
            <w:pPr>
              <w:spacing w:after="0"/>
              <w:rPr>
                <w:sz w:val="21"/>
                <w:szCs w:val="21"/>
                <w:color w:val="auto"/>
              </w:rPr>
            </w:pP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79,677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968"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of the restricted investments and cash held in the trust account upon consummation of the Business Combination at Closing.</w:t>
      </w:r>
    </w:p>
    <w:p>
      <w:pPr>
        <w:ind w:left="880" w:right="479" w:hanging="426"/>
        <w:spacing w:after="0" w:line="264" w:lineRule="auto"/>
        <w:tabs>
          <w:tab w:leader="none" w:pos="1047"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issuance, in the PIPE Investment, to certain investors of 9,506,000 shares of Combined Entity common stock at a price of $10.00 per share.</w:t>
      </w:r>
    </w:p>
    <w:p>
      <w:pPr>
        <w:ind w:left="880" w:right="479" w:hanging="426"/>
        <w:spacing w:after="0" w:line="264" w:lineRule="auto"/>
        <w:tabs>
          <w:tab w:leader="none" w:pos="94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paid to FS Development stockholders who are assumed to exercise redemption rights under the maximum redemption scenario.</w:t>
      </w:r>
    </w:p>
    <w:p>
      <w:pPr>
        <w:ind w:left="880" w:hanging="426"/>
        <w:spacing w:after="0"/>
        <w:tabs>
          <w:tab w:leader="none" w:pos="88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deferred FS Development IPO underwriting commissions by FS Development.</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payment of other Business Combination transaction costs.</w:t>
      </w:r>
    </w:p>
    <w:p>
      <w:pPr>
        <w:spacing w:after="0" w:line="139" w:lineRule="exact"/>
        <w:rPr>
          <w:rFonts w:ascii="Times New Roman" w:cs="Times New Roman" w:eastAsia="Times New Roman" w:hAnsi="Times New Roman"/>
          <w:sz w:val="16"/>
          <w:szCs w:val="16"/>
          <w:color w:val="auto"/>
        </w:rPr>
      </w:pPr>
    </w:p>
    <w:p>
      <w:pPr>
        <w:ind w:left="1300" w:hanging="414"/>
        <w:spacing w:after="0"/>
        <w:tabs>
          <w:tab w:leader="none" w:pos="1300" w:val="left"/>
        </w:tabs>
        <w:numPr>
          <w:ilvl w:val="1"/>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Combination costs</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i w:val="1"/>
          <w:iCs w:val="1"/>
          <w:color w:val="auto"/>
        </w:rPr>
      </w:pPr>
    </w:p>
    <w:p>
      <w:pPr>
        <w:jc w:val="both"/>
        <w:ind w:left="1760" w:right="479" w:hanging="442"/>
        <w:spacing w:after="0" w:line="261" w:lineRule="auto"/>
        <w:tabs>
          <w:tab w:leader="none" w:pos="1918"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deferred FS Development IPO underwriting commissions incurred by FS Development in the amount of $4.2 million (see Note 3(a)(4)). The unaudited pro forma combined balance sheet reflects payment of these costs as a reduction of cash, with a corresponding decrease in deferred underwriting commission liability.</w:t>
      </w:r>
    </w:p>
    <w:p>
      <w:pPr>
        <w:spacing w:after="0" w:line="112"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927"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incremental expenses related to the Business Combination and the PIPE Investment in the amount of $20.4 million (see Note 3(a)(5)). The unaudited pro forma combined balance sheet reflects these costs as a reduction of cash, with a corresponding decrease in additional paid-in capital (see Note 3(d)).</w:t>
      </w:r>
    </w:p>
    <w:p>
      <w:pPr>
        <w:spacing w:after="0" w:line="96" w:lineRule="exact"/>
        <w:rPr>
          <w:rFonts w:ascii="Times New Roman" w:cs="Times New Roman" w:eastAsia="Times New Roman" w:hAnsi="Times New Roman"/>
          <w:sz w:val="18"/>
          <w:szCs w:val="18"/>
          <w:color w:val="auto"/>
        </w:rPr>
      </w:pPr>
    </w:p>
    <w:p>
      <w:pPr>
        <w:ind w:left="1320" w:right="479" w:hanging="434"/>
        <w:spacing w:after="0" w:line="284" w:lineRule="auto"/>
        <w:tabs>
          <w:tab w:leader="none" w:pos="1298" w:val="left"/>
        </w:tabs>
        <w:numPr>
          <w:ilvl w:val="1"/>
          <w:numId w:val="1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Trust Account</w:t>
      </w:r>
      <w:r>
        <w:rPr>
          <w:rFonts w:ascii="Times New Roman" w:cs="Times New Roman" w:eastAsia="Times New Roman" w:hAnsi="Times New Roman"/>
          <w:sz w:val="18"/>
          <w:szCs w:val="18"/>
          <w:color w:val="auto"/>
        </w:rPr>
        <w:t>. Represents release of the restricted investments and cash held in the FS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 account upon consummation of the Business Combination (See Note 3(a)(1)).</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1320" w:right="479" w:hanging="2"/>
        <w:spacing w:after="0" w:line="267" w:lineRule="auto"/>
        <w:tabs>
          <w:tab w:leader="none" w:pos="1760" w:val="left"/>
        </w:tabs>
        <w:numPr>
          <w:ilvl w:val="0"/>
          <w:numId w:val="1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Impact on equity</w:t>
      </w:r>
      <w:r>
        <w:rPr>
          <w:rFonts w:ascii="Times New Roman" w:cs="Times New Roman" w:eastAsia="Times New Roman" w:hAnsi="Times New Roman"/>
          <w:sz w:val="18"/>
          <w:szCs w:val="18"/>
          <w:color w:val="auto"/>
        </w:rPr>
        <w:t>. The following table represents the impact of the Business Combination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 Investment on the number of shares of FS Development Class A Common Stock and represents the total equity section assuming no redemptions by FS Development stockholder:</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80" w:type="dxa"/>
            <w:vAlign w:val="bottom"/>
          </w:tcPr>
          <w:p>
            <w:pPr>
              <w:spacing w:after="0"/>
              <w:rPr>
                <w:sz w:val="24"/>
                <w:szCs w:val="24"/>
                <w:color w:val="auto"/>
              </w:rPr>
            </w:pPr>
          </w:p>
        </w:tc>
        <w:tc>
          <w:tcPr>
            <w:tcW w:w="166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86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8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Pr>
          <w:p>
            <w:pPr>
              <w:spacing w:after="0"/>
              <w:rPr>
                <w:sz w:val="10"/>
                <w:szCs w:val="10"/>
                <w:color w:val="auto"/>
              </w:rPr>
            </w:pPr>
          </w:p>
        </w:tc>
        <w:tc>
          <w:tcPr>
            <w:tcW w:w="56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Gemini’s</w:t>
            </w:r>
          </w:p>
        </w:tc>
        <w:tc>
          <w:tcPr>
            <w:tcW w:w="100" w:type="dxa"/>
            <w:vAlign w:val="bottom"/>
          </w:tcPr>
          <w:p>
            <w:pPr>
              <w:spacing w:after="0"/>
              <w:rPr>
                <w:sz w:val="10"/>
                <w:szCs w:val="10"/>
                <w:color w:val="auto"/>
              </w:rPr>
            </w:pPr>
          </w:p>
        </w:tc>
        <w:tc>
          <w:tcPr>
            <w:tcW w:w="6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880" w:type="dxa"/>
            <w:vAlign w:val="bottom"/>
            <w:gridSpan w:val="3"/>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90"/>
        </w:trPr>
        <w:tc>
          <w:tcPr>
            <w:tcW w:w="2580" w:type="dxa"/>
            <w:vAlign w:val="bottom"/>
            <w:vMerge w:val="continue"/>
          </w:tcPr>
          <w:p>
            <w:pPr>
              <w:spacing w:after="0"/>
              <w:rPr>
                <w:sz w:val="16"/>
                <w:szCs w:val="16"/>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5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Development stockholders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816,967</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5,501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 Holdings, LLC</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441,500</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9,773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(98,506)</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promissory notes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(6,805)</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Class B common stock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redeemable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112,579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Stockholders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PIPE – Gemini Stockholders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FS Development Sponsor</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PIPE – Other Investors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6,446,000</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1"/>
                <w:szCs w:val="2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Balances after share transactions of</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Combined Entity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46,541,250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105,871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211,896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(105,812)</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Estimated transaction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Elimination of historical accumulated</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deficit of FS Development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historical stock of</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Gemini</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(105,871)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105,877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Post-Business Combination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46,541,250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296,888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(105,311)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case of maximum redemption by holders of Public Shares, the following table represents the impact of the Business Combination and PIPE Investment on the number of shares of FS Development Class A Common Stock and represents the total equity section:</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4"/>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560" w:type="dxa"/>
            <w:vAlign w:val="bottom"/>
          </w:tcPr>
          <w:p>
            <w:pPr>
              <w:spacing w:after="0"/>
              <w:rPr>
                <w:sz w:val="24"/>
                <w:szCs w:val="24"/>
                <w:color w:val="auto"/>
              </w:rPr>
            </w:pPr>
          </w:p>
        </w:tc>
        <w:tc>
          <w:tcPr>
            <w:tcW w:w="174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5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94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800" w:type="dxa"/>
            <w:vAlign w:val="bottom"/>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80" w:type="dxa"/>
            <w:vAlign w:val="bottom"/>
          </w:tcPr>
          <w:p>
            <w:pPr>
              <w:spacing w:after="0"/>
              <w:rPr>
                <w:sz w:val="10"/>
                <w:szCs w:val="10"/>
                <w:color w:val="auto"/>
              </w:rPr>
            </w:pPr>
          </w:p>
        </w:tc>
        <w:tc>
          <w:tcPr>
            <w:tcW w:w="56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180" w:type="dxa"/>
            <w:vAlign w:val="bottom"/>
            <w:gridSpan w:val="2"/>
          </w:tcPr>
          <w:p>
            <w:pPr>
              <w:spacing w:after="0"/>
              <w:rPr>
                <w:sz w:val="10"/>
                <w:szCs w:val="10"/>
                <w:color w:val="auto"/>
              </w:rPr>
            </w:pPr>
          </w:p>
        </w:tc>
        <w:tc>
          <w:tcPr>
            <w:tcW w:w="7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Gemini’s</w:t>
            </w:r>
          </w:p>
        </w:tc>
        <w:tc>
          <w:tcPr>
            <w:tcW w:w="100" w:type="dxa"/>
            <w:vAlign w:val="bottom"/>
          </w:tcPr>
          <w:p>
            <w:pPr>
              <w:spacing w:after="0"/>
              <w:rPr>
                <w:sz w:val="10"/>
                <w:szCs w:val="10"/>
                <w:color w:val="auto"/>
              </w:rPr>
            </w:pPr>
          </w:p>
        </w:tc>
        <w:tc>
          <w:tcPr>
            <w:tcW w:w="7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8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0" w:type="dxa"/>
            <w:vAlign w:val="bottom"/>
          </w:tcPr>
          <w:p>
            <w:pPr>
              <w:spacing w:after="0"/>
              <w:rPr>
                <w:sz w:val="1"/>
                <w:szCs w:val="1"/>
                <w:color w:val="auto"/>
              </w:rPr>
            </w:pPr>
          </w:p>
        </w:tc>
      </w:tr>
      <w:tr>
        <w:trPr>
          <w:trHeight w:val="190"/>
        </w:trPr>
        <w:tc>
          <w:tcPr>
            <w:tcW w:w="2560" w:type="dxa"/>
            <w:vAlign w:val="bottom"/>
            <w:vMerge w:val="continue"/>
          </w:tcPr>
          <w:p>
            <w:pPr>
              <w:spacing w:after="0"/>
              <w:rPr>
                <w:sz w:val="16"/>
                <w:szCs w:val="16"/>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6"/>
                <w:szCs w:val="16"/>
                <w:color w:val="auto"/>
              </w:rPr>
            </w:pPr>
          </w:p>
        </w:tc>
        <w:tc>
          <w:tcPr>
            <w:tcW w:w="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56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Development stockholders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816,967</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3,018,750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FS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Development Holdings, LLC</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441,500</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80,449</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(98,506)</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Pre Business Combination – Gemini</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conversion of promissory notes</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(6,805)</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Conversion of Class B common stock</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(3,018,750)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redeemable stock</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Class A common stock</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Redemption of redeemable</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(11,152,375)</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(111,522)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Gemini Stockholders</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21,500,000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Gemini Stockholders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PIPE – FS Development Sponsor</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PIPE – Other Investors</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6,446,000</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64,460</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9"/>
        </w:trPr>
        <w:tc>
          <w:tcPr>
            <w:tcW w:w="256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Balances after share transactions of</w:t>
            </w: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Combined Entity</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35,388,875</w:t>
            </w: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100,373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(105,812)</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Estimated transaction costs</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(20,384)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historical accumulated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deficit of FS Development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Elimination of historical stock of</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Gemini</w:t>
            </w:r>
          </w:p>
        </w:tc>
        <w:tc>
          <w:tcPr>
            <w:tcW w:w="9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(105,871)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105,877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560" w:type="dxa"/>
            <w:vAlign w:val="bottom"/>
          </w:tcPr>
          <w:p>
            <w:pPr>
              <w:spacing w:after="0"/>
              <w:rPr>
                <w:sz w:val="20"/>
                <w:szCs w:val="20"/>
                <w:color w:val="auto"/>
              </w:rPr>
            </w:pPr>
            <w:r>
              <w:rPr>
                <w:rFonts w:ascii="Times New Roman" w:cs="Times New Roman" w:eastAsia="Times New Roman" w:hAnsi="Times New Roman"/>
                <w:sz w:val="16"/>
                <w:szCs w:val="16"/>
                <w:color w:val="auto"/>
              </w:rPr>
              <w:t>Post-Business Combination</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35,388,875</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185,365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(105,311)</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07" w:name="page108"/>
    <w:bookmarkEnd w:id="1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Combined Statements of Operations for the Nine Months Ended September 30, 2020 and Year Ended December 31, 2019</w:t>
      </w:r>
    </w:p>
    <w:p>
      <w:pPr>
        <w:spacing w:after="0" w:line="51"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combined statement of operations for the nine months ended September 30, 2020 and for the year ended December 31, 2019 are as follows:</w:t>
      </w:r>
    </w:p>
    <w:p>
      <w:pPr>
        <w:spacing w:after="0" w:line="52" w:lineRule="exact"/>
        <w:rPr>
          <w:sz w:val="20"/>
          <w:szCs w:val="20"/>
          <w:color w:val="auto"/>
        </w:rPr>
      </w:pPr>
    </w:p>
    <w:p>
      <w:pPr>
        <w:jc w:val="both"/>
        <w:ind w:left="1320" w:right="459" w:hanging="434"/>
        <w:spacing w:after="0" w:line="253" w:lineRule="auto"/>
        <w:tabs>
          <w:tab w:leader="none" w:pos="1350" w:val="left"/>
        </w:tabs>
        <w:numPr>
          <w:ilvl w:val="0"/>
          <w:numId w:val="1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expense and loss on extinguishment of debt. </w:t>
      </w:r>
      <w:r>
        <w:rPr>
          <w:rFonts w:ascii="Times New Roman" w:cs="Times New Roman" w:eastAsia="Times New Roman" w:hAnsi="Times New Roman"/>
          <w:sz w:val="18"/>
          <w:szCs w:val="18"/>
          <w:color w:val="auto"/>
        </w:rPr>
        <w:t>On August 21, 2020, Gemini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agreement with various investors to issue $14.0 million in convertible promissory notes (“Notes”). The Notes accrue simple interest at 8% per annum. Gemini determined that a beneficial conversion feature (“BCF”) exists and should be recognized on the issuance date. It recorded the Notes at the original issue price, net of the BCF discount. The BCF discount is accreted to the face value of the Notes, offset against interest expense. Principal and interest are convertible into Series B preferred stock at a per share conversion price of $1.3513 prior to the effective date of the Business Combination. The proforma disclosures have been prepared as if the Notes convert to Series B preferred stock on December 31, 2020, and a reacquisition price of $25.4 million representing the expected fair value of Series B preferred stock upon conversion. The adjustments reflect the accretion of the BCF discount recognized as interest expense of $5.9 million, simple interest of $0.4 million and a loss on extinguishment of $2.3 million.</w:t>
      </w:r>
    </w:p>
    <w:p>
      <w:pPr>
        <w:spacing w:after="0" w:line="81" w:lineRule="exact"/>
        <w:rPr>
          <w:rFonts w:ascii="Times New Roman" w:cs="Times New Roman" w:eastAsia="Times New Roman" w:hAnsi="Times New Roman"/>
          <w:sz w:val="18"/>
          <w:szCs w:val="18"/>
          <w:i w:val="1"/>
          <w:iCs w:val="1"/>
          <w:color w:val="auto"/>
        </w:rPr>
      </w:pPr>
    </w:p>
    <w:p>
      <w:pPr>
        <w:jc w:val="both"/>
        <w:ind w:left="1320" w:right="459" w:hanging="434"/>
        <w:spacing w:after="0" w:line="258" w:lineRule="auto"/>
        <w:tabs>
          <w:tab w:leader="none" w:pos="1455" w:val="left"/>
        </w:tabs>
        <w:numPr>
          <w:ilvl w:val="0"/>
          <w:numId w:val="1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Net loss per share. </w:t>
      </w:r>
      <w:r>
        <w:rPr>
          <w:rFonts w:ascii="Times New Roman" w:cs="Times New Roman" w:eastAsia="Times New Roman" w:hAnsi="Times New Roman"/>
          <w:sz w:val="18"/>
          <w:szCs w:val="18"/>
          <w:color w:val="auto"/>
        </w:rPr>
        <w:t>Represents pro forma net loss per share based on pro forma net loss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46,541,250 and 35,388,875 total pro forma shares outstanding upon consummation of the Business Combination and PIPE Investment for no redemption and maximum redemption scenario, respectively. There are no equity instruments that are expected to have a dilutive effect on the net income per share post-Business Combination.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Loss Per Share</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Net loss per share calculated using the historical weighted average shares outstanding, and the issuance of additional shares in connection with the Business Combination, assuming the shares were outstanding since January 1, 2019. As the Business Combination is being reflected as if it had occurred at the beginning of the periods presented, the calculation of weighted average shares outstanding for basic and diluted net loss per share assumes that the shares issuable relating to the Business Combination have been outstanding for the entire periods presented. If the maximum number of shares are redeemed, this calculation is retroactively adjusted to eliminate such shares for the entire periods.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two alternative levels of redemption for the year ended December 31, 2019 and for the nine months ended September 30, 2020:</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20" w:type="dxa"/>
            <w:vAlign w:val="bottom"/>
          </w:tcPr>
          <w:p>
            <w:pPr>
              <w:spacing w:after="0"/>
              <w:rPr>
                <w:sz w:val="17"/>
                <w:szCs w:val="17"/>
                <w:color w:val="auto"/>
              </w:rPr>
            </w:pPr>
          </w:p>
        </w:tc>
        <w:tc>
          <w:tcPr>
            <w:tcW w:w="218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20" w:type="dxa"/>
            <w:vAlign w:val="bottom"/>
          </w:tcPr>
          <w:p>
            <w:pPr>
              <w:spacing w:after="0"/>
              <w:rPr>
                <w:sz w:val="18"/>
                <w:szCs w:val="18"/>
                <w:color w:val="auto"/>
              </w:rPr>
            </w:pPr>
          </w:p>
        </w:tc>
        <w:tc>
          <w:tcPr>
            <w:tcW w:w="2180" w:type="dxa"/>
            <w:vAlign w:val="bottom"/>
            <w:gridSpan w:val="6"/>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0" w:type="dxa"/>
            <w:vAlign w:val="bottom"/>
          </w:tcPr>
          <w:p>
            <w:pPr>
              <w:spacing w:after="0"/>
              <w:rPr>
                <w:sz w:val="1"/>
                <w:szCs w:val="1"/>
                <w:color w:val="auto"/>
              </w:rPr>
            </w:pPr>
          </w:p>
        </w:tc>
      </w:tr>
      <w:tr>
        <w:trPr>
          <w:trHeight w:val="47"/>
        </w:trPr>
        <w:tc>
          <w:tcPr>
            <w:tcW w:w="34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w:t>
            </w: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40"/>
              <w:spacing w:after="0" w:line="181" w:lineRule="exact"/>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Maximum</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amounts)</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0" w:type="dxa"/>
            <w:vAlign w:val="bottom"/>
          </w:tcPr>
          <w:p>
            <w:pPr>
              <w:spacing w:after="0"/>
              <w:rPr>
                <w:sz w:val="18"/>
                <w:szCs w:val="18"/>
                <w:color w:val="auto"/>
              </w:rPr>
            </w:pP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Redemptions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7"/>
              </w:rPr>
              <w:t>Redemptions</w:t>
            </w:r>
          </w:p>
        </w:tc>
        <w:tc>
          <w:tcPr>
            <w:tcW w:w="0" w:type="dxa"/>
            <w:vAlign w:val="bottom"/>
          </w:tcPr>
          <w:p>
            <w:pPr>
              <w:spacing w:after="0"/>
              <w:rPr>
                <w:sz w:val="1"/>
                <w:szCs w:val="1"/>
                <w:color w:val="auto"/>
              </w:rPr>
            </w:pPr>
          </w:p>
        </w:tc>
      </w:tr>
      <w:tr>
        <w:trPr>
          <w:trHeight w:val="47"/>
        </w:trPr>
        <w:tc>
          <w:tcPr>
            <w:tcW w:w="34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0" w:type="dxa"/>
            <w:vAlign w:val="bottom"/>
          </w:tcPr>
          <w:p>
            <w:pPr>
              <w:spacing w:after="0"/>
              <w:rPr>
                <w:sz w:val="1"/>
                <w:szCs w:val="1"/>
                <w:color w:val="auto"/>
              </w:rPr>
            </w:pPr>
          </w:p>
        </w:tc>
      </w:tr>
      <w:tr>
        <w:trPr>
          <w:trHeight w:val="198"/>
        </w:trPr>
        <w:tc>
          <w:tcPr>
            <w:tcW w:w="3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 forma weighted average shares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46,541,250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35,388,875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46,541,250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35,388,875</w:t>
            </w:r>
          </w:p>
        </w:tc>
        <w:tc>
          <w:tcPr>
            <w:tcW w:w="0" w:type="dxa"/>
            <w:vAlign w:val="bottom"/>
          </w:tcPr>
          <w:p>
            <w:pPr>
              <w:spacing w:after="0"/>
              <w:rPr>
                <w:sz w:val="1"/>
                <w:szCs w:val="1"/>
                <w:color w:val="auto"/>
              </w:rPr>
            </w:pPr>
          </w:p>
        </w:tc>
      </w:tr>
      <w:tr>
        <w:trPr>
          <w:trHeight w:val="40"/>
        </w:trPr>
        <w:tc>
          <w:tcPr>
            <w:tcW w:w="3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8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Pro forma weighted average shares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public stockholders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12,075,000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12,075,000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922,625</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Sponsor and Directors</w:t>
            </w:r>
          </w:p>
        </w:tc>
        <w:tc>
          <w:tcPr>
            <w:tcW w:w="12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3,460,250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FS Development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15,535,250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15,535,250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4,382,875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Gemini</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19,282,221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19,282,221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19,282,221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19,282,221</w:t>
            </w:r>
          </w:p>
        </w:tc>
        <w:tc>
          <w:tcPr>
            <w:tcW w:w="0" w:type="dxa"/>
            <w:vAlign w:val="bottom"/>
          </w:tcPr>
          <w:p>
            <w:pPr>
              <w:spacing w:after="0"/>
              <w:rPr>
                <w:sz w:val="1"/>
                <w:szCs w:val="1"/>
                <w:color w:val="auto"/>
              </w:rPr>
            </w:pPr>
          </w:p>
        </w:tc>
      </w:tr>
      <w:tr>
        <w:trPr>
          <w:trHeight w:val="284"/>
        </w:trPr>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Shares</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9,506,000</w:t>
            </w:r>
          </w:p>
        </w:tc>
        <w:tc>
          <w:tcPr>
            <w:tcW w:w="0" w:type="dxa"/>
            <w:vAlign w:val="bottom"/>
          </w:tcPr>
          <w:p>
            <w:pPr>
              <w:spacing w:after="0"/>
              <w:rPr>
                <w:sz w:val="1"/>
                <w:szCs w:val="1"/>
                <w:color w:val="auto"/>
              </w:rPr>
            </w:pPr>
          </w:p>
        </w:tc>
      </w:tr>
      <w:tr>
        <w:trPr>
          <w:trHeight w:val="174"/>
        </w:trPr>
        <w:tc>
          <w:tcPr>
            <w:tcW w:w="34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Pro forma weighted average shares</w:t>
            </w: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outstanding-basic and diluted</w:t>
            </w:r>
            <w:r>
              <w:rPr>
                <w:rFonts w:ascii="Times New Roman" w:cs="Times New Roman" w:eastAsia="Times New Roman" w:hAnsi="Times New Roman"/>
                <w:sz w:val="20"/>
                <w:szCs w:val="20"/>
                <w:b w:val="1"/>
                <w:bCs w:val="1"/>
                <w:color w:val="auto"/>
                <w:vertAlign w:val="superscript"/>
              </w:rPr>
              <w:t>(2)</w:t>
            </w:r>
          </w:p>
        </w:tc>
        <w:tc>
          <w:tcPr>
            <w:tcW w:w="12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44,323,471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33,171,096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44,323,471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33,171,096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-3810</wp:posOffset>
            </wp:positionV>
            <wp:extent cx="28632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9" w:lineRule="auto"/>
        <w:tabs>
          <w:tab w:leader="none" w:pos="1007"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2.2 million Gemini consideration shares that will be issued upon the occurrence of future events (i.e., exercise of stock options or warrants). Total consideration to be issued to Gemini is up to $215.0 million or 21.5 million shares ($10 per share price). The total shares to be issued includes all issued and outstanding Gemini common and preferred stock plus shares underlying unvested stock options. Accordingly, the weighted average pro forma shares outstanding at close has been adjusted to exclude the portion of consideration shares that will be unvested, unissued, and/or unexercised at the closing of the Business Combination. The total consideration to be determined as described in more detail under the heading titled “</w:t>
      </w:r>
      <w:r>
        <w:rPr>
          <w:rFonts w:ascii="Times New Roman" w:cs="Times New Roman" w:eastAsia="Times New Roman" w:hAnsi="Times New Roman"/>
          <w:sz w:val="16"/>
          <w:szCs w:val="16"/>
          <w:i w:val="1"/>
          <w:iCs w:val="1"/>
          <w:color w:val="auto"/>
        </w:rPr>
        <w:t>The Business Combination Proposal — Acquisition of Gemini;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Merger Consideration</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0" w:right="1440" w:bottom="488"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488" w:gutter="0" w:footer="0" w:header="0"/>
          <w:type w:val="continuous"/>
        </w:sectPr>
      </w:pPr>
    </w:p>
    <w:bookmarkStart w:id="108" w:name="page109"/>
    <w:bookmarkEnd w:id="1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both"/>
        <w:ind w:left="880" w:right="459" w:hanging="426"/>
        <w:spacing w:after="0" w:line="268" w:lineRule="auto"/>
        <w:tabs>
          <w:tab w:leader="none" w:pos="924"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purposes of applying the if converted method for calculating diluted earnings per share, it was assumed that all Gemini stock options and outstanding warrants are exchanged for Class A common stock. However, since this results in anti-dilution, the effect of such exchange was not included in calculation of diluted loss per share. Shares underlying these instruments include 2.2 million Gemini consideration shares for unvested, unissued, and/or unexercised stock options and warrants.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BUSINESS COMBINATION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xml:space="preserve">Holders of FS Development Common Stock are being asked to approve and adopt the Merger Agreement and the transactions contemplated thereby, including the Business Combination. FS Development stockholders should read carefully this proxy statement/prospectus in its entirety for more detailed information concerning the Merger Agreement, which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xml:space="preserve"> to this proxy statement/prospectus. Please see the section titled “</w:t>
      </w:r>
      <w:r>
        <w:rPr>
          <w:rFonts w:ascii="Times New Roman" w:cs="Times New Roman" w:eastAsia="Times New Roman" w:hAnsi="Times New Roman"/>
          <w:sz w:val="18"/>
          <w:szCs w:val="18"/>
          <w:i w:val="1"/>
          <w:iCs w:val="1"/>
          <w:color w:val="auto"/>
        </w:rPr>
        <w:t>The Business Combination Proposal</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below, for additional information and a summary of certain terms of the Merger Agreement. You are urged to read carefully the Merger Agreement in its entirety before voting on this proposal.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Business Combination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terms of the Business Combination are the result of negotiations between the representatives of FS Development and Gemini. The following is a brief description of the background of these negotiations and the resulting Business Combination. The following does not purport to list every conversation among representatives of FS Development, Gemini and other parties.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FS Development is a blank check company incorporated in Delaware on June 25, 2020 and formed for the purpose of effecting a merger, capital stock exchange, asset acquisition, stock purchase, reorganization or similar business combination with one or more businesses. FS Development was created to capitalize on the substantial deal sourcing, investing and operating expertise of our management team to identify and combine with one or more businesses with high growth potential.</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14, 2020, we consummated the FS Development IPO of 12,075,000 shares of Class A Common Stock, generating total gross proceeds of $120,750,000. Substantially concurrent with the consummation of the FS Development IPO, our Sponsor purchased 441,500 shares of Class A Common Stock for an aggregate purchase price of $4,415,000, or $10.00 per share.</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Prior to the consummation of the FS Development IPO, neither FS Development, nor anyone on its behalf, engaged in any substantive discussions, directly or indirectly, with any business combination target with respect to an initial business combination with FS Development.</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Following the FS Development IPO and up to the signing of the mutual exclusivity agreement with Gemini on September 20, 2020, our officers and directors commenced an active search for prospective businesses or assets to acquire in our initial business combination. Representatives of FS Development were contacted by, and representatives of FS Development contacted, numerous individuals, financial advisors and other entities who offered to present ideas for business combination opportunities. Our officers and directors and their affiliates also brought to our attention target business candidates.</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During this search process, FS Development reviewed business combination opportunities with potential target businesses in the biotechnology industry. Discussions with several of these potential target businesses progressed to discussions of material transaction terms, including valuation, and FS Development delivered non-binding indications of interest to the following five potential target businesses: Gemini, Company B, Company C, Company D and Company E.</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However, shortly after preliminary discussions and before any material discussion progressed, FS Development ceased discussions with Company B, Company C and Company D because each of these companies decided to pursue alternative strategic transactions. Further, by September 20, 2020, the date on which FS Development and Gemini reached agreement on a non-binding indication of interest and a mutual exclusivity agreement (as described below), FS Development ultimately determined to abandon its potential business combination opportunity with Company E because of, among other things: (a) the level of engagement by, and advanced negotiations and discussions with Gemini, as compared to Company E where engagement was more limited and negotiations and discussions did not progress as rapidly, although Gemini had yet to reach an agreement on key terms and conditions of a potential transaction; (b) Gemini’s willingness to enter into the non-binding indication of interest and the mutual exclusivity agreement discussed below on terms that FS Development’s directors and officers believed were attractive; and (c) the Board and FS Development officers’ belief, based on their preliminary evaluation and the terms of the non-binding indication of interest, that Gemini was the most attractive potential business combination target that met its key criteria in a target.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engaged White &amp; Case LLP as its counsel, Wilson Sonsini Goodrich &amp; Rosati as its intellectual property counsel and Jefferies LLC as its financial and capital markets advisor in connection with its business combination and engaged Jefferies LLC and SVB Leerink LLC as co-lead placement agents in connection with a related private placement.</w:t>
      </w:r>
    </w:p>
    <w:p>
      <w:pPr>
        <w:spacing w:after="0" w:line="10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color w:val="auto"/>
        </w:rPr>
        <w:t>On August 18, 2020, Foresite Capital Fund V (“</w:t>
      </w:r>
      <w:r>
        <w:rPr>
          <w:rFonts w:ascii="Times New Roman" w:cs="Times New Roman" w:eastAsia="Times New Roman" w:hAnsi="Times New Roman"/>
          <w:sz w:val="18"/>
          <w:szCs w:val="18"/>
          <w:b w:val="1"/>
          <w:bCs w:val="1"/>
          <w:color w:val="auto"/>
        </w:rPr>
        <w:t>Fund V</w:t>
      </w:r>
      <w:r>
        <w:rPr>
          <w:rFonts w:ascii="Times New Roman" w:cs="Times New Roman" w:eastAsia="Times New Roman" w:hAnsi="Times New Roman"/>
          <w:sz w:val="18"/>
          <w:szCs w:val="18"/>
          <w:color w:val="auto"/>
        </w:rPr>
        <w:t>”), an affiliate of our Sponsor, was wall-crossed in connection with a potential private placement relating to a proposed business combination involving Gemini and Company A. Thereafter, representatives of Fund V and Gemini discussed Gemini’s business in relation to such potential private placement.</w:t>
      </w:r>
    </w:p>
    <w:p>
      <w:pPr>
        <w:spacing w:after="0" w:line="113"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August 23, 2020, the Board held a special board meeting via video conference to discuss potential business combination opportunities.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1, 2020, Gemini’s exclusivity agreement with Company A terminated, and on September 21, 2020, based on discussions of Gemini’s board of directors, Gemini terminated discussions with Company A regarding a potential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2, 2020, Gemini management contacted FS Development about its potential interest in a business combination transaction with Gemini. Thereafter, FS Development continued discussions regarding a potential business combination with Gemini and several other companies.</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September 17, 2020, representatives of FS Development and Gemini held a teleconference to discuss a potential business combination. Thereafter, Jason Meyenburg, Chief Executive Officer of Gemini contacted Jim Tananbaum, Director, President and Chief Executive Officer of FS Development, and indicated that Gemini would be willing to consider a business combination at an enterprise value of at least $200 million. Thereafter, representatives of FS Development and Gemini continued to discuss the proposed valuation of Gemini. Having determined that a business combination with Gemini would be favorable for FS Development stockholders, in an industry in which FS Development was focused and possessed the growth and other financial attributes that FS Development intended to target at the time of the FS Development IPO, FS Development proposed in a non-binding indication of interest an enterprise value of Gemini of $215 million in order to secure exclusivity with Gemini. In addition, the non-binding indication of interest contained the following material terms: (1) issuance of an aggregate of 21,500,000 shares of FS Development Class A Common Stock (the “Share Cap”) at a valuation of $10.00 per share, (2) a proposed investment by an affiliate of FS Development of $45 million in a proposed private placement to close concurrently with the closing of the potential business combination, (3) disclosure of the amount in the Trust Account of approximately $121 million and (4) a proposal that the board of directors of the Combined Entity be comprised of seven (7) members to be drawn primarily from the current board of Gemini.</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20, 2020, FS Development and Gemini entered into the non-binding indication of interest in the form submitted by FS Development and a mutual exclusivity agreement, and FS Development ceased contact with other potential target businesses in the biotechnology industry. On September 24, 2020, FS Development and Gemini entered into a confidentiality agreement regarding the sharing of information in order for FS Development to conduct due diligence on Gemini.</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September 22, 2020, Gemini’s financial advisors informed potential private placement investors in connection with the potential business combination with Company A that wall-crossing restrictions were terminated.</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Starting on September 24, 2020 until signing of the Merger Agreement, Gemini provided FS Development and its representatives with due diligence materials, including financial, clinical and regulatory information and representatives of FS Development and Gemini held telephonic conferences and virtual meetings to discuss the terms of the potential business combination, due diligence items and commercial and legal elements of Gemini’s business to assist FS Development and its advisors in assessing the enterprise valuation proposed by Gemini. During this time period, management of FS Development periodically updated members of the Board on the status and timing of discussions with Gemini, material transaction terms and due diligence items.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24, 2020, Goodwin Procter LLP, counsel to Gemini, delivered an initial draft of the Merger Agreement to White &amp; Case LLP, which provided for the repayment of the Convertible Notes by issuance of additional shares of FS Development Class A Common Stock above the Share Cap. Thereafter, the parties and their respective legal counsel negotiated the terms of the Merger Agreement and related documentation and agreements and exchanged several drafts of the Merger Agreement and related documentation and agreements.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parties also began preparing an investor presentation for meetings with certain targeted investors. FS Development and Gemini held investor meetings with potential investors in the PIPE Investment. All such investors were wall-crossed.</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September 24, 2020 and September 25, 2020, representatives of FS Development held telephonic conferences with Gemini management to discuss due diligence items.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September 28, 2020, Dr. Tananbaum, Dr. Michael Rome, Director and Vice President of FS Development, and other members of management of FS Development met telephonically with representatives of White &amp; Case LLP to discuss material transaction terms and due diligence items. Later on September 28, 2020, Dr. Rome, Dr. Tananbaum and representatives of White &amp; Case LLP met telephonically with Gemini management and representatives of Goodwin Procter LLP to update parties on the status of the transaction.</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September 29, 2020, management of FS Development met telephonically with management of Gemini to discuss additional clinical and regulatory due diligence items.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September 29, October 1, October 6, and October 8, 2020, Dr. Rome, Dr. Tananbaum, other members of management of FS Development and representatives of Jefferies LLC and SVB Leerink LLC met telephonically with Gemini management to discuss the status of the PIPE Investment.</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September 30, 2020, White &amp; Case LLP sent a revised draft of the Merger Agreement to Goodwin Procter LLP. The revised draft proposed, among other things, (i) changes relating to indemnification provisions, (ii) changes relating to allocation of purchase price, including repayment of the Convertible Notes out of the Share Cap, (iii) changes relating to treatment of options and warrants, and (iv) material changes to various representations, warranties and covenants.</w:t>
      </w:r>
    </w:p>
    <w:p>
      <w:pPr>
        <w:spacing w:after="0" w:line="1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October 3, 2020, Goodwin Procter LLP sent a revised draft of the Merger Agreement to White &amp; Case LLP. The revised draft proposed, among other things, (i) additional changes relating to indemnification provisions,</w:t>
      </w:r>
    </w:p>
    <w:p>
      <w:pPr>
        <w:jc w:val="both"/>
        <w:ind w:left="460" w:right="459" w:hanging="6"/>
        <w:spacing w:after="0" w:line="255" w:lineRule="auto"/>
        <w:tabs>
          <w:tab w:leader="none" w:pos="73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changes relating to allocation of purchase price, (iii) changes to closing conditions applicable to the parties and (iv) treating the Convertible Notes as a pre-funded investment by the holders of the Convertible Notes in the potential PIPE Investment.</w:t>
      </w:r>
    </w:p>
    <w:p>
      <w:pPr>
        <w:spacing w:after="0" w:line="11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October 8, 2020, the Board held a special board meeting via video conference to discuss the potential business combination, commitments from investors in the potential PIPE Investment and support from existing and prospective stockholders.</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Thereafter, final allocations for investors in the potential PIPE Investment were determined by the parties and the proposed investment by an affiliate of FS Development of $45 million was decreased to $15 million.</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11, 2020, White &amp; Case LLP sent a further revised draft of the Merger Agreement to Goodwin Procter LLP. The revised draft (i) proposed, among other things, changes to closing conditions applicable to the parties and additional changes relating allocation of purchase price and (ii) reflected the agreement among the parties to repayment of the Convertible Notes out of the Share Cap and the board of directors of the Combined Entity would consist of seven (7) members, with the Sponsor entitled to nominate one such member.</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October 12, October 13, and October 14, 2020, management of FS Development met telephonically with management of Gemini to discuss clinical and other due diligence items.</w:t>
      </w:r>
    </w:p>
    <w:p>
      <w:pPr>
        <w:spacing w:after="0" w:line="9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On October 12, 2020, the Board held a special board meeting via video conference to discuss the Business Combination and the terms of the definitive agreements. The Board was briefed on the terms of the Merger Agreement and related agreements and discussed the status of the proposed private placement. Following the discussions, the Board unanimously voted to approve the Business Combination with Gemini as well as the PIPE Investment. In approving the transactions, the Board determined that the aggregate fair market value of the proposed Business Combination was at least 80% of the assets held in the Trust Account (excluding the deferred underwriting commissions and taxes payable on the income earned on the Trust Account). On October 15, 2020, the Board executed a unanimous written consent approving the Merger Agreement and the transactions contemplated in the Business Combination.</w:t>
      </w:r>
    </w:p>
    <w:p>
      <w:pPr>
        <w:spacing w:after="0" w:line="10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From October 12, 2020 until the signing of the Merger Agreement, representatives of White &amp; Case LLP and Goodwin Procter LLP met telephonically to finalize the Merger Agreement and related documentation and agreements.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prior to the signing of the Merger Agreement, FS Development held virtual meetings and follow-up phone calls with the existing stockholders of FS Development. This resulted in stockholders owning 2,742,529 shares of Class A Common Stock committing not to transfer or redeem their shares through the closing of the Business Combination. During this process, several existing investors requested the ability to purchase additional shares in the PIPE Investment.</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October 15, 2020, the parties entered into the Merger Agreement and FS Development entered into the subscription agreements for the PIPE Investment. On October 15, 2020, the parties issued a press release announcing the Business Combination.</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Board’s Reasons for Approval of the Business Combination</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FS Development was formed for the purpose of effecting a merger, capital stock exchange, asset acquisition, stock purchase, reorganization or similar business combination with one or more businesses. FS Development sought to do this by utilizing the networks and industry experience of both its management team and the Board to identify, acquire and operate one or more businesses within or outside of the United States.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particular, the Board considered the following positive factors, although not weighted or in any order of significance:</w:t>
      </w:r>
    </w:p>
    <w:p>
      <w:pPr>
        <w:spacing w:after="0" w:line="90" w:lineRule="exact"/>
        <w:rPr>
          <w:sz w:val="20"/>
          <w:szCs w:val="20"/>
          <w:color w:val="auto"/>
        </w:rPr>
      </w:pPr>
    </w:p>
    <w:p>
      <w:pPr>
        <w:jc w:val="both"/>
        <w:ind w:left="1320" w:right="459" w:hanging="434"/>
        <w:spacing w:after="0" w:line="254" w:lineRule="auto"/>
        <w:tabs>
          <w:tab w:leader="none" w:pos="152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Pioneering precision medicine approach targeting trial enrichment with genetically-defined patients. </w:t>
      </w:r>
      <w:r>
        <w:rPr>
          <w:rFonts w:ascii="Times New Roman" w:cs="Times New Roman" w:eastAsia="Times New Roman" w:hAnsi="Times New Roman"/>
          <w:sz w:val="18"/>
          <w:szCs w:val="18"/>
          <w:color w:val="auto"/>
        </w:rPr>
        <w:t>Gemini’s lead program, GEM103, targets a genetically-defined subset of age-related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macular degeneration (“</w:t>
      </w:r>
      <w:r>
        <w:rPr>
          <w:rFonts w:ascii="Times New Roman" w:cs="Times New Roman" w:eastAsia="Times New Roman" w:hAnsi="Times New Roman"/>
          <w:sz w:val="18"/>
          <w:szCs w:val="18"/>
          <w:b w:val="1"/>
          <w:bCs w:val="1"/>
          <w:color w:val="auto"/>
        </w:rPr>
        <w:t>AMD</w:t>
      </w:r>
      <w:r>
        <w:rPr>
          <w:rFonts w:ascii="Times New Roman" w:cs="Times New Roman" w:eastAsia="Times New Roman" w:hAnsi="Times New Roman"/>
          <w:sz w:val="18"/>
          <w:szCs w:val="18"/>
          <w:color w:val="auto"/>
        </w:rPr>
        <w:t>”) patients with complement dysregulation. Of the 15 million dry AMD patients, emerging science shows approximately 40% (or six million) present variants in the complement factor H (CFH) gene. Such loss-of-function variants are associated with increased dry AMD disease risk. The Board believes that Gemini’s lead asset, GEM103, the first ever recombinant native complement modulator, full-length recombinant complement factor H (rCFH) protein, when delivered by intravitreal injections, has the potential to meet unmet medical needs by circumventing dysfunctional CFH loss-of-function variants in genetically-defined subsets of AMD patients and slowing the progression of their retinal disease.</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45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Supporting Phase 1 study data in advanced dry AMD patients. </w:t>
      </w:r>
      <w:r>
        <w:rPr>
          <w:rFonts w:ascii="Times New Roman" w:cs="Times New Roman" w:eastAsia="Times New Roman" w:hAnsi="Times New Roman"/>
          <w:sz w:val="18"/>
          <w:szCs w:val="18"/>
          <w:color w:val="auto"/>
        </w:rPr>
        <w:t>Gemini conducted a single-ascending dose Phase 1 study to assess the safety of GEM103 in advanced dry AMD patients. In Gemini’s Phase 1 study, GEM103 was well tolerated, with no adverse drug reactions, no ocular inflammation, no anti-drug antibodies, and no dose-limiting toxicities, when dosed up to 500 micrograms as a single intravitreal dose. In addition, the Phase 1 study data supported the mechanism of action of the product candidate in the ocular compartment, as evidenced by sustained supraphysiological CFH levels, and apparent reductions in a pro-inflammatory biomarker related to complement activation in several subjects. The data from this Phase 1 study provided Gemini with a rationale for commencing its ongoing Phase 2a trial of GEM103.</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41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Vast market opportunity in dry AMD. </w:t>
      </w:r>
      <w:r>
        <w:rPr>
          <w:rFonts w:ascii="Times New Roman" w:cs="Times New Roman" w:eastAsia="Times New Roman" w:hAnsi="Times New Roman"/>
          <w:sz w:val="18"/>
          <w:szCs w:val="18"/>
          <w:color w:val="auto"/>
        </w:rPr>
        <w:t>Third-party reports indicate there are approximately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patients with AMD in the United States alone. Dry AMD represents about 90% (or about 15 million) of U.S. AMD patients, which compares to 1.4 million U.S. wet AMD U.S. patients. Third party market forecasts estimate the global wet AMD market generated $6.9 billion of sales in 2018 (e.g., aggregate sales of Eylea, Lucentis, and Avastin in wet AMD), demonstrating a vast market opportunity for a successful product in the potentially larger global dry AMD market.</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Potential to address an area of high unmet medical need. </w:t>
      </w:r>
      <w:r>
        <w:rPr>
          <w:rFonts w:ascii="Times New Roman" w:cs="Times New Roman" w:eastAsia="Times New Roman" w:hAnsi="Times New Roman"/>
          <w:sz w:val="18"/>
          <w:szCs w:val="18"/>
          <w:color w:val="auto"/>
        </w:rPr>
        <w:t>Dry AMD, Gemini’s lead indication,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leading cause of blindness among individuals aged 50 and older. There are no approved therapies for dry AMD. The Board believes that based upon the association of CFH mutations with disease risk, Gemini’s approach to dry AMD will precisely target patients with genetically defined complement pathway dysregulation and in the future could bring a much needed therapeutic to an area of high unmet medical need.</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47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screening. </w:t>
      </w:r>
      <w:r>
        <w:rPr>
          <w:rFonts w:ascii="Times New Roman" w:cs="Times New Roman" w:eastAsia="Times New Roman" w:hAnsi="Times New Roman"/>
          <w:sz w:val="18"/>
          <w:szCs w:val="18"/>
          <w:color w:val="auto"/>
        </w:rPr>
        <w:t>Gemini has a proprietary genetic screening process that enables it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identify genetically-defined dry AMD patients who may be most likely to benefit from GEM103. The Board believes this proprietary approach provides a competitive advantage to Gemini.</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59" w:lineRule="auto"/>
        <w:tabs>
          <w:tab w:leader="none" w:pos="1446" w:val="left"/>
        </w:tabs>
        <w:numPr>
          <w:ilvl w:val="0"/>
          <w:numId w:val="1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Multiple pipeline opportunities led by a Phase 2a clinical stage program. </w:t>
      </w:r>
      <w:r>
        <w:rPr>
          <w:rFonts w:ascii="Times New Roman" w:cs="Times New Roman" w:eastAsia="Times New Roman" w:hAnsi="Times New Roman"/>
          <w:sz w:val="18"/>
          <w:szCs w:val="18"/>
          <w:color w:val="auto"/>
        </w:rPr>
        <w:t>Gemini’s pipeline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multiple programs that include lead clinical candidate GEM103 in both dry and wet AMD, plus additional programs in a AMD, plus one preclinical program in a systemic renal indication. The Board believes that the data generated in Gemini’s Phase 1 study of GEM103 demonstrate sustained supraphysiologic</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3" w:name="page114"/>
    <w:bookmarkEnd w:id="1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concentrations of CFH in aqueous humor, supporting further clinical development dry AMD. Future demonstration of efficacy and safety in dry AMD, could ultimately lead to market confidence in Gemini’s precision approach and its expansion into commercial opportunities in patients with more complex AMD disease, including anti-vascular endothelial growth factor (“</w:t>
      </w:r>
      <w:r>
        <w:rPr>
          <w:rFonts w:ascii="Times New Roman" w:cs="Times New Roman" w:eastAsia="Times New Roman" w:hAnsi="Times New Roman"/>
          <w:sz w:val="18"/>
          <w:szCs w:val="18"/>
          <w:b w:val="1"/>
          <w:bCs w:val="1"/>
          <w:color w:val="auto"/>
        </w:rPr>
        <w:t>anti-VEGF</w:t>
      </w:r>
      <w:r>
        <w:rPr>
          <w:rFonts w:ascii="Times New Roman" w:cs="Times New Roman" w:eastAsia="Times New Roman" w:hAnsi="Times New Roman"/>
          <w:sz w:val="18"/>
          <w:szCs w:val="18"/>
          <w:color w:val="auto"/>
        </w:rPr>
        <w:t>”) treated wet AMD with concomitant geographic atrophy.</w:t>
      </w:r>
    </w:p>
    <w:p>
      <w:pPr>
        <w:spacing w:after="0" w:line="112" w:lineRule="exact"/>
        <w:rPr>
          <w:sz w:val="20"/>
          <w:szCs w:val="20"/>
          <w:color w:val="auto"/>
        </w:rPr>
      </w:pPr>
    </w:p>
    <w:p>
      <w:pPr>
        <w:jc w:val="both"/>
        <w:ind w:left="1320" w:right="459" w:hanging="434"/>
        <w:spacing w:after="0" w:line="259" w:lineRule="auto"/>
        <w:tabs>
          <w:tab w:leader="none" w:pos="140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Diversified risk profile from multimodality approach. </w:t>
      </w:r>
      <w:r>
        <w:rPr>
          <w:rFonts w:ascii="Times New Roman" w:cs="Times New Roman" w:eastAsia="Times New Roman" w:hAnsi="Times New Roman"/>
          <w:sz w:val="18"/>
          <w:szCs w:val="18"/>
          <w:color w:val="auto"/>
        </w:rPr>
        <w:t>Gemini’s therapeutic candidates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recombinant proteins, adeno-associated virus- (“</w:t>
      </w:r>
      <w:r>
        <w:rPr>
          <w:rFonts w:ascii="Times New Roman" w:cs="Times New Roman" w:eastAsia="Times New Roman" w:hAnsi="Times New Roman"/>
          <w:sz w:val="18"/>
          <w:szCs w:val="18"/>
          <w:b w:val="1"/>
          <w:bCs w:val="1"/>
          <w:color w:val="auto"/>
        </w:rPr>
        <w:t>AAV</w:t>
      </w:r>
      <w:r>
        <w:rPr>
          <w:rFonts w:ascii="Times New Roman" w:cs="Times New Roman" w:eastAsia="Times New Roman" w:hAnsi="Times New Roman"/>
          <w:sz w:val="18"/>
          <w:szCs w:val="18"/>
          <w:color w:val="auto"/>
        </w:rPr>
        <w:t>”) based gene therapies, and monoclonal antibodies across multiple indications, thus reducing Gemini’s risk exposure to any single modality. The Board believes Gemini will leverage multimodality capabilities to increase the likelihood of finding therapies to address unmet needs.</w:t>
      </w:r>
    </w:p>
    <w:p>
      <w:pPr>
        <w:spacing w:after="0" w:line="111"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Near-term catalysts. </w:t>
      </w:r>
      <w:r>
        <w:rPr>
          <w:rFonts w:ascii="Times New Roman" w:cs="Times New Roman" w:eastAsia="Times New Roman" w:hAnsi="Times New Roman"/>
          <w:sz w:val="18"/>
          <w:szCs w:val="18"/>
          <w:color w:val="auto"/>
        </w:rPr>
        <w:t>Gemini has initiated a Phase 2a trial of GEM103 in dry AMD and anticipates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multiple dose clinical safety, tolerability and exploratory biomarker data in the first half of 2021. In addition, Gemini is currently conducting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 enabling studies for GEM103 in anti-VEGF treated wet AMD patients with geographic atrophy and plans to initiate a Phase 1/2a clinical study in the second half of 2020 with safety and tolerability data anticipated in the second half of 2021. Gemini also plans to complete IND enabling studies for additional therapeutic candidates in the second half of 2021. The Board believes these catalysts could serve as important value inflection points for the company.</w:t>
      </w:r>
    </w:p>
    <w:p>
      <w:pPr>
        <w:spacing w:after="0" w:line="103"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7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The Board believes that Gemini has a proven and experienced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that will effectively lead the company after the Business Combination.</w:t>
      </w:r>
    </w:p>
    <w:p>
      <w:pPr>
        <w:spacing w:after="0" w:line="87"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5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Backed by top-tier healthcare investors. </w:t>
      </w:r>
      <w:r>
        <w:rPr>
          <w:rFonts w:ascii="Times New Roman" w:cs="Times New Roman" w:eastAsia="Times New Roman" w:hAnsi="Times New Roman"/>
          <w:sz w:val="18"/>
          <w:szCs w:val="18"/>
          <w:color w:val="auto"/>
        </w:rPr>
        <w:t>Gemini’s existing investors include Atlas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Lightstone Ventures, OrbiMed, and Wu Capital, which the Board believes provides additional validation to Gemini’s clinical and business strategies.</w:t>
      </w:r>
    </w:p>
    <w:p>
      <w:pPr>
        <w:spacing w:after="0" w:line="10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48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analysis conducted by FS Development. </w:t>
      </w:r>
      <w:r>
        <w:rPr>
          <w:rFonts w:ascii="Times New Roman" w:cs="Times New Roman" w:eastAsia="Times New Roman" w:hAnsi="Times New Roman"/>
          <w:sz w:val="18"/>
          <w:szCs w:val="18"/>
          <w:color w:val="auto"/>
        </w:rPr>
        <w:t>The financial analysis conducted by FS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Development’s management team and reviewed by the Board supported the equity valuation of Gemini.</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Summary of FS Development Financial Analysis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prepared by FS Development and reviewed by the Board in connection with the valuation of Gemini. The summary set forth below does not purport to be a complete description of the financial analyses performed or factors considered by FS Development. FS Development may have deemed various assumptions more or less probable than other assumptions.</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None of Gemini, FS Development,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Gemini do not purport to be appraisals or reflect the prices at which Gemini shares may actually be valued or trade in the open market after the consummation of the Business Combination. Accordingly, the assumptions and estimates used in, and the results derived from, the financial analyses are inherently subject to substantial uncertainty. The following quantitative information, to the extent that it is based on market data, is not necessarily indicative of current market conditions.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Trading Comparables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connection with the valuation of Gemini, FS Development reviewed certain financial information of certain publicly traded companies selected based on the experience and the professional judgment of FS Development’s directors and officers. In connection with its analysis, FS Development reviewed certain financial information of Gemini, such as its current balance sheet, expected cash needs, financing history and equity capitalization.</w:t>
      </w:r>
    </w:p>
    <w:p>
      <w:pPr>
        <w:spacing w:after="0" w:line="9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considered certain financial and operating data of IVERIC bio and Apellis Pharmaceuticals, each a publicly traded company that is developing an injectable complement therapy for geographic atrophy (the “Trading Comparables”).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None of the Trading Comparables has characteristics identical to Gemini. The Trading Comparables were selected because they have a comparable drug mechanism of action, comparable structures or comparable target indications. FS Development made qualitative judgments, based on the experience and professional judgment of its directors and officers, concerning differences between the operational, business and/or financial characteristics of Gemini and the Trading Comparables.</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FS Development reviewed the market capitalization of each of the Trading Comparables, which FS Development management deemed relevant based on its professional judgment and expertise.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Trading Comparables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83"/>
        </w:trPr>
        <w:tc>
          <w:tcPr>
            <w:tcW w:w="4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2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Stage of Lead Comparable Program</w:t>
            </w:r>
          </w:p>
        </w:tc>
        <w:tc>
          <w:tcPr>
            <w:tcW w:w="140" w:type="dxa"/>
            <w:vAlign w:val="bottom"/>
          </w:tcPr>
          <w:p>
            <w:pPr>
              <w:spacing w:after="0"/>
              <w:rPr>
                <w:sz w:val="24"/>
                <w:szCs w:val="24"/>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Market Cap</w:t>
            </w:r>
          </w:p>
        </w:tc>
      </w:tr>
      <w:tr>
        <w:trPr>
          <w:trHeight w:val="46"/>
        </w:trPr>
        <w:tc>
          <w:tcPr>
            <w:tcW w:w="4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IVERIC</w:t>
            </w:r>
          </w:p>
        </w:tc>
        <w:tc>
          <w:tcPr>
            <w:tcW w:w="10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4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Apellis</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bl>
    <w:p>
      <w:pPr>
        <w:spacing w:after="0" w:line="19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conducted a comparative analysis between Gemini and the Trading Comparables and determined that an implied enterprise value for Gemini of $215 million was at a discount to each of the market capitalizations of the Trading Comparables.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Considerations</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addition, FS Development’s management team considered the financing that would be required in connection with the Business Combination and determined that the PIPE Investment was sized such that, together with the expected cash from FS Development’s trust account (assuming no redemptions), Gemini’s research and development programs would be expected to be funded through 2022.</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subsections that follow this subsection describe the material provisions of the Merger Agreement, but do not purport to describe all of the terms of the Merger Agreement. The following summary is qualified in its entirety by reference to the complete text of the Merger Agreement, a copy of which is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xml:space="preserve"> hereto, which is incorporated herein by reference. Stockholders and other interested parties are urged to read the Merger Agreement carefully and in its entirety (and, if appropriate, with the advice of financial and legal counsel) because it is the primary legal document that governs the Business Combination.</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contains representations, warranties and covenants that the respective parties made to each other as of the date of the Merger Agreement or other specific dates, which may be updated prior to the Closing.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disclosure schedules attached thereto which are not filed publicly and which are subject to a contractual standard of materiality different from that generally applicable to stockholders. The disclosure schedules were used for the purpose of allocating risk among the parties rather than establishing matters as facts. We do not believe that the disclosure schedules contain information that is material to an investment decision.</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Gemini; Merger Consideration</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Upon the Closing, Merger Sub will merge with and into Gemini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Gemini surviving the Merger as a wholly owned subsidiary of FS Development.</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subject to potential reduction for indemnification claims as described below, an aggregate number of shares equal to the Closing Payment Shares will be issued (or reserved for issuance pursuant to currently exercisable options or warrants) in respect of shares of Gemini capital stock, and options and warrants to purchase shares of Gemini capital stock, in each case, issued and outstanding immediately prior to the Closing. Each holder of Gemini Stock will receive its Pro Rata Portion of the Merger Consideration.</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parties agreed that immediately following the closing of the Business Combination, the Combined Entity’s board of directors will consist of no more than seven directors, one of which will be designated by the Sponsor and six of which will be designated by Gemini.</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Prior to the Closing, the affirmative vote of holders of a majority of the votes cast of FS Development Common Stock, voting together as a single class, at a stockholder’s meeting (at which there is a quorum) must approve the transactions contemplated by the Merger Agreement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In connection with obtaining the Stockholder Approval, FS Development must call a special meeting of its common stockholders and must prepare and file with the SEC a Proxy Statement on Schedule 14A, which will be mailed to all stockholders entitled to vote at the meeting.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the Merger Agreement, Gemini makes certain representations and warranties (with certain exceptions set forth in the disclosure schedule to the Merger Agreement) relating to, among other things:</w:t>
      </w:r>
    </w:p>
    <w:p>
      <w:pPr>
        <w:spacing w:after="0" w:line="94" w:lineRule="exact"/>
        <w:rPr>
          <w:sz w:val="20"/>
          <w:szCs w:val="20"/>
          <w:color w:val="auto"/>
        </w:rPr>
      </w:pPr>
    </w:p>
    <w:p>
      <w:pPr>
        <w:jc w:val="both"/>
        <w:ind w:left="1320" w:right="459" w:hanging="434"/>
        <w:spacing w:after="0" w:line="261" w:lineRule="auto"/>
        <w:tabs>
          <w:tab w:leader="none" w:pos="13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corporate organization, qualification to do business in each jurisdiction in which its properties are owned or leased by it or the operation of its business as currently conducted, good standing and corporate power required to own and operate its properties and assets and to carry out the business as presently conducted and as proposed to be conducted;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having requisite corporate authority to enter into the Merger Agreement and to complete the Business Combination;</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1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conflicts with its organizational documents, applicable laws or certain agreements and instruments as a result of entering into the Merger Agreement or consummating the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73"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consents and approvals that Gemini must obtain for the Merger Agreement and to consummate the Business Combination;</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55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capital structure, including with respect to (i) the duly authorized and validly issued and outstanding shares of capital stock of Gemini; (ii) common stock reserved for issuance under its outstanding unexercised options and equity incentive plans; (iii) warrants to purchase shares of Gemini Series A Preferred Stock; and (iv) additional matters with respect to its options;</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5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its corporate records, including the approvals of its board of directors, including all committees thereof, stockholders, and all consents to actions taken thereby;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has no subsidiaries;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financial statements for the periods ended December 31, 2018, December 31, 2019 and the six month period ended June 30, 2020 fairly present, in all material respects, the financial position of Gemini as of the dates thereof and the results of operations of Gemini for the periods reflected therein, and have been prepared in conformity with U.S. GAAP applied on a consistent basis and in accordance with the requirements of the Public Company Accounting Oversight Board for public companies;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3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its maintenance of proper financial books and records in all material respects in accordance with reasonable business practices, which accurately and fairly, in reasonable detail, reflect the transactions and dispositions of assets of and providing services by Gemini, and (ii) its proper internal controls over accounting which are sufficient to provide reasonable assurance that (A) transactions are executed in accordance with management’s general or specific authorizations; (B) transactions are recorded as necessary to permit preparation of financial statements in conformity with Gemini’s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9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each of its material contracts (i) is a valid and binding agreement, (ii) in full force and effect and (iii) enforceable by the parties thereto, and there are no known breaches of such materials contracts;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Gemini has all material necessary permits and licenses to conduct its business (ii) all such permits are valid and in full force and effect, and (iii) additional matters relating to such permits including with respect to the absence of breaches or violations of default;</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6" w:name="page117"/>
    <w:bookmarkEnd w:id="1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59" w:hanging="434"/>
        <w:spacing w:after="0" w:line="282" w:lineRule="auto"/>
        <w:tabs>
          <w:tab w:leader="none" w:pos="137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 compliance with all applicable laws, including, without limitation, those relating to foreign corrupt practices, sanctions, money laundering and environmental matters;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9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litigation against Gemini or its officers or directors or action with any governmental authority that would challenge the Merger Agreement or the Business Combination;</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has good and marketable title to the tangible assets and properties it owns or leases;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compliance in all material respects with rules and regulations of the FDA, other regulatory matters and all applicable healthcare laws;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6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ownership or appropriate licenses to use intellectual property used in its business, including with respect to the absence of rights of third parties to any of its intellectual property rights, and any infringement by a third party of Gemini’s intellectual property rights;</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related to its employees as well as its compliance with applicable laws related to employment matters, proper tax withholding and employee benefit plans, including with respect to ERISA and tax matters relating thereto;</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6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matters related to taxes, including that (i) Gemini has duly and timely filed all material tax returns, which are true, correct and complete and accurate in all material respects; (ii) there is no action with respect to taxes of Gemini in the past five years; (iii) no statute of limitations in respect of the assessment or collection of any taxes of Gemini has been waived or extended, which waiver or extension is in effect and Gemini is not presently contesting the tax liability before any taxing authority or other authority; (iv) Gemini has complied in all respects with all applicable laws relating to the reporting, payment, collection and withholding of taxes and has duly and timely withheld or collected, paid over to the applicable taxing authority and reported all taxes required to be withheld or collected by Gemini, (v) no stock transfer tax, sales tax, use tax, real estate transfer tax or other similar tax will be imposed on the transfer of the shares of Gemini common stock by Gemini Stockholders to FS Development pursuant to the Merger Agreement; (vi) there is no outstanding request for a ruling from any taxing authority, request for consent by a taxing authority for a change in a method of accounting, subpoena or request for information by any taxing authority or agreement with any taxing authority with respect to Gemini; (vii) there is no lien (other than certain permitted liens specified in the Merger Agreement) for taxes upon Gemini or any of the assets of Gemini; (viii) no claim has ever been made by a taxing authority in a jurisdiction where Gemini has not paid any tax or filed tax returns, asserting that Gemini is or may be subject to tax in such jurisdiction, Gemini is not nor has it ever been subject to tax in any country other than the country of incorporation of Gemini by virtue of having a permanent establishment or other place of business in that country, and Gemini is and has always been tax resident solely in its country of incorporation; (ix) Gemini has provided to FS Development true, complete and correct copies of all tax returns relating to, and all audit reports and correspondence relating to each proposed adjustment, if any, made by any taxing authority with respect to, any taxable period ending after December 31, 2015; (x) Gemini is not, and has never been, a party to any tax sharing, allocation, indemnification or similar contract; (xi) Gemini has not taken any action, and is not aware of any fact or circumstances, that would reasonably be expected to prevent the Business Combination from qualifying as a “reorganization” within the meaning of Section 368(a) of the Code; and (xii) Gemini is not a “United States real property holding corporation” within the meaning of Section 897(c)(2) of the Code at any time during the five-year period before the Closing Date;</w:t>
      </w:r>
    </w:p>
    <w:p>
      <w:pPr>
        <w:spacing w:after="0" w:line="13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by Gemini, no investment banker, broker, finder or other intermediary which has been retained by or is authorized to act on behalf of Gemini and its affiliates will be entitled to any fee or commissions from Gemini upon consummation of the Business Combination;</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related party transactions other than those that Gemini has disclosed;</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maintenance of proper insurance policies;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customary representations and warranties.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Certain of these representations and warranties are qualified as to “materiality” or “material adverse effect”. Material Adverse Effect with respect to Gemini means a material adverse change or a material adverse effect upon the assets, liabilities, financial condition, net worth, management, earnings, cash flows, business, operations or properties of Gemini and its business, subject to customary exceptions.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the Merger Agreement, FS Development makes certain representations and warranties relating to, among other things:</w:t>
      </w:r>
    </w:p>
    <w:p>
      <w:pPr>
        <w:spacing w:after="0" w:line="94" w:lineRule="exact"/>
        <w:rPr>
          <w:sz w:val="20"/>
          <w:szCs w:val="20"/>
          <w:color w:val="auto"/>
        </w:rPr>
      </w:pPr>
    </w:p>
    <w:p>
      <w:pPr>
        <w:ind w:left="1300" w:hanging="41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proper corporate organization and similar corporate matters;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execution, delivery and enforceability of the Merger Agreement and other transaction documents;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3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by FS Development, no investment banker, broker, finder or other intermediary which has been retained by or is authorized to act on behalf of FS Development and its affiliates will be entitled to any fee or commissions from Gemini upon consummation of the Business Combination;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capital structure, including with respect to the duly authorized and validly issued and outstanding shares of capital stock of FS Development and Merger Sub; (ii) absence of any other shares of capital stock or other voting securities of FS Development that are issued, reserved for issuance or outstanding; and (iii) except as disclosed by FS Development’s organizational documents, there are no outstanding contractual obligations of FS Development to repurchase, redeem or otherwise acquire any shares of FS Development Common Stock or any capital equity of FS Development;</w:t>
      </w:r>
    </w:p>
    <w:p>
      <w:pPr>
        <w:spacing w:after="0" w:line="106"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validity of its share issuance;</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trust fund amount at Closing, including the validity of the trust agreement;</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44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matters related to taxes, including that (i) FS Development has duly and timely filed all material tax returns, which are true, correct and complete and accurate in all material respects; (ii) no statute of limitations in respect of the assessment or collection of any taxes of FS Development has been waived or extended, which waiver or extension is in effect, and FS Development is not presently contesting the tax liability before any taxing authority or other authority; (iii) there is no action with respect to taxes of FS Development in the past five years; (iv) FS Development has complied in all respects with all applicable laws relating to the reporting, payment, collection and withholding of taxes and has duly and timely withheld or collected, paid over to the applicable taxing authority and reported all taxes required to be withheld or collected by FS Development; (v) there is no lien (other than certain permitted liens specified in the Merger Agreement) for taxes upon FS Development or any of the assets of FS Development; (vi) no claim has ever been made by a taxing authority in a jurisdiction where FS Development has not paid any tax or filed tax returns, asserting that FS Development is or may be subject to tax in such jurisdiction, FS Development is not nor has it ever been subject to tax in any country other than the country of incorporation of FS Development by virtue of having a permanent establishment or other place of business in that country, and FS Development is and has always been tax resident solely in its country of incorporation; (vii) FS Development has provided to Gemini true, complete and correct copies of all tax returns (if any) relating to, and all audit reports and correspondence relating to each proposed adjustment (if any) made by any taxing authority with respect to, any taxable period ending after December 31, 2020; (viii) there is no outstanding power of attorney from FS Development authorizing anyone to act on behalf of FS Development in connection with any tax, tax return or action relating to any tax or tax return of FS Development; (ix) FS Development is not, and has never been, a party to any tax sharing, allocation, indemnification or similar contract; (x) FS Development has not taken any action, and is not aware of any fact or circumstances, that would reasonably be expected to prevent the Business Combination from qualifying as a “reorganization” within the meaning of Section 368(a) of the Code; and (xi) FS Development is not a “United States real property holding corporation” within the meaning of Section 897(c)(2) of the Code at any time during the five-year period before the Closing Date;</w:t>
      </w:r>
    </w:p>
    <w:p>
      <w:pPr>
        <w:spacing w:after="0" w:line="121"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of FS Development Class A Common Stock, with trading ticker “FSDC”; and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6" w:lineRule="auto"/>
        <w:tabs>
          <w:tab w:leader="none" w:pos="145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 requirements, including that FS Development has filed all forms, reports, schedules, statements and other documents, including any exhibits thereto, required to be filed or furnished by FS Development with the SEC since FS Development’s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the Merger Agreement.</w:t>
      </w:r>
    </w:p>
    <w:p>
      <w:pPr>
        <w:spacing w:after="0" w:line="12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This summary and the copy of the Merger Agreement attached to this proxy statement/prospectus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FS Development and Gemini,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FS Development, Gemini or any of their respective subsidiaries or affiliates. Moreover, information concerning the subject matter of the representations, warranties and covenants may change after the date of the Merger Agreement. To the extent that prior to the effective date of this proxy statement/prospectus, material information that contradicts the representations, warranties, and covenants in the Merger Agreement has come to our attention, we have provided corrective disclosure in this proxy statement/prospectus. Furthermore, if subsequent to the effective date of this proxy statement/prospectus, material information concerning the subject matter of the representations, warranties, and covenants in the Merger Agreement comes to our attention and such information has not been previously disclosed in our public filings, our public filings will be updated to include any material information necessary to provide our stockholders with a materially complete understanding of the disclosures in the Merger Agreement.</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Conduct Prior to Closing; Covenants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Merger Agreement contains certain customary covenants of FS Development and Gemini, including, among others, each of FS Development and Gemini having agreed to (i) operate its business in the ordinary course prior to the closing of the Business Combination (with certain exceptions) and (ii) use its commercially reasonable efforts to preserve intact its business relationships with employees, clients, suppliers, contract manufacturing organizations, contract research organizations and other third parties. Each party has also agreed not to take certain specified actions without the prior written consent of the other party.</w:t>
      </w:r>
    </w:p>
    <w:p>
      <w:pPr>
        <w:spacing w:after="0" w:line="10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addition, FS Development has agreed to adopt the Equity Incentive Plan as described elsewhere in this proxy statement/prospectus.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Conditions to Closing</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Conditions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obligation of FS Development and Gemini to consummate the Business Combination is conditioned on, among other things, any one or more of which may be waived in writing by all of such parties, (a) the absence of any order, stay, judgment or decree by any government agency restraining or prohibiting or imposing any condition on the closing of the Business Combination; (b) all necessary governmental approvals having been obtained; (c) the absence of any litigation brought by a governmental agency seeking to enjoin or otherwise restrict the Closing; (d) FS Development shall not have redeemed Public Shares in an amount that would cause it to have net tangible assets of less than $5,000,001; (e) FS Development shall have obtained the approval of its stockholders on the Merger Agreement and the Business Combination and the proposals set forth in this proxy statement/prospectus shall have been approved at the Special Meeting, or any adjournment thereof; and (f) Gemini shall have obtained the approval of its stockholders on the Merger Agreement and the Business Combination. FS Development and Gemini have waived the condition that the bylaws of the Combined Entity be approved by the stockholders of FS Development.</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Gemini’s Conditions to Closing</w:t>
      </w:r>
    </w:p>
    <w:p>
      <w:pPr>
        <w:spacing w:after="0" w:line="14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obligations of Gemini to consummate the transactions contemplated by the Merger Agreement, in addition to the conditions described above, are conditioned upon, among other things, each of the following, any one or more of which may be waived by Gemini:</w:t>
      </w:r>
    </w:p>
    <w:p>
      <w:pPr>
        <w:spacing w:after="0" w:line="108" w:lineRule="exact"/>
        <w:rPr>
          <w:sz w:val="20"/>
          <w:szCs w:val="20"/>
          <w:color w:val="auto"/>
        </w:rPr>
      </w:pPr>
    </w:p>
    <w:p>
      <w:pPr>
        <w:jc w:val="both"/>
        <w:ind w:left="1320" w:right="459" w:hanging="434"/>
        <w:spacing w:after="0" w:line="261" w:lineRule="auto"/>
        <w:tabs>
          <w:tab w:leader="none" w:pos="136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and Merger Sub shall each have duly performed or complied with, in all material respects, all of its respective obligations under the Merger Agreement required to be performed or complied with (without giving effect to any materiality or similar qualifiers contained therein) by FS Development or Merger Sub, as applicable, at or prior to the Closing Date.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41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FS Development and Merger Sub contained in the Merger Agreement (disregarding all qualifications contained therein relating to materiality or Material Adverse Effect (as defined in the Merger Agreement)), other than the representations and warranties of FS Development and Merger Sub regarding corporate existence and power, authorization and finder’s fees, shall have been true and correct as of the date of the Merger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FS Development or on FS Development’s ability to consummate the transactions contemplated by the Merger Agreement and other specified agreements.</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56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FS Development and Merger Sub regarding corporate existence and power, authorization and finder’s fees (disregarding all qualifications and exceptions contained therein relating to materiality or Material Adverse Effect) shall have been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Charter shall have been filed with, and declared effective by, the Delaware Secretary of State.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the post-Closing board of directors shall have been appointed as set forth in Section 2.7 of the Merger Agreement.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Transaction Proceeds (as defined in the Merger Agreement) shall be equal to or greater than $170,000,000.</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55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Development’s initial listing application with Nasdaq in connection with the transactions contemplated by the Merger Agreement shall have been conditionally approved and, immediately following the Effective Time, FS Development shall satisfy any applicable initial and continuing listing requirements of Nasdaq, and FS Development shall not have received any notice of non-compliance therewith, and the Closing Payment Shares (as defined in the Merger Agreement) shall have been approved for listing on Nasdaq.</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FS Development’s Conditions to Closing</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obligations of FS Development to consummate the transactions contemplated by the Merger Agreement, in addition to the conditions described above in the first paragraph of this section, are conditioned upon, among other things, each of the following, any one or more of which may be waived by FS Development:</w:t>
      </w:r>
    </w:p>
    <w:p>
      <w:pPr>
        <w:spacing w:after="0" w:line="95" w:lineRule="exact"/>
        <w:rPr>
          <w:sz w:val="20"/>
          <w:szCs w:val="20"/>
          <w:color w:val="auto"/>
        </w:rPr>
      </w:pPr>
    </w:p>
    <w:p>
      <w:pPr>
        <w:jc w:val="both"/>
        <w:ind w:left="1320" w:right="479" w:hanging="434"/>
        <w:spacing w:after="0" w:line="266" w:lineRule="auto"/>
        <w:tabs>
          <w:tab w:leader="none" w:pos="139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duly performed or complied with, in all material respects, all of its obligations under the Merger Agreement required to be performed or complied with (without giving effect to any materiality or similar qualifiers contained therein) by Gemini at or prior to the Closing Date.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5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Gemini contained in the Merger Agreement (disregarding all qualifications and exceptions contained therein relating to materiality or Material Adverse Effect), other than the representations and warranties of Gemini regarding corporate existence and power, authorization and finder’s fees, shall be true and correct in all respects at and as of the date of the Merger Agreement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0" w:name="page121"/>
    <w:bookmarkEnd w:id="1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spacing w:after="0" w:line="255" w:lineRule="auto"/>
        <w:rPr>
          <w:sz w:val="20"/>
          <w:szCs w:val="20"/>
          <w:color w:val="auto"/>
        </w:rPr>
      </w:pPr>
      <w:r>
        <w:rPr>
          <w:rFonts w:ascii="Times New Roman" w:cs="Times New Roman" w:eastAsia="Times New Roman" w:hAnsi="Times New Roman"/>
          <w:sz w:val="18"/>
          <w:szCs w:val="18"/>
          <w:color w:val="auto"/>
        </w:rPr>
        <w:t>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121" w:lineRule="exact"/>
        <w:rPr>
          <w:sz w:val="20"/>
          <w:szCs w:val="20"/>
          <w:color w:val="auto"/>
        </w:rPr>
      </w:pPr>
    </w:p>
    <w:p>
      <w:pPr>
        <w:jc w:val="both"/>
        <w:ind w:left="1320" w:right="459" w:hanging="434"/>
        <w:spacing w:after="0" w:line="255" w:lineRule="auto"/>
        <w:tabs>
          <w:tab w:leader="none" w:pos="172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Gemini regarding corporate existence and power, authorization and finder’s fees, (disregarding all qualifications and exceptions contained therein relating to materiality or Material Adverse Effect) shall be true and correct in all respects at and as of the date of the Merger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de minimis inaccuracies.</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2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 Material Adverse Effect of Gemini since the date of the Merger Agreement that is continuing.</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0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three percent (3%) of the issued and outstanding shares of Gemini common stock (including shares of Gemini common stock issuable upon conversion of Gemini preferred stock) shall continue Dissenting Shares (as defined in the Merger Agreement).</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obtained specified consents from third parties.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52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obtained the consent of the holders of outstanding awards under Gemini’s existing equity incentive plans, to ensure that no more than five percent (5%) of the outstanding equity and equity-based awards under Gemini’s existing equity incentive plans accelerate in connection with the consummation of the Merger or otherwise as a result of the transactions contemplated by the Merger Agreement.</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shall have delivered to FS Development copies of a lockup agreement duly executed by specified persons.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5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From and after the Closing, holders of shares of Gemini capital stock (collectively, the “</w:t>
      </w:r>
      <w:r>
        <w:rPr>
          <w:rFonts w:ascii="Times New Roman" w:cs="Times New Roman" w:eastAsia="Times New Roman" w:hAnsi="Times New Roman"/>
          <w:sz w:val="18"/>
          <w:szCs w:val="18"/>
          <w:b w:val="1"/>
          <w:bCs w:val="1"/>
          <w:color w:val="auto"/>
        </w:rPr>
        <w:t>Escrow Participants</w:t>
      </w:r>
      <w:r>
        <w:rPr>
          <w:rFonts w:ascii="Times New Roman" w:cs="Times New Roman" w:eastAsia="Times New Roman" w:hAnsi="Times New Roman"/>
          <w:sz w:val="18"/>
          <w:szCs w:val="18"/>
          <w:color w:val="auto"/>
        </w:rPr>
        <w:t>”) have agreed to indemnify and hold harmless FS Development, its officers, directors and affiliates and their respective successors and permitted assigns against and in respect of any and all out-of-pocket losses incurred or sustained by FS Development as a result of: (a) any breach or inaccuracy of any of the representations, warranties set forth in Article V of the Merger Agreement (as modified by the schedules to the Merger Agreement) or in a specified certificate delivered by Gemini to FS Development at closing, in each case as of the Closing Date or such other date as expressly set forth in such representation or warranty, and (b) any breach or nonfulfillment of any covenants of Gemini contained in the Merger Agreement to be performed at or prior to the Closing Date.</w:t>
      </w:r>
    </w:p>
    <w:p>
      <w:pPr>
        <w:spacing w:after="0" w:line="12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Two Million One Hundred Fifty Thousand (2,150,000) of the shares of FS Development Class A Common Stock otherwise issuable to (or reserved for issuance for) the Escrow Participants at the Closing shall be deposited into a third party escrow account (the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FS Development’s sole and exclusive remedy for such losses under the Merger Agreement shall be the recovery of a number of Escrow Shares from the then remaining Escrow Shares having a value equal to the losses that have been finally determined to be owing to FS Development in accordance with Article XI of the Merger Agreement (at an assumed value equal to the greater of: (a) $10.00 per share and (b) the volume weighted average price of the FS Development Class A Common Stock for the ten (10) trading days ending on the trading day immediately preceding the Closing Date (the “</w:t>
      </w:r>
      <w:r>
        <w:rPr>
          <w:rFonts w:ascii="Times New Roman" w:cs="Times New Roman" w:eastAsia="Times New Roman" w:hAnsi="Times New Roman"/>
          <w:sz w:val="18"/>
          <w:szCs w:val="18"/>
          <w:b w:val="1"/>
          <w:bCs w:val="1"/>
          <w:color w:val="auto"/>
        </w:rPr>
        <w:t>Escrow Share Value</w:t>
      </w:r>
      <w:r>
        <w:rPr>
          <w:rFonts w:ascii="Times New Roman" w:cs="Times New Roman" w:eastAsia="Times New Roman" w:hAnsi="Times New Roman"/>
          <w:sz w:val="18"/>
          <w:szCs w:val="18"/>
          <w:color w:val="auto"/>
        </w:rPr>
        <w:t>”)), in each case, subject to the limitations set forth in Article XI of the Merger Agreement, including the Indemnifiable Loss Limit (as defined below).</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w:t>
      </w:r>
    </w:p>
    <w:p>
      <w:pPr>
        <w:spacing w:after="0" w:line="158" w:lineRule="exact"/>
        <w:rPr>
          <w:sz w:val="20"/>
          <w:szCs w:val="20"/>
          <w:color w:val="auto"/>
        </w:rPr>
      </w:pPr>
    </w:p>
    <w:p>
      <w:pPr>
        <w:jc w:val="both"/>
        <w:ind w:left="1320" w:right="479" w:hanging="434"/>
        <w:spacing w:after="0" w:line="261" w:lineRule="auto"/>
        <w:tabs>
          <w:tab w:leader="none" w:pos="1446"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liability of the Escrow Participants under the Merger Agreement or otherwise in connection with the transactions contemplated by the Merger Agreement shall in no event exceed an amount equal to: (i) the Escrow Share Value, multiplied by (ii) the Escrow Shares (the “</w:t>
      </w:r>
      <w:r>
        <w:rPr>
          <w:rFonts w:ascii="Times New Roman" w:cs="Times New Roman" w:eastAsia="Times New Roman" w:hAnsi="Times New Roman"/>
          <w:sz w:val="18"/>
          <w:szCs w:val="18"/>
          <w:b w:val="1"/>
          <w:bCs w:val="1"/>
          <w:color w:val="auto"/>
        </w:rPr>
        <w:t>Indemnifiable Loss Limit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1" w:name="page122"/>
    <w:bookmarkEnd w:id="1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8" w:lineRule="auto"/>
        <w:tabs>
          <w:tab w:leader="none" w:pos="14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shall not be entitled to indemnification pursuant to Section 11.1 of the Merger Agreement unless and until the aggregate amount of losses to FS Development equal at least $1,612,500 (the “</w:t>
      </w:r>
      <w:r>
        <w:rPr>
          <w:rFonts w:ascii="Times New Roman" w:cs="Times New Roman" w:eastAsia="Times New Roman" w:hAnsi="Times New Roman"/>
          <w:sz w:val="18"/>
          <w:szCs w:val="18"/>
          <w:b w:val="1"/>
          <w:bCs w:val="1"/>
          <w:color w:val="auto"/>
        </w:rPr>
        <w:t>Basket</w:t>
      </w:r>
      <w:r>
        <w:rPr>
          <w:rFonts w:ascii="Times New Roman" w:cs="Times New Roman" w:eastAsia="Times New Roman" w:hAnsi="Times New Roman"/>
          <w:sz w:val="18"/>
          <w:szCs w:val="18"/>
          <w:color w:val="auto"/>
        </w:rPr>
        <w:t>”), at which time, subject to the other limitations set forth in the Merger Agreement, FS Development shall be entitled to indemnification for any losses above the Basket, subject to the Indemnifiable Loss Limit.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92"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Participants shall have no liability or obligation to indemnify FS Development under the Merger Agreement with respect to the breach or inaccuracy of any representation or warranty based on any matter, fact or circumstance known by FS Development as of the date of the Merger Agreement.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7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Merger Agreement will (i) limit the parties’ rights to seek injunctive relief or other equitable remedies, (ii) prevent FS Development from bringing an action for fraud (with scienter) against the Person who committed such fraud (with scienter) or (iii) limit the right of any person or entity to pursue remedies under any other agreement entered into in connection with the transactions contemplated by the Merger Agreement against the parties thereto.</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indemnification to which FS Development is entitled from the Escrow Participants pursuant to Section 11.1 of the Merger Agreement for losses shall be effective so long as it is asserted prior to the expiration of the twelve (12) month anniversary of the Closing date (the “</w:t>
      </w:r>
      <w:r>
        <w:rPr>
          <w:rFonts w:ascii="Times New Roman" w:cs="Times New Roman" w:eastAsia="Times New Roman" w:hAnsi="Times New Roman"/>
          <w:sz w:val="18"/>
          <w:szCs w:val="18"/>
          <w:b w:val="1"/>
          <w:bCs w:val="1"/>
          <w:color w:val="auto"/>
        </w:rPr>
        <w:t>Survival Period</w:t>
      </w:r>
      <w:r>
        <w:rPr>
          <w:rFonts w:ascii="Times New Roman" w:cs="Times New Roman" w:eastAsia="Times New Roman" w:hAnsi="Times New Roman"/>
          <w:sz w:val="18"/>
          <w:szCs w:val="18"/>
          <w:color w:val="auto"/>
        </w:rPr>
        <w:t>”); provided, that in the event that any indemnification notice shall have been given by FS Development in accordance with the provisions of the Merger Agreement (each, an “</w:t>
      </w:r>
      <w:r>
        <w:rPr>
          <w:rFonts w:ascii="Times New Roman" w:cs="Times New Roman" w:eastAsia="Times New Roman" w:hAnsi="Times New Roman"/>
          <w:sz w:val="18"/>
          <w:szCs w:val="18"/>
          <w:b w:val="1"/>
          <w:bCs w:val="1"/>
          <w:color w:val="auto"/>
        </w:rPr>
        <w:t>Indemnification Notice</w:t>
      </w:r>
      <w:r>
        <w:rPr>
          <w:rFonts w:ascii="Times New Roman" w:cs="Times New Roman" w:eastAsia="Times New Roman" w:hAnsi="Times New Roman"/>
          <w:sz w:val="18"/>
          <w:szCs w:val="18"/>
          <w:color w:val="auto"/>
        </w:rPr>
        <w:t>”) prior to the expiration of the Survival Period and such claim has not been finally resolved by the expiration of the Survival Period, the representations, warranties, covenants, agreements or obligations that are the subject of such Indemnification Notice shall survive solely for purposes of resolving such claim until such matters are finally resolved.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Merger Agreement may be terminated at any time prior to the Closing by:</w:t>
      </w:r>
    </w:p>
    <w:p>
      <w:pPr>
        <w:spacing w:after="0" w:line="158" w:lineRule="exact"/>
        <w:rPr>
          <w:sz w:val="20"/>
          <w:szCs w:val="20"/>
          <w:color w:val="auto"/>
        </w:rPr>
      </w:pPr>
    </w:p>
    <w:p>
      <w:pPr>
        <w:jc w:val="both"/>
        <w:ind w:left="1320" w:right="459" w:hanging="434"/>
        <w:spacing w:after="0" w:line="261" w:lineRule="auto"/>
        <w:tabs>
          <w:tab w:leader="none" w:pos="141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or Gemini, in the event (i) a governmental authority shall have issued an order, having the effect of permanently restraining, enjoining or otherwise prohibiting the Merger, which order is final and non-appealable or (ii) any applicable law is in effect making the consummation of the Merger illegal.</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or Gemini, if the Closing has not occurred on or prior to April 15, 2021 (the “</w:t>
      </w:r>
      <w:r>
        <w:rPr>
          <w:rFonts w:ascii="Times New Roman" w:cs="Times New Roman" w:eastAsia="Times New Roman" w:hAnsi="Times New Roman"/>
          <w:sz w:val="18"/>
          <w:szCs w:val="18"/>
          <w:b w:val="1"/>
          <w:bCs w:val="1"/>
          <w:color w:val="auto"/>
        </w:rPr>
        <w:t>Outside Closing Date</w:t>
      </w:r>
      <w:r>
        <w:rPr>
          <w:rFonts w:ascii="Times New Roman" w:cs="Times New Roman" w:eastAsia="Times New Roman" w:hAnsi="Times New Roman"/>
          <w:sz w:val="18"/>
          <w:szCs w:val="18"/>
          <w:color w:val="auto"/>
        </w:rPr>
        <w:t>”); provided, that if the SEC has not declared FS Development’s proxy statement effective on or prior to January 15, 2021, the Outside Closing Date shall be automatically extended to May 15, 2021; provided, further, that FS Development or Gemini, as applicable, is not in material breach of any of its obligations under the Merger Agreement; or</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5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if: (i) Gemini shall have breached any representation, warranty, agreement or covenant contained in the Merger Agreement to be performed on or prior to the Closing Date, which has rendered or would render the satisfaction of any of the conditions set forth in Section 10.2 of the Merger Agreement impossible; and (ii) such breach cannot be cured or is not cured by the earlier of the Outside Closing Date and thirty (30) days following receipt by the breaching party of a written notice from the non-breaching party describing in reasonable detail the nature of such breach.</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0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Development, if: Gemini has not delivered evidence of the Gemini stockholders’ approval by written consent of the Merger Agreement and the transactions contemplated thereby to FS Development by no later than two business days following the effective date of this proxy statement (the “</w:t>
      </w:r>
      <w:r>
        <w:rPr>
          <w:rFonts w:ascii="Times New Roman" w:cs="Times New Roman" w:eastAsia="Times New Roman" w:hAnsi="Times New Roman"/>
          <w:sz w:val="18"/>
          <w:szCs w:val="18"/>
          <w:b w:val="1"/>
          <w:bCs w:val="1"/>
          <w:color w:val="auto"/>
        </w:rPr>
        <w:t>Gemini Stockholder Approval Termination Right</w:t>
      </w:r>
      <w:r>
        <w:rPr>
          <w:rFonts w:ascii="Times New Roman" w:cs="Times New Roman" w:eastAsia="Times New Roman" w:hAnsi="Times New Roman"/>
          <w:sz w:val="18"/>
          <w:szCs w:val="18"/>
          <w:color w:val="auto"/>
        </w:rPr>
        <w:t>”); provided, that FS Development shall not be permitted to terminate the Merger Agreement pursuant to the Gemini Stockholder Approval Right at any time (A) prior to two business days following the effective date of this proxy statement or (B) after such evidence has been delivered to FS Development.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5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if: (i) FS Development shall have breached any representation, warranty, agreement or covenant contained in the Merger Agreement to be performed on or prior to the Closing Date, which has rendered or would render the satisfaction of any of the conditions set forth in Section 10.3 of the Merger Agreement impossible; and (ii) such breach cannot be cured or is not cured by the earlier of the Outside Closing Date and thirty (30) days following receipt by FS Development of a written notice from Gemini describing in reasonable detail the nature of such breach.</w:t>
      </w:r>
    </w:p>
    <w:p>
      <w:pPr>
        <w:sectPr>
          <w:pgSz w:w="11900" w:h="16838" w:orient="portrait"/>
          <w:cols w:equalWidth="0" w:num="1">
            <w:col w:w="9019"/>
          </w:cols>
          <w:pgMar w:left="1440" w:top="270"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Ancillary Agreements Related to the Business Combination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Subscription Agreements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FS Development entered into the Subscription Agreements with certain investors, including an affiliate of our Sponsor, pursuant to which, among other things, such investors have agreed to purchase immediately prior to the Closing, an aggregate of 9,506,000 shares of Class A Common Stock at a purchase price of $10.00 per share, for aggregate gross proceeds of $95,060,000. The affiliate of our Sponsor has assigned to the Sponsor its obligation to purchase its shares under the subscription agreement so that our Sponsor will purchase 1,500,000 of such shares. At the time of the FS Development IPO, the Sponsor had originally indicated an interest to purchase up to $25 million of shares in connection with FSDC’s initial business combination. This purchase of 1,500,000 shares represents the Sponsor’s allocation of shares in the PIPE Investment. The obligations to consummate the subscriptions are conditioned upon, among other things, customary closing conditions.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public stockholders of FS Development entered into non-redemption letter agreements with FS Development,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Gemini Support Agreements</w:t>
      </w:r>
    </w:p>
    <w:p>
      <w:pPr>
        <w:spacing w:after="0" w:line="15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Gemini stockholders (the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Supporting Stockholders</w:t>
      </w:r>
      <w:r>
        <w:rPr>
          <w:rFonts w:ascii="Times New Roman" w:cs="Times New Roman" w:eastAsia="Times New Roman" w:hAnsi="Times New Roman"/>
          <w:sz w:val="18"/>
          <w:szCs w:val="18"/>
          <w:color w:val="auto"/>
        </w:rPr>
        <w:t>”) entered into support agreements with FS Development (the “</w:t>
      </w:r>
      <w:r>
        <w:rPr>
          <w:rFonts w:ascii="Times New Roman" w:cs="Times New Roman" w:eastAsia="Times New Roman" w:hAnsi="Times New Roman"/>
          <w:sz w:val="18"/>
          <w:szCs w:val="18"/>
          <w:b w:val="1"/>
          <w:bCs w:val="1"/>
          <w:color w:val="auto"/>
        </w:rPr>
        <w:t>Gemini Support Agreements</w:t>
      </w:r>
      <w:r>
        <w:rPr>
          <w:rFonts w:ascii="Times New Roman" w:cs="Times New Roman" w:eastAsia="Times New Roman" w:hAnsi="Times New Roman"/>
          <w:sz w:val="18"/>
          <w:szCs w:val="18"/>
          <w:color w:val="auto"/>
        </w:rPr>
        <w:t>”). Under the Gemini Support Agreements, each Gemini Supporting Stockholder agreed,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as reasonably practicable (and in any event within two (2) business days) following the SEC declaring this proxy statement/prospectus effective, to execute and deliver a written consent with respect to the outstanding shares of the Gemini Stock held by such Gemini Supporting Stockholder (the “</w:t>
      </w:r>
      <w:r>
        <w:rPr>
          <w:rFonts w:ascii="Times New Roman" w:cs="Times New Roman" w:eastAsia="Times New Roman" w:hAnsi="Times New Roman"/>
          <w:sz w:val="18"/>
          <w:szCs w:val="18"/>
          <w:b w:val="1"/>
          <w:bCs w:val="1"/>
          <w:color w:val="auto"/>
        </w:rPr>
        <w:t>Subject 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approving the Merger Agreement and the transactions contemplated thereby. In addition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Business Combination (ii) against any alternative transaction; and</w:t>
      </w:r>
    </w:p>
    <w:p>
      <w:pPr>
        <w:spacing w:after="0" w:line="8" w:lineRule="exact"/>
        <w:rPr>
          <w:sz w:val="20"/>
          <w:szCs w:val="20"/>
          <w:color w:val="auto"/>
        </w:rPr>
      </w:pPr>
    </w:p>
    <w:p>
      <w:pPr>
        <w:jc w:val="both"/>
        <w:ind w:left="460" w:right="459" w:hanging="6"/>
        <w:spacing w:after="0" w:line="250" w:lineRule="auto"/>
        <w:tabs>
          <w:tab w:leader="none" w:pos="80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(including any provisions of any such agreement that, by its terms, survive such termination), effective as of, and subject to and condition upon the occurrence of, the Closing. The Subject Gemini Shares owned by the Gemini Supporting Stockholders and subject to the Gemini Support Agreements represent over</w:t>
      </w:r>
    </w:p>
    <w:p>
      <w:pPr>
        <w:spacing w:after="0" w:line="2" w:lineRule="exact"/>
        <w:rPr>
          <w:rFonts w:ascii="Times New Roman" w:cs="Times New Roman" w:eastAsia="Times New Roman" w:hAnsi="Times New Roman"/>
          <w:sz w:val="18"/>
          <w:szCs w:val="18"/>
          <w:color w:val="auto"/>
        </w:rPr>
      </w:pPr>
    </w:p>
    <w:p>
      <w:pPr>
        <w:jc w:val="both"/>
        <w:ind w:left="460" w:right="459" w:firstLine="1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outstanding voting power of Gemini Stock. In addition, the Gemini Support Agreements prohibit the Gemini Supporting Stockholders from, among other things, (i) transferring any of the Subject Gemini Shares;</w:t>
      </w:r>
    </w:p>
    <w:p>
      <w:pPr>
        <w:jc w:val="both"/>
        <w:ind w:left="460" w:right="479" w:hanging="6"/>
        <w:spacing w:after="0" w:line="253" w:lineRule="auto"/>
        <w:tabs>
          <w:tab w:leader="none" w:pos="72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foregoing.</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FS Development Support Agreements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stockholders of FS Development including the Initial Stockholders (the “</w:t>
      </w:r>
      <w:r>
        <w:rPr>
          <w:rFonts w:ascii="Times New Roman" w:cs="Times New Roman" w:eastAsia="Times New Roman" w:hAnsi="Times New Roman"/>
          <w:sz w:val="18"/>
          <w:szCs w:val="18"/>
          <w:b w:val="1"/>
          <w:bCs w:val="1"/>
          <w:color w:val="auto"/>
        </w:rPr>
        <w:t>FS Development Supporting Stockholders</w:t>
      </w:r>
      <w:r>
        <w:rPr>
          <w:rFonts w:ascii="Times New Roman" w:cs="Times New Roman" w:eastAsia="Times New Roman" w:hAnsi="Times New Roman"/>
          <w:sz w:val="18"/>
          <w:szCs w:val="18"/>
          <w:color w:val="auto"/>
        </w:rPr>
        <w:t>”) entered into support agreements with FS Development, Gemini and the Sponsor (the “</w:t>
      </w:r>
      <w:r>
        <w:rPr>
          <w:rFonts w:ascii="Times New Roman" w:cs="Times New Roman" w:eastAsia="Times New Roman" w:hAnsi="Times New Roman"/>
          <w:sz w:val="18"/>
          <w:szCs w:val="18"/>
          <w:b w:val="1"/>
          <w:bCs w:val="1"/>
          <w:color w:val="auto"/>
        </w:rPr>
        <w:t>FS Development Support Agreements</w:t>
      </w:r>
      <w:r>
        <w:rPr>
          <w:rFonts w:ascii="Times New Roman" w:cs="Times New Roman" w:eastAsia="Times New Roman" w:hAnsi="Times New Roman"/>
          <w:sz w:val="18"/>
          <w:szCs w:val="18"/>
          <w:color w:val="auto"/>
        </w:rPr>
        <w:t>”). Under FS Development Support Agreements, each FS Development Supporting Stockholder agreed to vote, at any meeting of the stockholders of FS Development, and in any action by written consent of the stockholders of FS Development, all of such FS Development Supporting Stockholder’s FS Development Common Stock (i) in favor of the Merger Agreement, certain proposals requiring approval by the stockholders of FS Development in connection with Business Combination and the transactions contemplated by the Merger Agreement and FS Development Support Agreement, and (ii) in favor of any other matter reasonably necessary to the consummation of the transactions contemplated by the Merger Agreement and the approval of the Parent Proposals (as defined in the Merger Agreement). The shares of FS Development Common Stock owned by the FS Development Supporting Stockholders and subject to the FS Development Support</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Agreements represent over % of the outstanding voting power of FS Development Common Stock. In addition, FS Development Support Agreements prohibit FS Development Supporting Stockholders from, among other things, selling, assigning or transferring any FS Development Common Stock of FS Development held by FS Development Supporting Stockholders or taking any action that would prevent or disable FS Development Support Stockholders from performing its obligations thereunder.</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the Initial Stockholders and certain other stockholders will enter into a registration rights agreement with FS Development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 The presence of these additional shares of common stock trading in the public market may have an adverse effect on the market price of the Combined Entity’s securities.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16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 connection with the Closing, the Sponsor, FS Development, certain stockholders of FS Development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of the voting agreement, subject to certain terms and holding requirements set forth therein.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116" w:lineRule="exact"/>
        <w:rPr>
          <w:sz w:val="20"/>
          <w:szCs w:val="20"/>
          <w:color w:val="auto"/>
        </w:rPr>
      </w:pPr>
    </w:p>
    <w:p>
      <w:pPr>
        <w:ind w:left="1320" w:right="479" w:hanging="434"/>
        <w:spacing w:after="0" w:line="282" w:lineRule="auto"/>
        <w:tabs>
          <w:tab w:leader="none" w:pos="133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Jean George and Carl Gordon, and their terms will expire at the annual meeting of stockholders to be held in 2021;</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David Lubner, Dr. Tuyen Ong, and Jason Rhodes, and their terms will expire at the annual meeting of stockholders to be held in 2022;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Jason Meyenburg and Jim Tananbaum, and their terms will expire at the annual meeting of stockholders to be held in 2023.</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Satisfaction of 80% Test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Board concluded that the Business Combination met all of the requirements disclosed in the prospectus for the FS Development IPO with respect to FS Development’s initial business combination, including that the Business Combination had a fair market value of at least 80% of the balance of the funds in the Trust Account (excluding the deferred underwriting commissions and taxes payable on the income earned on the Trust Account) at the time of execution of the Merger Agreement.</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of the date of the execution of the Merger Agreement, the balance of funds in the Trust Account was approximately $[•] million, 80% thereof represents approximately $[•] million. In reaching its conclusion that the business combination meets the 80% test, the Board used as a fair market value the enterprise value of approximately $215 million, which was implied based on the terms of the transactions agreed to by the parties in negotiating the Merger Agreement. In determining whether the purchase price represents the fair market value of Gemini, the Board considered all of the factors described in the section entitled “The Business Combination Proposal — Board’s Reasons for Approval of the Business Combination,” and the fact that the purchase price for Gemini was the result of an arm’s length negotiation. As a result, the Board concluded that the fair market value of the businesses acquired was significantly in excess of 80% of the assets held in the Trust Account. In light of the financial background and experience of the members of our management team and the Board in valuing companies in the biotechnology industry, the Board believes that the members of our management team and the Board are qualified to determine whether the business combination meets the 80% test. The Board did not seek or obtain an opinion of an outside fairness or valuation advisor as to whether the 80% test has been met.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FS Development’s Directors and Officers and Others in the Business Combination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When you consider the recommendation of the Board in favor of approval of the Business Combination Proposal and the other proposals, you should keep in mind that the Sponsor and FS Development’s directors and officers, have interests in such proposals that are different from, or in addition to, your interests as a stockholder. These interests include, among other things:</w:t>
      </w:r>
    </w:p>
    <w:p>
      <w:pPr>
        <w:spacing w:after="0" w:line="99" w:lineRule="exact"/>
        <w:rPr>
          <w:sz w:val="20"/>
          <w:szCs w:val="20"/>
          <w:color w:val="auto"/>
        </w:rPr>
      </w:pPr>
    </w:p>
    <w:p>
      <w:pPr>
        <w:jc w:val="both"/>
        <w:ind w:left="1320" w:right="459" w:hanging="434"/>
        <w:spacing w:after="0" w:line="253" w:lineRule="auto"/>
        <w:tabs>
          <w:tab w:leader="none" w:pos="132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our initial business combination by August 14, 2022,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the Board, liquidate and dissolve, subject in each case to our obligations under Delaware law to provide for claims of creditors and the requirements of other applicable law.</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liquidating distributions from the Trust Account with respect to the Founders Shares if we fail to complete a business combination within the required period. Our Sponsor purchased the Founders Shares prior to the FS Development IPO for an aggregate purchase price of $25,000, and transferred 30,000 Founders Shares to each of Mr. Carey, Dr. Dubin and Dr. Pakianathan. Upon the Closing, such Founders Shares will convert into 2,928,750 shares of Class A Common Stock.</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closing of the FS Development IPO, FS Development consummated the sale of 441,500 Private Placement Shares at a price of $10.00 per share in a private placement to the Sponsor. If we do not consummate a business combination transaction by August 14, 2022, then the proceeds from the sale of the Private Placement Shares will be part of the liquidating distribution to the public stockholders and the shares held by the Sponsor will be worthless.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our officers and directors will lose their entire investment in us if we do not complete a business combination by August 14, 2022. Certain of them may continue to serve as officers and/or directors of FS Development after the Closing. As such, in the future they may receive any cash fees, stock options or stock awards that the Board determines to pay to its directors and/or officers.</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5" w:lineRule="auto"/>
        <w:tabs>
          <w:tab w:leader="none" w:pos="155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and directors collectively (including entities controlled by officers and directors) have made an aggregate average investment per share of $0.799 (including the Founders Shares and Private Placement Shares) as of the consummation of the FS Development IPO. As a result of the significantly lower investment per share of our Sponsor, officers and directors as compared with the investment per share of our public stockholders, a transaction which results in an increase in the value of the investment of our Sponsor, officers and directors may result in a decrease in the value of the investment of our public stockholders.</w:t>
      </w:r>
    </w:p>
    <w:p>
      <w:pPr>
        <w:spacing w:after="0" w:line="10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9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and our officers and directors have agreed to waive their rights to liquidating distributions from the Trust Account with respect to their Founders Shares and Private Placement Shares if FS Development fails to complete a business combination by August 14, 2022.</w:t>
      </w:r>
    </w:p>
    <w:p>
      <w:pPr>
        <w:spacing w:after="0" w:line="81"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41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protect the amounts held in the Trust Account, the Sponsor has agreed that it will be liable to us if and to the extent any claims by a vendor for services rendered or products sold to us, or a prospective target business with which we have entered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the offering against certain liabilities, including liabilities under the Securities Act.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5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Sponsor would be entitled to the repayment of any working capital loan and advances that have been made to FS Development and remain outstanding. As of the date of this proxy statement/prospectus, the Sponsor has not made any advances to us for working capital expenses. If we do not complete an initial business combination within the required period, we may use a portion of our working capital held outside the Trust Account to repay the working capital loans, but no proceeds held in the Trust Account would be used to repay the working capital loans.</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we will continue to indemnify our existing directors and officers and will maintain a directors’ and officers’ liability insurance policy.</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9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subject to the terms and conditions of the Merger Agreement, the Sponsor, our officers and directors and their respective affiliates may be entitled to reimbursement for any reasonable out-of-pocket expenses related to identifying, investigating and consummating an initial business combination, and repayment of any other loans, if any, and on such terms as to be determined by FS Development from time to time, made by the Sponsor or certain of our officers and directors to finance transaction costs in connection with an intended initial business combination.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Company Shares to be Issued in the Business Combination</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It is anticipated that, upon completion of the Business Combination, the Company’s public stockholders (other than investors in the PIPE Investment) will retain an ownership interest of approximately 26% in the Combined Entity, the PIPE Investment investors will own approximately 21% of the outstanding common stock of the Combined Entity (such that public stockholders, including PIPE Investment investors, will own approximately 47% of the Combined Entity), the Sponsor will retain an ownership interest of approximately 7% in the Combined Entity and the Gemini Equityholders will own approximately 46% of the outstanding common stock of the Combined Entity. This ownership interest assumes that no shares are elected to be redeemed.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for the Business Combination</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tables summarizes the sources and uses for funding the Business Combination based on (i) the assumption that there will be no redemptions and (ii) the assumption that there will be maximum redemptions.</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No redemptions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1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Existing Cash in Trust Account</w:t>
            </w: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120,751</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95,060</w:t>
            </w:r>
          </w:p>
        </w:tc>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191,201</w:t>
            </w:r>
          </w:p>
        </w:tc>
        <w:tc>
          <w:tcPr>
            <w:tcW w:w="0" w:type="dxa"/>
            <w:vAlign w:val="bottom"/>
          </w:tcPr>
          <w:p>
            <w:pPr>
              <w:spacing w:after="0"/>
              <w:rPr>
                <w:sz w:val="1"/>
                <w:szCs w:val="1"/>
                <w:color w:val="auto"/>
              </w:rPr>
            </w:pPr>
          </w:p>
        </w:tc>
      </w:tr>
      <w:tr>
        <w:trPr>
          <w:trHeight w:val="47"/>
        </w:trPr>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215,000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FS Development Estimated Transaction Costs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Total Uses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vMerge w:val="continue"/>
          </w:tcPr>
          <w:p>
            <w:pPr>
              <w:spacing w:after="0"/>
              <w:rPr>
                <w:sz w:val="21"/>
                <w:szCs w:val="21"/>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430,811</w:t>
            </w:r>
          </w:p>
        </w:tc>
        <w:tc>
          <w:tcPr>
            <w:tcW w:w="3180" w:type="dxa"/>
            <w:vAlign w:val="bottom"/>
            <w:vMerge w:val="continue"/>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430,811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6" w:name="page127"/>
    <w:bookmarkEnd w:id="1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(ii) Maximum redemptions</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1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Sources of Funds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Uses</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Existing Cash in Trust Account</w:t>
            </w:r>
          </w:p>
        </w:tc>
        <w:tc>
          <w:tcPr>
            <w:tcW w:w="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5,001</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PIPE Investment</w:t>
            </w:r>
          </w:p>
        </w:tc>
        <w:tc>
          <w:tcPr>
            <w:tcW w:w="18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95,060</w:t>
            </w:r>
          </w:p>
        </w:tc>
        <w:tc>
          <w:tcPr>
            <w:tcW w:w="31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Remaining Cash on Balance Sheet</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75,451</w:t>
            </w:r>
          </w:p>
        </w:tc>
        <w:tc>
          <w:tcPr>
            <w:tcW w:w="0" w:type="dxa"/>
            <w:vAlign w:val="bottom"/>
          </w:tcPr>
          <w:p>
            <w:pPr>
              <w:spacing w:after="0"/>
              <w:rPr>
                <w:sz w:val="1"/>
                <w:szCs w:val="1"/>
                <w:color w:val="auto"/>
              </w:rPr>
            </w:pPr>
          </w:p>
        </w:tc>
      </w:tr>
      <w:tr>
        <w:trPr>
          <w:trHeight w:val="46"/>
        </w:trPr>
        <w:tc>
          <w:tcPr>
            <w:tcW w:w="3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Gemini Equityholders’ Retained Equity Value</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215,000</w:t>
            </w:r>
          </w:p>
        </w:tc>
        <w:tc>
          <w:tcPr>
            <w:tcW w:w="31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FS Development Estimated Transaction Costs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Sources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Total Uses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60" w:type="dxa"/>
            <w:vAlign w:val="bottom"/>
            <w:vMerge w:val="continue"/>
          </w:tcPr>
          <w:p>
            <w:pPr>
              <w:spacing w:after="0"/>
              <w:rPr>
                <w:sz w:val="21"/>
                <w:szCs w:val="21"/>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315,061</w:t>
            </w:r>
          </w:p>
        </w:tc>
        <w:tc>
          <w:tcPr>
            <w:tcW w:w="3180" w:type="dxa"/>
            <w:vAlign w:val="bottom"/>
            <w:vMerge w:val="continue"/>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315,061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Certificate of Incorporation; By-laws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upon the closing of the Business Combination, FS Development’s Current Charter and Current By-laws will be amended and restated as set forth in the Proposed Charter and Amended By-laws. See section titled “</w:t>
      </w:r>
      <w:r>
        <w:rPr>
          <w:rFonts w:ascii="Times New Roman" w:cs="Times New Roman" w:eastAsia="Times New Roman" w:hAnsi="Times New Roman"/>
          <w:sz w:val="18"/>
          <w:szCs w:val="18"/>
          <w:i w:val="1"/>
          <w:iCs w:val="1"/>
          <w:color w:val="auto"/>
        </w:rPr>
        <w:t>The Charter Amendment Proposal</w:t>
      </w:r>
      <w:r>
        <w:rPr>
          <w:rFonts w:ascii="Times New Roman" w:cs="Times New Roman" w:eastAsia="Times New Roman" w:hAnsi="Times New Roman"/>
          <w:sz w:val="18"/>
          <w:szCs w:val="18"/>
          <w:color w:val="auto"/>
        </w:rPr>
        <w:t>,” for more information regarding the proposed amendments to the Current Charter.</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Name; Headquarters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name of the Combined Entity will be Gemini Therapeutics, Inc. and its headquarters will be located at One Kendall Square, Cambridge, Massachusetts.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of the Redemption</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for holders of our Common Stock that elect to have their Common Stock redeemed pursuant to the Current Charter, which is referred to as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This summary is based upon the Code, the regulations promulgated by the U.S. Treasury Department, 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 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 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our Common Stock as part of a “straddle,” “hedge,” “conversion transaction,” “synthetic security,” “constructive ownership transaction,” “constructive sale,” or other integrated transaction for U.S. federal income tax purposes, U.S. Holders (as defined below) that have a functional currency other than the U.S. dollar, certain former U.S. citizens or long-term residents, investors that directly, indirectly, or constructively own 5 percent or more (by vote or value) of our Common Stock, “specified foreign corporations” (including “controlled foreign corporations”), “passive foreign investment companies” and corporations that accumulate earnings to avoid U.S. federal income tax, governments or agencies or instrumentalities thereof, persons who received their shares of our Common Stock pursuant to an exercise of employee share options, in connection with employee share incentive plans or otherwise as compensation, and Non-U.S.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investors that hold our Common Stock as “capital assets” under the Code (generally, property held for investment).</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Common Stock, the U.S. federal income tax treatment of a partner in such partnership will generally depend upon the status of the partner, the activities of the partnership and certain determinations made at the partner level. If you are a partnership or a partner of a partnership holding our Common Stock, you are urged to consult your tax advisor regarding the tax consequences of a Redemption.</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7" w:name="page128"/>
    <w:bookmarkEnd w:id="1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WE URGE HOLDERS OF OUR COMMON STOCK CONTEMPLATING EXERCISE OF THEIR REDEMPTION RIGHTS TO CONSULT THEIR OWN TAX ADVISORS CONCERNING THE U.S. FEDERAL, STATE, LOCAL AND NON-U.S. INCOME AND OTHER TAX CONSEQUENCES THEREOF.</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Federal Income Tax Considerations to U.S. Holders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section is addressed to U.S. Holders of our Common Stock that elect to have their Common Stock redeemed pursuant to the Redemption. For purposes of this discussion, a “U.S. Holder” is a beneficial owner of our Common Stock who or that is, for U.S. federal income tax purposes:</w:t>
      </w:r>
    </w:p>
    <w:p>
      <w:pPr>
        <w:spacing w:after="0" w:line="108" w:lineRule="exact"/>
        <w:rPr>
          <w:sz w:val="20"/>
          <w:szCs w:val="20"/>
          <w:color w:val="auto"/>
        </w:rPr>
      </w:pPr>
    </w:p>
    <w:p>
      <w:pPr>
        <w:ind w:left="1300" w:hanging="414"/>
        <w:spacing w:after="0"/>
        <w:tabs>
          <w:tab w:leader="none" w:pos="13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Common Stock</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the event that a U.S. Holder’s Common Stock is redeemed pursuant to the Redemption,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held or treated as held by the U.S. Holder both before and after the Redemption (including any stock constructively owned by the U.S. Holder as a result of owning warrants and stock ownership attributed to such U.S. Holder under applicable attribution rules) relative to all of our shares both before and after the Redemption. The Redemption generally will be treated as a sale of the Common Stock (rather than as a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determining whether any of the foregoing tests are satisfied, a U.S. Holder takes into account not only shares of our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generally would include Common Stock that could be acquired pursuant to the exercise of the warrants. Moreover, any of our stock that a U.S. Holder directly or constructively acquires pursuant to the Business Combination or the PIPE Investment generally should be included in determining the U.S. federal income tax treatment of the Redemption.</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order to meet the substantially disproportionate test, the percentage of our outstanding voting stock actually and constructively owned by the U.S. Holder immediately following the Redemption must, among other requirements, be less than 80% of the percentage of our outstanding voting stock actually and constructively owned by the U.S. Holder immediately before the Redemption (taking into account both redemptions by other holders of Common Stock and the Common Stock to be issued pursuant to the Business Combination or the PIPE Investment).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holder as a result of owning warrants). The Redemption will be not essentially equivalent to a dividend if a U.S. Holder’s Redemption results in a “meaningful reduction” of the U.S. Holder’s proportionate interest in us. Whether the Redemption will result in a meaningful reduction in a U.S. Holder’s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8" w:name="page129"/>
    <w:bookmarkEnd w:id="1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proportionate interest in us will depend on the particular facts and circumstances. However, the IRS has indicated in a published ruling that even a small reduction in the proportionate interest of a small minority stockholder in a publicly held corporation where such stockholder exercises no control over corporate affairs may constitute such a “meaningful reduction.”</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none of the foregoing tests are satisfied, then the Redemption will be treated as a distribution and the tax effects will be as described below under “</w:t>
      </w:r>
      <w:r>
        <w:rPr>
          <w:rFonts w:ascii="Times New Roman" w:cs="Times New Roman" w:eastAsia="Times New Roman" w:hAnsi="Times New Roman"/>
          <w:sz w:val="18"/>
          <w:szCs w:val="18"/>
          <w:i w:val="1"/>
          <w:iCs w:val="1"/>
          <w:color w:val="auto"/>
        </w:rPr>
        <w:t>U.S. Federal Income Tax Considerations to U.S. Holders — 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Distributions</w:t>
      </w:r>
      <w:r>
        <w:rPr>
          <w:rFonts w:ascii="Times New Roman" w:cs="Times New Roman" w:eastAsia="Times New Roman" w:hAnsi="Times New Roman"/>
          <w:sz w:val="18"/>
          <w:szCs w:val="18"/>
          <w:color w:val="auto"/>
        </w:rPr>
        <w:t>.” U.S. Holders of our Common Stock considering exercising their redemption rights should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 their own tax advisors as to whether the Redemption will be treated as a sale or as a distribution under the Code.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Common Stock</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Redemption qualifies as a sale of Common Stock, generally, a U.S. Holder will recognize gain or loss in an amount equal to the difference between (i) the sum of cash and the fair market value of any property received in such disposition and (ii) the U.S. Holder’s adjusted tax basis in its Common Stock so disposed of. Any such capital gain or loss generally will be long-term capital gain or loss if the U.S. Holder’s holding period for the Common Stock so disposed of exceeds one year. It is unclear, however, whether the redemption rights with respect to the Common Stock described in this proxy statement/prospectus may suspend the running of the applicable holding period for this purpose. A U.S. Holder’s adjusted tax basis in its Common Stock generally will equal the U.S. Holder’s acquisition cost less any prior distributions treated as a return of capital. Long-term capital gain recognized by a non-corporate U.S. Holder generally will be taxable at a reduced rate. The deduction of capital losses is subject to limitations.</w:t>
      </w:r>
    </w:p>
    <w:p>
      <w:pPr>
        <w:spacing w:after="0" w:line="113"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U.S. Holders who hold different blocks of Common Stock (shares of Common Stock purchased or acquired on different dates or at different prices) should consult their tax advisors to determine how the above rules apply to them.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Redemption does not qualify as a sale of Common Stock, the U.S. Holder will be treated as receiving a distribution. In general, any distributions to U.S. Holders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to FS Development U.S. Holders — Gain or Loss on Sale, Taxable Exchange or Other Taxable Disposition of Common Stock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taxable at a reduced rate. It is unclear whether the redemption rights with respect to the Common Stock described in this proxy statement/prospectus may prevent a U.S. Holder from satisfying the applicable holding period requirements with respect to the dividends received deduction or the preferential tax rate on qualified dividend income, as the case may be.</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Federal Income Tax Considerations to Non-U.S. Holders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section is addressed to Non-U.S. Holders of our Common Stock that elect to have their Common Stock redeemed pursuant to the Redemption. For purposes of this discussion, a “Non-U.S. Holder” is a beneficial owner of our Common Stock (other than a partnership) that is not a U.S. Holder. The characterization for U.S. federal income tax purposes of the Redemption generally will correspond to the U.S. federal income tax characterization of the Redemption as described under “</w:t>
      </w:r>
      <w:r>
        <w:rPr>
          <w:rFonts w:ascii="Times New Roman" w:cs="Times New Roman" w:eastAsia="Times New Roman" w:hAnsi="Times New Roman"/>
          <w:sz w:val="18"/>
          <w:szCs w:val="18"/>
          <w:i w:val="1"/>
          <w:iCs w:val="1"/>
          <w:color w:val="auto"/>
        </w:rPr>
        <w:t>U.S. Federal Income Tax Considerations to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Non-U.S. Holders of our Common Stock considering exercising their redemption rights should consult their own tax advisors as to whether the Redemption will be treated as a sale or as a distribution under the Code.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 on Sale, Taxable Exchange or Other Taxable Disposition of Common Stock</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redemption qualifies as a sale of Common Stock, subject to the discussions of FATCA (as defined below) and backup withholding below, a Non-U.S. Holder generally will not be subject to U.S. federal income or withholding tax in respect of gain recognized on a sale of its Common Stock, unless:</w:t>
      </w:r>
    </w:p>
    <w:p>
      <w:pPr>
        <w:spacing w:after="0" w:line="108" w:lineRule="exact"/>
        <w:rPr>
          <w:sz w:val="20"/>
          <w:szCs w:val="20"/>
          <w:color w:val="auto"/>
        </w:rPr>
      </w:pPr>
    </w:p>
    <w:p>
      <w:pPr>
        <w:jc w:val="both"/>
        <w:ind w:left="1320" w:right="459" w:hanging="434"/>
        <w:spacing w:after="0" w:line="255" w:lineRule="auto"/>
        <w:tabs>
          <w:tab w:leader="none" w:pos="141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under certain income tax treaties, is attributable to a permanent establishment or fixed base maintained by the Non-U.S. Holder in the United States), in which case, unless an applicable income tax treaty provides otherwise, the Non-U.S. Holder will generally be subject to the same treatment as a U.S. Holder with respect to the Redemption, and a corporate Non-U.S. Holder may be subject to an additional branch profits tax at a 30% rate (or lower rate as may be specified by an applicable income tax treaty);</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(including any gain realized in connection with the Redemption) for the year (which gain may be offset by certain U.S.-source capital losses), even though the Non-U.S. Holder is not considered a resident of the United States; or</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2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in which case, gain recognized by such holder in connection with the Redemption will be subject to tax at generally applicable U.S. federal income tax rates. In addition, we may be required to withhold U.S. federal income tax at a rate of 15% of the amount realized upon such Redemption. There can be no assurance that our Common Stock is or has been treated as regularly traded on an established securities market for this purpose. We believe that we are not, and have not been at any time since our formation, a United States real property holding corporation and we do not expect to be a United States real property holding corporation immediately after the Business Combination is completed.</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Redemption does not qualify as a sale of Common Stock, the Non-U.S. Holder will be treated as receiving a distribution. In general, any distributions we make to a Non-U.S. Holder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timely provides proper certification of its eligibility for such reduced rate (usually on an IRS Form W-8BEN or W-8BEN-E).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Any distribution not constituting a dividend will be treated first as reducing (but not below zero) the Non-U.S. Holder’s adjusted tax basis in its shares of our Common Stock redeemed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U.S. Federal Income Tax Considerations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Non-U.S. Holders — Gain on Sale, Taxable Exchange or Other Taxable Disposition of Common Stock</w:t>
      </w:r>
      <w:r>
        <w:rPr>
          <w:rFonts w:ascii="Times New Roman" w:cs="Times New Roman" w:eastAsia="Times New Roman" w:hAnsi="Times New Roman"/>
          <w:sz w:val="18"/>
          <w:szCs w:val="18"/>
          <w:color w:val="auto"/>
        </w:rPr>
        <w:t>.” If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cannot be determined at the time a distribution is made whether or not such distribution will be in excess of our current and accumulated earnings and profits, the distribution will be subject to withholding at the same 30% rate discussed in the last paragraph unless a Non-U.S. Holder is eligible for a reduced rate of withholding tax under an applicable income tax treaty and timely provides proper certification of its eligibility for such reduced rate (usually on an IRS Form W-8BEN or W-8BEN-E).</w:t>
      </w:r>
    </w:p>
    <w:p>
      <w:pPr>
        <w:spacing w:after="0" w:line="11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Because (i) it may not be certain at the time a Non-U.S. Holder is redeemed whether such Non-U.S. Holder’s Redemption will be treated as a sale of shares or a distribution constituting a dividend, (ii) such determination will depend in part on a Non-U.S. Holder’s particular circumstances, and (iii) we generally cannot determine at the time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0" w:name="page131"/>
    <w:bookmarkEnd w:id="1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make a distribution whether or not the distribution will exceed our current and accumulated earnings and profits, we or the applicable withholding agent generally will withhold tax on the entire amount of any distribution at the 30% rate (subject to reduction by an applicable income tax treaty). However, if we or an applicable withholding agent withhold excess amounts from the amount payable to a Non-U.S. Holder, such Non-U.S. Holder generally may obtain a refund of any such excess amounts by timely filing an appropriate claim for refund with the IRS. Non-U.S. Holders should consult their own tax advisors regarding the application of the foregoing rules in light of their particular facts and circumstances and any applicable procedures or certification requirements.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generally will not be subject to U.S. federal withholding tax, provided that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resulting from our Redemption. U.S. Holders will have to provide their taxpayer identification number and comply with certain certification requirements to avoid backup withholding. A Non-U.S. holder may have to comply with certification procedures to establish that it is not a United States person in order to avoid information reporting and backup withholding requirements. Backup withholding is not an additional tax. The amount of any backup withholding from a payment to a holder may be allowed as a credit against such holder’s U.S. federal income tax liability and may entitle such holder to a refund, provided that an appropriate claim for refund is timely filed with the IRS and the required information is timely furnished to the IRS.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FATCA</w:t>
      </w:r>
    </w:p>
    <w:p>
      <w:pPr>
        <w:spacing w:after="0" w:line="14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to as the “Foreign Account Tax Compliance Act” or “FATCA”) generally impose a 30% withholding tax with respect to certain payments on our Common Stock,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and complies with,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The withholding tax may apply to payments made to Non-U.S. Holders pursuant to the Redemption if the Redemption does not qualify as a sale of Common Stock described above. Thirty percent (30%) withholding under FATCA was scheduled to apply to the gross proceeds of a disposition of any stock, debt instrument, or other property that can produce U.S.-source dividends or interest beginning on January 1, 2019, but on December 13, 2018, the IRS released proposed regulations that, if finalized in their proposed form, would eliminate the obligation to withhold on gross proceeds. Although these proposed Treasury Regulations are not final, taxpayers generally may rely on them until final Treasury Regulations are issued. Under certain circumstances, a Non-U.S. Holder might be eligible for refunds or credits of such taxes. An intergovernmental agreement between the United States and an applicable foreign country may modify these requirements. Non-U.S. Holders are encouraged to consult their tax advisors regarding the possible implications of such withholding tax.</w:t>
      </w:r>
    </w:p>
    <w:p>
      <w:pPr>
        <w:spacing w:after="0" w:line="20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 of the Business Combination to Gemini Equityholders</w:t>
      </w:r>
    </w:p>
    <w:p>
      <w:pPr>
        <w:spacing w:after="0" w:line="9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certain material U.S. federal income tax considerations of the Business Combination for U.S. Gemini Holders (as defined below) and Non-U.S. Gemini Holders (as defined below, and together, the “Gemini Holders”) who exchange their Gemini Stock for the Merger Consideration in the Business Combination. This summary is based upon the Code, the regulations promulgated by the U.S. Treasury Department,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1" w:name="page132"/>
    <w:bookmarkEnd w:id="1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current administrative interpretations and practices of the IRS, and judicial decisions, all as currently in effect and all of which are subject to differing interpretations or to change, possibly with retroactive effect. We have not sought, and do not intend to seek, a ruling from the IRS as to any U.S. federal income tax consequences described herein. No assurance can be given that the IRS would not assert, or that a court would not sustain, a position contrary to any of the tax considerations described below.</w:t>
      </w:r>
    </w:p>
    <w:p>
      <w:pPr>
        <w:spacing w:after="0" w:line="11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This summary does not discuss all aspects of U.S. federal income taxation that may be important to particular investors in light of their individual circumstances, such as investors subject to special tax rules, including financial institutions, insurance companies, mutual funds, pension plans, S corporations, partnerships or other entities classified as partnerships or pass-through entities for U.S. federal income tax purposes, or investors in such entities, broker-dealers, traders in securities that elect mark-to-market treatment, regulated investment companies, real estate investment trusts, trusts and estates, tax-exempt organizations (including private foundations), investors that hold Gemini Stock as part of a “straddle,” “hedge,” “conversion transaction,” “synthetic security,” “constructive ownership transaction,” “constructive sale,” or other integrated transaction for U.S. federal income tax purposes, U.S. Gemini Holders (as defined below) that have a functional currency other than the U.S. dollar, certain former U.S. citizens or long-term residents, investors that directly, indirectly or constructively own 5 percent or more (by vote or value) of the Gemini Stock, “specified foreign corporations” (including “controlled foreign corporations”), “passive foreign investment companies” and corporations that accumulate earnings to avoid U.S. federal income tax, governments or agencies or instrumentalities thereof, persons who received their Gemini Stock pursuant to an exercise of employee share options, in connection with employee share incentive plans or otherwise as compensation, and Non-U.S. Gemini Holders (as defined below, and except as otherwise discussed below), all of whom may be subject to tax rules that differ materially from those summarized below. In addition, this summary addresses only the federal income tax laws of the United States, and does not discuss any state, local, or non-U.S. tax considerations, any non-income tax considerations (such as gift or estate taxes), the consequences of special tax accounting rules under Section 451(b) of the Code, the alternative minimum tax or the Medicare tax on net investment income. In addition, this summary is limited to Gemini Holders that hold Gemini Stock as “capital assets” under the Code (generally, property held for investment).</w:t>
      </w:r>
    </w:p>
    <w:p>
      <w:pPr>
        <w:spacing w:after="0" w:line="13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Gemini Holder” is a beneficial owner of Gemini Stock who or that is, for U.S. federal income tax purposes:</w:t>
      </w:r>
    </w:p>
    <w:p>
      <w:pPr>
        <w:spacing w:after="0" w:line="81" w:lineRule="exact"/>
        <w:rPr>
          <w:sz w:val="20"/>
          <w:szCs w:val="20"/>
          <w:color w:val="auto"/>
        </w:rPr>
      </w:pPr>
    </w:p>
    <w:p>
      <w:pPr>
        <w:ind w:left="1300" w:hanging="41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3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that has one or more United States persons (within the meaning of the Code) with the authority to control all substantial decisions of the trust or (B) that has in effect a valid election under applicable Treasury regulations to be treated as a United States person.</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Gemini Holder” is a beneficial owner of Gemini Stock (other than a partnership) that is not a U.S. Gemini Holder.</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Gemini Stock, the U.S. federal income tax treatment of a partner in such partnership will generally depend upon the status of the partner, the activities of the partnership and certain determinations made at the partner level. If you are a partnership or a partner of a partnership holding Gemini Stock, you are urged to consult your tax advisor regarding the tax consequences of the Business Combination.</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WE URGE GEMINI HOLDERS TO CONSULT THEIR OWN TAX ADVISORS CONCERNING THE U.S. FEDERAL, STATE, LOCAL AND NON-U.S. INCOME AND OTHER TAX CONSEQUENCES OF THE BUSINESS COMBINATION.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if the Business Combination Qualifies as a Reorganization</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Subject to the qualifications and assumptions described in this proxy statement/prospectus, FS Development and Gemini intend for the Business Combination to be treated for U.S. federal income tax purposes as a reorganization within the meaning of Section 368(a) of the Code. Nevertheless, the parties’ intentions and this proxy statement/prospectus are not binding on the IRS, and the IRS or a U.S. court could disagree with one or more of the positions discussed in this proxy statement/prospectus. Indeed, the IRS has announced that it will not issue favorable reorganization rulings with respect to escrow stock arrangements unless such arrangements comply with certain requirements. Neither FS Development nor Gemini has requested an opinion from U.S. tax counsel or a ruling from the IRS regarding the U.S. federal income tax consequences arising from and relating to the Business Combination. For a discussion of the U.S. federal income tax consequences if the Business Combination fails to qualify as a reorganization within the meaning of Section 368(a) of the Code, see “— </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if the Business Combination Fails to Qualify as a Reorganization</w:t>
      </w:r>
      <w:r>
        <w:rPr>
          <w:rFonts w:ascii="Times New Roman" w:cs="Times New Roman" w:eastAsia="Times New Roman" w:hAnsi="Times New Roman"/>
          <w:sz w:val="18"/>
          <w:szCs w:val="18"/>
          <w:color w:val="auto"/>
        </w:rPr>
        <w:t>” below. The remainder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discussion “— </w:t>
      </w:r>
      <w:r>
        <w:rPr>
          <w:rFonts w:ascii="Times New Roman" w:cs="Times New Roman" w:eastAsia="Times New Roman" w:hAnsi="Times New Roman"/>
          <w:sz w:val="18"/>
          <w:szCs w:val="18"/>
          <w:i w:val="1"/>
          <w:iCs w:val="1"/>
          <w:color w:val="auto"/>
        </w:rPr>
        <w:t>Tax Consequences if the Business Combination Qualifies as a Reorganization</w:t>
      </w:r>
      <w:r>
        <w:rPr>
          <w:rFonts w:ascii="Times New Roman" w:cs="Times New Roman" w:eastAsia="Times New Roman" w:hAnsi="Times New Roman"/>
          <w:sz w:val="18"/>
          <w:szCs w:val="18"/>
          <w:color w:val="auto"/>
        </w:rPr>
        <w:t>” summarizes certain material U.S. federal income tax consequences of the Business Combination to Gemini Holders assuming that the Business Combination qualifies as a reorganization within the meaning of Section 368(a) of the Code. In addition, the discussion below assumes that the Escrow Shares in the Escrow Fund will be treated as having been received by the Gemini Holders at the time of the Business Combination.</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Exchange for FS Development Common Stock</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Provided that the Business Combination qualifies as a reorganization within the meaning of Section 368(a) of the Code, in general, the following U.S. federal income tax consequences would result to Gemini Holders who exchange shares of Gemini Stock for FS Development Common Stock:</w:t>
      </w:r>
    </w:p>
    <w:p>
      <w:pPr>
        <w:spacing w:after="0" w:line="108" w:lineRule="exact"/>
        <w:rPr>
          <w:sz w:val="20"/>
          <w:szCs w:val="20"/>
          <w:color w:val="auto"/>
        </w:rPr>
      </w:pPr>
    </w:p>
    <w:p>
      <w:pPr>
        <w:jc w:val="both"/>
        <w:ind w:left="1320" w:right="479" w:hanging="434"/>
        <w:spacing w:after="0" w:line="266" w:lineRule="auto"/>
        <w:tabs>
          <w:tab w:leader="none" w:pos="137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 Holders will not recognize gain or loss on the exchange of Gemini Stock for shares of FS Development Common Stock (including FS Development Common Stock held in the Escrow Fund) in the Business Combination.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13"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in shares of FS Development Common Stock received (including FS Development Common Stock held in the Escrow Fund) in the Business Combination will be equal to the aggregate tax basis of the Gemini Stock exchanged in the Business Combination.</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2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FS Development Common Stock received (including FS Development Common Stock held in the Escrow Fund) in the Business Combination by a Gemini Holder will include the holding period of the Gemini Stock that it surrendered in exchange therefor.</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Until the Escrow Shares are released to the Gemini Holders, the interim basis of the FS Development Stock received by Gemini Holders pursuant to the Business Combination will be determined by treating the Escrow Shares as having been received by the Gemini Holders. No gain or loss will be recognized and no amount will be included in the income of the Gemini Holders by reason of the release of Escrow Shares to the Gemini Holders (although, for the avoidance of doubt, the amount of any dividends or other taxable distributions made in respect of the Escrow Shares will be includable in the income of the Gemini Holders prior to the release of such amounts to the Gemini Holders). In the event that any Escrow Shares are not released to Gemini Holders, the interim basis allocated to such Escrow Shares will be reallocated to the Gemini Holders’ remaining FS Development Common Stock received pursuant to the Business Combination, if any, or may result in recognition of capital loss in the event the Gemini Holder no longer holds any FS Development Common Stock. Gemini Holders should consult their tax advisors regarding the manner in which the above rules apply in light of the contingent right to receive Escrow Shares and the tax consequences of the release of Escrow Shares.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if the Business Combination Fails to Qualify as a Reorganization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If the Business Combination fails to qualify as a reorganization under Section 368(a) of the Code, the Business Combination will be a fully taxable transaction to each Gemini Holder. In such case, each U.S. Gemini Holder will recognize gain or loss measured by the difference between the fair market value of the Merger Consideration received in the Business Combination and the U.S. Gemini Holder’s tax basis in the shares of Gemini Stock surrendered in the Business Combination. The aggregate tax basis in the FS Development Common Stock (including the Escrow Shares) received pursuant to the Business Combination will be equal to the fair market value of such FS Development Common Stock (including the Escrow Shares) as of date received (including in the Escrow Fund). The holding period of such</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3" w:name="page134"/>
    <w:bookmarkEnd w:id="1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FS Development Common Stock (including the Escrow Shares) will begin on the date immediately following the date received. Gain or loss recognized will generally be capital gain or loss and will be a long-term capital gain or loss if the U.S. Gemini Holder will have held the Gemini Stock for more than one year at the Effective Time. Long-term capital gains of U.S. Gemini Holders that are non-corporate taxpayers are currently taxed at preferential U.S. federal income tax rates. Short-term capital gains are taxed at ordinary income tax rates. The deductibility of capital losses is generally subject to limitations. Gain or loss must be calculated separately for each block of Gemini Stock acquired at the same time in a single transaction. U.S. Gemini Holders are urged to consult with their tax advisors regarding the manner in which gain or loss should be calculated among different blocks of Gemini Stock surrendered in the Business Combination.</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tax consequences to a Non-U.S. Gemini Holder if the Business Combination is treated as a taxable transaction generally will be the same as described above under the section titled “</w:t>
      </w:r>
      <w:r>
        <w:rPr>
          <w:rFonts w:ascii="Times New Roman" w:cs="Times New Roman" w:eastAsia="Times New Roman" w:hAnsi="Times New Roman"/>
          <w:sz w:val="18"/>
          <w:szCs w:val="18"/>
          <w:i w:val="1"/>
          <w:iCs w:val="1"/>
          <w:color w:val="auto"/>
        </w:rPr>
        <w:t>Certain Material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 of the Redemption — U.S. Federal Income Tax Considerations to Non-U.S. Holders — Gain on Sale, Taxable Exchange or Other Taxable Disposition of Common Stock</w:t>
      </w:r>
      <w:r>
        <w:rPr>
          <w:rFonts w:ascii="Times New Roman" w:cs="Times New Roman" w:eastAsia="Times New Roman" w:hAnsi="Times New Roman"/>
          <w:sz w:val="18"/>
          <w:szCs w:val="18"/>
          <w:color w:val="auto"/>
        </w:rPr>
        <w:t>” as if the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Gemini Holder exchanging its Gemini Stock for FS Development Common Stock were a Non-U.S. Holder (as defined therein) selling its Common Stock for property. The Merger Agreement obligates Gemini to deliver a certificate to FS Development on or prior to the Closing Date that as of the date of the certificate, Gemini is not a United States real property holding corporation.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U.S. Gemini Holder may be subject to information reporting and backup withholding unless the U.S Gemini Holder is an exempt recipient. Backup withholding may apply to such payments if the U.S. Gemini Holder fails to furnish a correct taxpayer identification number, a certification of exempt status or has been notified by the IRS that it is subject to backup withholding (and such notification has not been withdrawn). Each U.S. Gemini Holder should properly complete and sign, and deliver, an IRS Form W-9 in order to provide the information and certification necessary to avoid backup withholding, or otherwise establish an applicable exemption in a manner acceptable to the paying agent. U.S. Gemini Holders should consult their tax advisors regarding their qualification for an exemption from backup withholding and the procedures for obtaining such an exemption.</w:t>
      </w:r>
    </w:p>
    <w:p>
      <w:pPr>
        <w:spacing w:after="0" w:line="11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Non-U.S. Gemini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will be allowed as a credit against a Gemini Holder’s federal income tax liability and may entitle such holder to a refund, provided the required information is timely furnished to the IRS. Gemini Holders should consult their tax advisors regarding their qualification for an exemption from backup withholding and the procedures for obtaining such an exemption.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Gemini Holder that receives FS Development Common Stock as a result of the Business Combination should retain records pertaining to the Business Combination, including records relating to the number of shares and the tax basis of such holder’s Gemini Stock. Each Gemini Holder that is required to file a U.S. federal income tax return and that is a “significant holder” that receives FS Development Common Stock in the Business Combination will be required to file a statement with such U.S. federal income tax return in accordance with Treasury regulations Section 1.368-3 setting forth such holder’s tax basis in the Gemini Stock surrendered, the fair market value of the FS Development Common Stock received in the Business Combination, and certain other information.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in conformity with accounting principles generally accepted in the United States of America, or GAAP. Under this method of accounting, FS Development has been treated as the “acquired” company for financial reporting purposes. This determination was primarily based on existing Gemini stockholders comprising a relative majority of the voting power of the Combined Entity, Gemini’s operations prior to the acquisition comprising the only ongoing operations of Combined Entity, and Gemini’s senior management comprising the senior management of Combined Entity. Accordingly, for accounting purposes, the financial statements of the Combined Entity will represent a continuation of the financial statements of Gemini with the Business Combination being treated as the equivalent of Gemini issuing stock for the net assets of FS Development, accompanied by a recapitalization. The net assets of FS Development will be stated at historical cost, with no goodwill or other intangible assets recorded.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4" w:name="page135"/>
    <w:bookmarkEnd w:id="1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This Business Combination Proposal (and consequently, the Merger Agreement and the transactions contemplated thereby, including the Business Combination) will be approved and adopted only with the affirmative vote of at least a majority of the votes cast by FS Development stockholders present in person (which would include presence at a virtual meeting) or represented by proxy at the Special Meeting and entitled to vote thereon, voting together as a single class. The Business Combination is conditioned upon the approval of the Business Combination Proposal, subject to the terms of the Merger Agreement. If the Business Combination Proposal is not approved, the other Proposals (except the Adjournment Proposal, as described below) will not be presented to the stockholders for a vote. Abstentions and broker non-votes will have no effect on the outcome of the vote on the Business Combination Proposal.</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at the Special Meeting.</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the Record Date, FS Development’s Sponsor, directors and officers have agreed to vote any shares of Common Stock owned by them in favor of the Business Combination. As of the date hereof, the Sponsor, directors and officers have not purchased any Public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BUSINESS COMBINATION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ISSUANCE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and 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Assuming the Business Combination Proposal is approved, FS Development’s stockholders are also being asked to approve (a) the issuance of up to 21,500,000 newly issued shares of FS Development Common Stock in the Business Combination,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and (b) the issuance of 9,506,000 newly issued shares of FS Development Common Stock in the PIPE Investment for the purposes of complying with the applicable provisions of the Nasdaq Stock Exchange Listing Rules (each, a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Listing Rule</w:t>
      </w:r>
      <w:r>
        <w:rPr>
          <w:rFonts w:ascii="Times New Roman" w:cs="Times New Roman" w:eastAsia="Times New Roman" w:hAnsi="Times New Roman"/>
          <w:sz w:val="18"/>
          <w:szCs w:val="18"/>
          <w:color w:val="auto"/>
        </w:rPr>
        <w:t>”) 5635(a), (b) and (d), to the extent such issuance would require a stockholder vote under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Rule 5635(a), (b), or (d).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Approval for Purposes of Nasdaq Listing Rule 5635</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Nasdaq Listing Rule 5635(a)(1), stockholder approval is required prior to the issuance of securities in connection with the acquisition of another company if such securities are not issued in a public offering for cash and (i) the common stock have, or will have upon issuance, voting power equal to or in excess of 20% of the voting power outstanding before the issuance of common stock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stockholder approval is required prior to the issuance of securities when the issuance or potential issuance will result in a change of control of the issuer. 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lower of the official Nasdaq closing price immediately before signing of the binding agreement and the average official Nasdaq closing price for the five trading days immediately preceding the signing of the binding agreement of the common stock if the number of shares of common stock to be issued is or may be equal to 20% or more of the common stock, or 20% or more of the voting power, outstanding before the issuance. If the Business Combination is completed pursuant to the Merger Agreement, FS Development currently expects to issue an estimated 31,006,000 shares of FS Development Class A Common Stock (assuming that none of FS Development’s outstanding Public Shares are redeemed) in connection with the Business Combination and the PIPE Investment.</w:t>
      </w:r>
    </w:p>
    <w:p>
      <w:pPr>
        <w:spacing w:after="0" w:line="124"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Additionally, pursuant to Nasdaq Listing Rule 5635(a)(2), when a Nasdaq-listed company proposes to issue securities in connection with the acquisition of the stock or assets of another company, stockholder approval is required if any director, officer or substantial stockholder of such company has a 5% or greater interest, directly or indirectly, in such company or the assets to be acquired or in the consideration to be paid in the transaction or series of related transactions and the present or potential issuance of common stock (or securities convertible into or exercisable for common stock) could result in an increase in outstanding shares of common stock or voting power of 5% or more. Nasdaq Listing Rule 5635(e)(3) defines a substantial stockholder as the holder of an interest of 5% or more of either the number of shares of common stock or the voting power outstanding of a Nasdaq-listed company. Because Sponsor currently owns greater than 5% of FS Development’s Common Stock,</w:t>
      </w:r>
    </w:p>
    <w:p>
      <w:pPr>
        <w:spacing w:after="0" w:line="5" w:lineRule="exact"/>
        <w:rPr>
          <w:sz w:val="20"/>
          <w:szCs w:val="20"/>
          <w:color w:val="auto"/>
        </w:rPr>
      </w:pPr>
    </w:p>
    <w:p>
      <w:pPr>
        <w:ind w:left="460"/>
        <w:spacing w:after="0"/>
        <w:tabs>
          <w:tab w:leader="none" w:pos="2180" w:val="left"/>
        </w:tabs>
        <w:rPr>
          <w:sz w:val="20"/>
          <w:szCs w:val="20"/>
          <w:color w:val="auto"/>
        </w:rPr>
      </w:pPr>
      <w:r>
        <w:rPr>
          <w:rFonts w:ascii="Times New Roman" w:cs="Times New Roman" w:eastAsia="Times New Roman" w:hAnsi="Times New Roman"/>
          <w:sz w:val="18"/>
          <w:szCs w:val="18"/>
          <w:color w:val="auto"/>
        </w:rPr>
        <w:t>Sponsor and</w:t>
      </w:r>
      <w:r>
        <w:rPr>
          <w:sz w:val="20"/>
          <w:szCs w:val="20"/>
          <w:color w:val="auto"/>
        </w:rPr>
        <w:tab/>
      </w:r>
      <w:r>
        <w:rPr>
          <w:rFonts w:ascii="Times New Roman" w:cs="Times New Roman" w:eastAsia="Times New Roman" w:hAnsi="Times New Roman"/>
          <w:sz w:val="18"/>
          <w:szCs w:val="18"/>
          <w:color w:val="auto"/>
        </w:rPr>
        <w:t>are considered substantial stockholders of FS Development under Nasdaq Listing</w:t>
      </w:r>
    </w:p>
    <w:p>
      <w:pPr>
        <w:spacing w:after="0" w:line="9" w:lineRule="exact"/>
        <w:rPr>
          <w:sz w:val="20"/>
          <w:szCs w:val="20"/>
          <w:color w:val="auto"/>
        </w:rPr>
      </w:pPr>
    </w:p>
    <w:p>
      <w:pPr>
        <w:ind w:left="460"/>
        <w:spacing w:after="0"/>
        <w:tabs>
          <w:tab w:leader="none" w:pos="5280" w:val="left"/>
          <w:tab w:leader="none" w:pos="7600" w:val="left"/>
        </w:tabs>
        <w:rPr>
          <w:sz w:val="20"/>
          <w:szCs w:val="20"/>
          <w:color w:val="auto"/>
        </w:rPr>
      </w:pPr>
      <w:r>
        <w:rPr>
          <w:rFonts w:ascii="Times New Roman" w:cs="Times New Roman" w:eastAsia="Times New Roman" w:hAnsi="Times New Roman"/>
          <w:sz w:val="18"/>
          <w:szCs w:val="18"/>
          <w:color w:val="auto"/>
        </w:rPr>
        <w:t>Rule 5635(e)(3). In connection with the PIPE Investment,</w:t>
      </w:r>
      <w:r>
        <w:rPr>
          <w:sz w:val="20"/>
          <w:szCs w:val="20"/>
          <w:color w:val="auto"/>
        </w:rPr>
        <w:tab/>
      </w:r>
      <w:r>
        <w:rPr>
          <w:rFonts w:ascii="Times New Roman" w:cs="Times New Roman" w:eastAsia="Times New Roman" w:hAnsi="Times New Roman"/>
          <w:sz w:val="18"/>
          <w:szCs w:val="18"/>
          <w:color w:val="auto"/>
        </w:rPr>
        <w:t>is expected to be issued</w:t>
      </w:r>
      <w:r>
        <w:rPr>
          <w:sz w:val="20"/>
          <w:szCs w:val="20"/>
          <w:color w:val="auto"/>
        </w:rPr>
        <w:tab/>
      </w:r>
      <w:r>
        <w:rPr>
          <w:rFonts w:ascii="Times New Roman" w:cs="Times New Roman" w:eastAsia="Times New Roman" w:hAnsi="Times New Roman"/>
          <w:sz w:val="18"/>
          <w:szCs w:val="18"/>
          <w:color w:val="auto"/>
        </w:rPr>
        <w:t>shares of FS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 Class A Common Stock.</w:t>
      </w:r>
    </w:p>
    <w:p>
      <w:pPr>
        <w:spacing w:after="0" w:line="12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the event that this proposal is not approved by FS Development stockholders, the Business Combination cannot be consummated. In the event that this proposal is approved by FS Development stockholders, but the Merger Agreement is terminated (without the Business Combination being consummated) prior to the issuance of shares of FS Development Class A Common Stock pursuant to the Merger Agreement, FS Development will not issue such shares of FS Development Class A Common Stock.</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currently have 15,535,250 shares of FS Development Common Stock outstanding. Pursuant to the Business Combination and the Subscription Agreements, we will issue 31,006,000 shares of FS Development Class A Common Stock, representing 200% of our outstanding shares of FS Development Common Stock prior to such issuance, at a price less than the greater of the book value or market of the shares. The FS Development Class A</w:t>
      </w:r>
    </w:p>
    <w:p>
      <w:pPr>
        <w:spacing w:after="0" w:line="3" w:lineRule="exact"/>
        <w:rPr>
          <w:sz w:val="20"/>
          <w:szCs w:val="20"/>
          <w:color w:val="auto"/>
        </w:rPr>
      </w:pPr>
    </w:p>
    <w:p>
      <w:pPr>
        <w:ind w:left="460"/>
        <w:spacing w:after="0"/>
        <w:tabs>
          <w:tab w:leader="none" w:pos="3680" w:val="left"/>
          <w:tab w:leader="none" w:pos="5740" w:val="left"/>
          <w:tab w:leader="none" w:pos="6380" w:val="left"/>
        </w:tabs>
        <w:rPr>
          <w:sz w:val="20"/>
          <w:szCs w:val="20"/>
          <w:color w:val="auto"/>
        </w:rPr>
      </w:pPr>
      <w:r>
        <w:rPr>
          <w:rFonts w:ascii="Times New Roman" w:cs="Times New Roman" w:eastAsia="Times New Roman" w:hAnsi="Times New Roman"/>
          <w:sz w:val="18"/>
          <w:szCs w:val="18"/>
          <w:color w:val="auto"/>
        </w:rPr>
        <w:t>Common Stock had a book value of $</w:t>
      </w:r>
      <w:r>
        <w:rPr>
          <w:sz w:val="20"/>
          <w:szCs w:val="20"/>
          <w:color w:val="auto"/>
        </w:rPr>
        <w:tab/>
      </w:r>
      <w:r>
        <w:rPr>
          <w:rFonts w:ascii="Times New Roman" w:cs="Times New Roman" w:eastAsia="Times New Roman" w:hAnsi="Times New Roman"/>
          <w:sz w:val="18"/>
          <w:szCs w:val="18"/>
          <w:color w:val="auto"/>
        </w:rPr>
        <w:t>and market value of $</w:t>
      </w:r>
      <w:r>
        <w:rPr>
          <w:sz w:val="20"/>
          <w:szCs w:val="20"/>
          <w:color w:val="auto"/>
        </w:rPr>
        <w:tab/>
      </w: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 2021. Accordingly, we need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 approval of the issuance of more than 20% of our issued and outstanding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at a price that may be less than the greater of book or market value of FS Development’s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as of</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2021.</w:t>
            </w:r>
          </w:p>
        </w:tc>
      </w:tr>
    </w:tbl>
    <w:p>
      <w:pPr>
        <w:spacing w:after="0" w:line="139"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6" w:name="page137"/>
    <w:bookmarkEnd w:id="1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 of Proposal on Current Stockholders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If the Nasdaq Stock Issuance Proposal is adopted, up to an aggregate of 31,006,000 shares of FS Development Class A Common Stock may be issued in connection with the Business Combination and the PIPE Investment, representing up to 200% of the shares of FS Development Class A Common Stock outstanding on the date hereof. The issuance of such shares would result in significant dilution to our stockholders, and result in our stockholders having a smaller percentage interest in the voting power, liquidation value and aggregate book value of FS Development.</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Nasdaq Stock Issuance Proposal, the Charter Amendment Proposal, and the Incentive Plan Proposal are conditioned on the approval of the Business Combination Proposal at the Special Meeting.</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Approval of the Nasdaq Stock Issuance Proposal requires the affirmative vote of a majority of the votes cast by the stockholders represented in person or by proxy and entitled to vote thereon at the Special Meeting, voting together as a single class, assuming that a quorum is present. Failure to vote by proxy or to vote online at the special meeting or an abstention from voting will have no effect on the outcome of the vote on the Nasdaq Stock Issuance Proposal.</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ind w:left="1400" w:right="1059" w:hanging="396"/>
        <w:spacing w:after="0" w:line="317" w:lineRule="auto"/>
        <w:rPr>
          <w:sz w:val="20"/>
          <w:szCs w:val="20"/>
          <w:color w:val="auto"/>
        </w:rPr>
      </w:pPr>
      <w:r>
        <w:rPr>
          <w:rFonts w:ascii="Times New Roman" w:cs="Times New Roman" w:eastAsia="Times New Roman" w:hAnsi="Times New Roman"/>
          <w:sz w:val="17"/>
          <w:szCs w:val="17"/>
          <w:b w:val="1"/>
          <w:bCs w:val="1"/>
          <w:color w:val="auto"/>
        </w:rPr>
        <w:t>OUR BOARD UNANIMOUSLY RECOMMENDS THAT OUR STOCKHOLDERS VOTE “FOR” THE APPROVAL OF THE NASDAQ STOCK ISSUANCE PROPOSAL.</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CHARTER AMENDMENT PROPOSAL</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sets forth a summary of the provisions of the Current Charter and the Proposed Charter. This summary is qualified by reference to the complete text of Proposed Charter, a copy of which is attached to this proxy statement/prospectus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color w:val="auto"/>
        </w:rPr>
        <w:t>. All stockholders are encouraged to read the Proposed Charter in its entirety for a more complete description of its terms.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Current Charter</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Proposed Charter</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Classified Board</w:t>
            </w:r>
          </w:p>
        </w:tc>
        <w:tc>
          <w:tcPr>
            <w:tcW w:w="2900" w:type="dxa"/>
            <w:vAlign w:val="bottom"/>
            <w:tcBorders>
              <w:bottom w:val="single" w:sz="8" w:color="auto"/>
            </w:tcBorders>
            <w:gridSpan w:val="4"/>
          </w:tcPr>
          <w:p>
            <w:pPr>
              <w:spacing w:after="0"/>
              <w:rPr>
                <w:sz w:val="4"/>
                <w:szCs w:val="4"/>
                <w:color w:val="auto"/>
              </w:rPr>
            </w:pPr>
          </w:p>
        </w:tc>
        <w:tc>
          <w:tcPr>
            <w:tcW w:w="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302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80" w:type="dxa"/>
            <w:vAlign w:val="bottom"/>
            <w:vMerge w:val="continue"/>
          </w:tcPr>
          <w:p>
            <w:pPr>
              <w:spacing w:after="0"/>
              <w:rPr>
                <w:sz w:val="16"/>
                <w:szCs w:val="16"/>
                <w:color w:val="auto"/>
              </w:rPr>
            </w:pPr>
          </w:p>
        </w:tc>
        <w:tc>
          <w:tcPr>
            <w:tcW w:w="29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Current Charter divides the board</w:t>
            </w:r>
          </w:p>
        </w:tc>
        <w:tc>
          <w:tcPr>
            <w:tcW w:w="6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30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Proposed Charter divides the board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directors  into  three  classes  with</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directors of the Combined Entity into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staggered three-year terms.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three classes with staggered three-year</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Charter Amendment</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is silent on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any will require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issue of minimum voting requirements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affirmative vote of the majority of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amending  the  Current  Charter,</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provided that provisions in the Current</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on  such  amendment,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Charter  related  to  (i)  the  rights,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provided that provisions in the Proposed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preferences  and</w:t>
            </w:r>
          </w:p>
        </w:tc>
        <w:tc>
          <w:tcPr>
            <w:tcW w:w="1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privileges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Charter   in   Article   V   (covering</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B Common Stock may only be</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stockholder</w:t>
            </w:r>
          </w:p>
        </w:tc>
        <w:tc>
          <w:tcPr>
            <w:tcW w:w="1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actions),</w:t>
            </w:r>
          </w:p>
        </w:tc>
        <w:tc>
          <w:tcPr>
            <w:tcW w:w="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Article</w:t>
            </w:r>
          </w:p>
        </w:tc>
        <w:tc>
          <w:tcPr>
            <w:tcW w:w="3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3"/>
              </w:rPr>
              <w:t>VI,</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amended  with  the  approval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Section 3 (covering classified board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holders of at least a majority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directors), Article VI, Section 5 (removal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then-outstanding  shares  of  Class  B</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directors),  Article  VII,  Section  3</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and (ii) the provisions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(limitation  on  director  liability)  and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set  forth  in  Article  IX  (provisions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Article VIII (amendment of by-laws) will</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related to a blank check company) may</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require approval of the holders of at least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only be amended with the approval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66⅔% of the Combined Entity’s then-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holders of at least 65% of the then</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issued  and  outstanding  shares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generally at an election of</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voting together as a</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single class.</w:t>
            </w: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203</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does not provide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provides that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the opt out of Section 203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Combined Entity opts out of Section 203</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7"/>
              </w:rPr>
              <w:t>DGCL.</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of the DGCL.</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Act Disputes</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provides the U.S.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is silent as to the</w:t>
            </w:r>
          </w:p>
        </w:tc>
        <w:tc>
          <w:tcPr>
            <w:tcW w:w="0" w:type="dxa"/>
            <w:vAlign w:val="bottom"/>
          </w:tcPr>
          <w:p>
            <w:pPr>
              <w:spacing w:after="0"/>
              <w:rPr>
                <w:sz w:val="1"/>
                <w:szCs w:val="1"/>
                <w:color w:val="auto"/>
              </w:rPr>
            </w:pPr>
          </w:p>
        </w:tc>
      </w:tr>
      <w:tr>
        <w:trPr>
          <w:trHeight w:val="220"/>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Forum</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federal district courts have exclusive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forum for causes of actions arising under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jurisdiction over causes of action arising</w:t>
            </w: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Securities Act.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the Securities Act.</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Removal</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Current Charter has a provision</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Under the Proposed Charter, a director</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providing for the removal of a director</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can only be removed for clause by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cause only with the approval of the</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approval of the holders of at least 66⅔%</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holders of a majority of the capital stock</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   the   Combined   Entity’s   then-</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then issued and outstanding.</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outstanding  shares  of  capital  stock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entitled to vote generally at an election of</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Change</w:t>
            </w: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FS Development’s current name is FS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Under   the   Proposed   Charter,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Development Corp.</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Combined Entity’s name will be Gemini</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Therapeutics, Inc.</w:t>
            </w: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authorizes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will  authorize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110,000,000 shares of Common Stock,</w:t>
            </w:r>
          </w:p>
        </w:tc>
        <w:tc>
          <w:tcPr>
            <w:tcW w:w="1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shares of Common Stock.</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including  (i)  100,000,000  shares  of</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A  Common  Stock  and  (ii)</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10,000,000 shares of Class B Common</w:t>
            </w: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authorizes</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Proposed Charter will authorize the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1,000,0000  shares  of  “blank  check”</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issuance of 10,000,000 shares of “blank</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preferred  stock,  that  the  board  of</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w w:val="99"/>
              </w:rPr>
              <w:t>check” preferred stock that the Combined</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directors could issue to discourage a</w:t>
            </w: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Entity’s board of directors could issue to</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takeover attempt.</w:t>
            </w: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increase  the  number  of  outstanding</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shares to discourage a takeover attempt.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109" w:gutter="0" w:footer="0" w:header="0"/>
        </w:sectPr>
      </w:pP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109" w:gutter="0" w:footer="0" w:header="0"/>
          <w:type w:val="continuous"/>
        </w:sectPr>
      </w:pPr>
    </w:p>
    <w:bookmarkStart w:id="138" w:name="page139"/>
    <w:bookmarkEnd w:id="1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p>
      <w:pPr>
        <w:jc w:val="right"/>
        <w:ind w:right="1339"/>
        <w:spacing w:after="0"/>
        <w:tabs>
          <w:tab w:leader="none" w:pos="1240" w:val="left"/>
        </w:tabs>
        <w:rPr>
          <w:sz w:val="20"/>
          <w:szCs w:val="20"/>
          <w:color w:val="auto"/>
        </w:rPr>
      </w:pPr>
      <w:r>
        <w:rPr>
          <w:rFonts w:ascii="Times New Roman" w:cs="Times New Roman" w:eastAsia="Times New Roman" w:hAnsi="Times New Roman"/>
          <w:sz w:val="16"/>
          <w:szCs w:val="16"/>
          <w:b w:val="1"/>
          <w:bCs w:val="1"/>
          <w:color w:val="auto"/>
        </w:rPr>
        <w:t>Current Charter</w:t>
      </w:r>
      <w:r>
        <w:rPr>
          <w:sz w:val="20"/>
          <w:szCs w:val="20"/>
          <w:color w:val="auto"/>
        </w:rPr>
        <w:tab/>
      </w:r>
      <w:r>
        <w:rPr>
          <w:rFonts w:ascii="Times New Roman" w:cs="Times New Roman" w:eastAsia="Times New Roman" w:hAnsi="Times New Roman"/>
          <w:sz w:val="16"/>
          <w:szCs w:val="16"/>
          <w:b w:val="1"/>
          <w:bCs w:val="1"/>
          <w:color w:val="auto"/>
        </w:rPr>
        <w:t>Proposed Charter</w:t>
      </w:r>
    </w:p>
    <w:p>
      <w:pPr>
        <w:sectPr>
          <w:pgSz w:w="11900" w:h="16838" w:orient="portrait"/>
          <w:cols w:equalWidth="0" w:num="1">
            <w:col w:w="9019"/>
          </w:cols>
          <w:pgMar w:left="1440" w:top="270" w:right="1440" w:bottom="1440" w:gutter="0" w:footer="0" w:header="0"/>
        </w:sectPr>
      </w:pPr>
    </w:p>
    <w:p>
      <w:pPr>
        <w:spacing w:after="0" w:line="53" w:lineRule="exact"/>
        <w:rPr>
          <w:sz w:val="20"/>
          <w:szCs w:val="20"/>
          <w:color w:val="auto"/>
        </w:rPr>
      </w:pPr>
    </w:p>
    <w:p>
      <w:pPr>
        <w:ind w:left="640" w:hanging="179"/>
        <w:spacing w:after="0" w:line="317" w:lineRule="auto"/>
        <w:rPr>
          <w:sz w:val="20"/>
          <w:szCs w:val="20"/>
          <w:color w:val="auto"/>
        </w:rPr>
      </w:pPr>
      <w:r>
        <w:rPr>
          <w:rFonts w:ascii="Times New Roman" w:cs="Times New Roman" w:eastAsia="Times New Roman" w:hAnsi="Times New Roman"/>
          <w:sz w:val="17"/>
          <w:szCs w:val="17"/>
          <w:b w:val="1"/>
          <w:bCs w:val="1"/>
          <w:color w:val="auto"/>
        </w:rPr>
        <w:t>Provisions Specific to a Blank Check Company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0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191"/>
        </w:trPr>
        <w:tc>
          <w:tcPr>
            <w:tcW w:w="30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Under  the  Current  Charter,  Article</w:t>
            </w:r>
          </w:p>
        </w:tc>
        <w:tc>
          <w:tcPr>
            <w:tcW w:w="3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p Proposed Charter does not include</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NINTH sets forth various provisions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these blank check company provisions</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related to its operations as a blank check</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because, upon Closing, FS Development</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 prior to the consummation of</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will cease to be a blank check company.</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an   initial</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combination.</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 addition, the provisions requiring that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Furthermore,</w:t>
            </w:r>
          </w:p>
        </w:tc>
        <w:tc>
          <w:tcPr>
            <w:tcW w:w="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Development</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the  proceeds  from  its  initial  public</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corporate is required to be dissolved</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offering be held in a trust account until a</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liquidated 24 months following the</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or liquidation of</w:t>
            </w:r>
          </w:p>
        </w:tc>
      </w:tr>
      <w:tr>
        <w:trPr>
          <w:trHeight w:val="216"/>
        </w:trPr>
        <w:tc>
          <w:tcPr>
            <w:tcW w:w="3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closing of its initial public offering.</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FS Development and the terms governing</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Development’s consummation of a</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proposed business combination will not</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be  applicable  following  Closing.  The</w:t>
            </w:r>
          </w:p>
        </w:tc>
      </w:tr>
      <w:tr>
        <w:trPr>
          <w:trHeight w:val="216"/>
        </w:trPr>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Combined   Company   will   have   a</w:t>
            </w:r>
          </w:p>
        </w:tc>
      </w:tr>
      <w:tr>
        <w:trPr>
          <w:trHeight w:val="234"/>
        </w:trPr>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perpetual existence.</w:t>
            </w:r>
          </w:p>
        </w:tc>
      </w:tr>
    </w:tbl>
    <w:p>
      <w:pPr>
        <w:spacing w:after="0" w:line="200" w:lineRule="exact"/>
        <w:rPr>
          <w:sz w:val="20"/>
          <w:szCs w:val="20"/>
          <w:color w:val="auto"/>
        </w:rPr>
      </w:pPr>
    </w:p>
    <w:p>
      <w:pPr>
        <w:sectPr>
          <w:pgSz w:w="11900" w:h="16838" w:orient="portrait"/>
          <w:cols w:equalWidth="0" w:num="2">
            <w:col w:w="2420" w:space="120"/>
            <w:col w:w="6479"/>
          </w:cols>
          <w:pgMar w:left="1440" w:top="270" w:right="1440" w:bottom="1440" w:gutter="0" w:footer="0" w:header="0"/>
          <w:type w:val="continuous"/>
        </w:sectPr>
      </w:pP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Charter Amendments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Charter Amendment</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Requiring the approval by affirmative vote of holders of at least 66⅔%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Opting out of Section 203 of the DGCL allows the Combined Entity to establish its own rules governing business combinations with interested parties.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ectPr>
          <w:pgSz w:w="11900" w:h="16838" w:orient="portrait"/>
          <w:cols w:equalWidth="0" w:num="1">
            <w:col w:w="9019"/>
          </w:cols>
          <w:pgMar w:left="1440" w:top="270" w:right="1440" w:bottom="1440" w:gutter="0" w:footer="0" w:header="0"/>
          <w:type w:val="continuous"/>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9" w:name="page140"/>
    <w:bookmarkEnd w:id="1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Provisions Specific to a Blank Check Company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Charter Amendment Proposal will be approved and adopted in its entirety only if the holders of at least a majority of the outstanding shares of FS Development Common Stock, voting together as a single class vote “FOR” Charter Amendment Proposal. Failure to vote by proxy or to vote online at the Special Meeting or an abstention from voting will have the same effect as a vote “AGAINST” the Charter Amendment Proposal.</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Charter Amendment Proposal, the Nasdaq Stock Issuance Proposal, and the Incentive Plan Proposal are conditioned on the approval of the Business Combination Proposal at the Special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225" w:lineRule="exact"/>
        <w:rPr>
          <w:sz w:val="20"/>
          <w:szCs w:val="20"/>
          <w:color w:val="auto"/>
        </w:rPr>
      </w:pPr>
    </w:p>
    <w:p>
      <w:pPr>
        <w:jc w:val="center"/>
        <w:ind w:left="460" w:right="519"/>
        <w:spacing w:after="0" w:line="268" w:lineRule="auto"/>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 “FOR” THE APPROVAL OF THE CHARTER AMENDMENT PROPOSAL AND THE PROPOSED CHARTER.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CHARTER AMENDMENT ADVISORY PROPOSALS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FS Development is asking its stockholders to vote upon, on a non-binding advisory basis, proposals to approve certain governance provisions contained in the Proposed Charter. This separate vote is not otherwise required by Delaware law separate and apart from the Charter Amendment Proposal but, pursuant to SEC guidance, FS Development is required to submit these provisions to its stockholders separately for approval, allowing stockholders the opportunity to present their separate views on important governance provisions. However, the stockholder votes regarding these proposals are advisory votes, and are not binding on FS Development or the Board (separate and apart from the approval of the Charter Amendment Proposal). In the judgment of the Board, these provisions are necessary to adequately address the needs of the Combined Entity. Furthermore, the Business Combination is not conditioned on the separate approval of the Advisory Charter Proposals (separate and apart from approval of the Charter Amendment Proposal).</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stockholders will be asked to approve, on a non-binding advisory basis, the following material differences between the Proposed Charter and the Current Charter, which are being presented in accordance with the requirements of the SEC as five separate sub-proposals (the “</w:t>
      </w:r>
      <w:r>
        <w:rPr>
          <w:rFonts w:ascii="Times New Roman" w:cs="Times New Roman" w:eastAsia="Times New Roman" w:hAnsi="Times New Roman"/>
          <w:sz w:val="18"/>
          <w:szCs w:val="18"/>
          <w:b w:val="1"/>
          <w:bCs w:val="1"/>
          <w:color w:val="auto"/>
        </w:rPr>
        <w:t>Advisory Charter Proposals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320" w:right="479" w:hanging="434"/>
        <w:spacing w:after="0" w:line="286" w:lineRule="auto"/>
        <w:tabs>
          <w:tab w:leader="none" w:pos="136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A </w:t>
      </w:r>
      <w:r>
        <w:rPr>
          <w:rFonts w:ascii="Times New Roman" w:cs="Times New Roman" w:eastAsia="Times New Roman" w:hAnsi="Times New Roman"/>
          <w:sz w:val="18"/>
          <w:szCs w:val="18"/>
          <w:color w:val="auto"/>
        </w:rPr>
        <w:t>— to increase the authorized shares of Class A Common Stock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w:t>
      </w:r>
    </w:p>
    <w:p>
      <w:pPr>
        <w:spacing w:after="0" w:line="7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2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B </w:t>
      </w:r>
      <w:r>
        <w:rPr>
          <w:rFonts w:ascii="Times New Roman" w:cs="Times New Roman" w:eastAsia="Times New Roman" w:hAnsi="Times New Roman"/>
          <w:sz w:val="18"/>
          <w:szCs w:val="18"/>
          <w:color w:val="auto"/>
        </w:rPr>
        <w:t>— to increase the authorized shares of “blank check”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Combined Entity’s board of directors could issue to discourage a takeover attempt to 10,000,000 shares;</w:t>
      </w:r>
    </w:p>
    <w:p>
      <w:pPr>
        <w:spacing w:after="0" w:line="103"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2"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C </w:t>
      </w:r>
      <w:r>
        <w:rPr>
          <w:rFonts w:ascii="Times New Roman" w:cs="Times New Roman" w:eastAsia="Times New Roman" w:hAnsi="Times New Roman"/>
          <w:sz w:val="18"/>
          <w:szCs w:val="18"/>
          <w:color w:val="auto"/>
        </w:rPr>
        <w:t>— to provide that certain amendments to provisions of the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Charter will require the approval of at least 662/3% of the Combined Entity’s then-outstanding shares of capital stock entitled to vote on such amendment;</w:t>
      </w:r>
    </w:p>
    <w:p>
      <w:pPr>
        <w:spacing w:after="0" w:line="103" w:lineRule="exact"/>
        <w:rPr>
          <w:rFonts w:ascii="Times New Roman" w:cs="Times New Roman" w:eastAsia="Times New Roman" w:hAnsi="Times New Roman"/>
          <w:sz w:val="18"/>
          <w:szCs w:val="18"/>
          <w:color w:val="auto"/>
        </w:rPr>
      </w:pPr>
    </w:p>
    <w:p>
      <w:pPr>
        <w:jc w:val="both"/>
        <w:ind w:left="1320" w:right="479" w:hanging="434"/>
        <w:spacing w:after="0" w:line="259" w:lineRule="auto"/>
        <w:tabs>
          <w:tab w:leader="none" w:pos="130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D — </w:t>
      </w:r>
      <w:r>
        <w:rPr>
          <w:rFonts w:ascii="Times New Roman" w:cs="Times New Roman" w:eastAsia="Times New Roman" w:hAnsi="Times New Roman"/>
          <w:sz w:val="18"/>
          <w:szCs w:val="18"/>
          <w:color w:val="auto"/>
        </w:rPr>
        <w:t>to make the Combined Entity’s corporate existence perpetual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opposed to FS Development’s corporate existence, which is required to be dissolved and liquidated 24 months following the closing of its initial public offering and to remove from the Proposed Charter the various provisions applicable only to specified purpose acquisition corporations contained in the Current Charter;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93"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Charter Proposal E </w:t>
      </w:r>
      <w:r>
        <w:rPr>
          <w:rFonts w:ascii="Times New Roman" w:cs="Times New Roman" w:eastAsia="Times New Roman" w:hAnsi="Times New Roman"/>
          <w:sz w:val="18"/>
          <w:szCs w:val="18"/>
          <w:color w:val="auto"/>
        </w:rPr>
        <w:t>— to provide that any amendment to the Amended By-laws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the approval of at least 662/3% of the Combined Entity’s then-outstanding shares of capital stock entitled to vote on such amendment, provided that if the board of directors of the Combined Entity recommends approval of such amendment, such amendment will require the approval of a majority of the Combined Entity’s then-outstanding shares of capital stock entitled to vote on such amendment.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Reasons for the Charter Amendments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Charter Amendment</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Requiring the approval by affirmative vote of holders of at least 662/3% of the voting power of the Combined Entity’s then outstanding capital stock entitled to vote generally in the election of directors, voting together as a single class, to make any amendment to the Proposed Charter is intended to protect key provisions of the Proposed Charter from arbitrary amendment and to prevent a simple majority of stockholders from taking actions that may be harmful to other stockholders or making changes to provisions that are intended to protect all stockholders.</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Opting out of Section 203 of the Delaware General Corporation Law allows the Proposed Charter to establish its own rules governing business combinations with interested parties.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principal purpose of this proposal is to authorize additional shares of our Common Stock, which will be used to issue shares pursuant to the Merger Agreement, in connection with the PIPE Investment, under the Equity Incentive Plan, and for general corporate purposes. The Board believes that it is important for us to have available for issuance a number of authorized shares of Common Stock and preferred stock sufficient to support our growth and to provide flexibility for future corporate needs (including, if needed, as part of financing for future growth acquisitions).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1" w:name="page142"/>
    <w:bookmarkEnd w:id="1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Notwithstanding the foregoing, authorized but unissued shares of common stock may enable the Combined Entity’s board of directors to render it more difficult or to discourage an attempt to obtain control of the Combined Entity and thereby protect continuity of or entrench its management, which may adversely affect the market price of the Combined Entity’s shares of Common Stock. If, in the due exercise of its fiduciary obligations, for example, the Combined Entity’s board of directors were to determine that a takeover proposal was not in the best interests of the Combined Entity, such shares could be issued by the board of directors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incumbent board of directors, by effecting an acquisition that might complicate or preclude the takeover, or otherwise. The authorization of additional shares will, however, enable the Combined Entity to have the flexibility to authorize the issuance of shares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shares for such purposes.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Board believes that these additional shares will provide the Combined Entity with needed flexibility to issue shares in the future in a timely manner and under circumstances we consider favorable without incurring the risk, delay and potential expense incident to obtaining stockholder approval for a particular issuance.</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Authorized but unissued preferred stock may enable the board of directors to render it more difficult or to discourage an attempt to obtain control of the Combined Entity and thereby protect continuity of or entrench its management, which may adversely affect the market price of the Combined Entity. If, in the due exercise of its fiduciary obligations, for example, the board of directors was to determine that a takeover proposal was not in the best interests of the Combined Entity, such preferred stock could be issued by the board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board of directors, by effecting an acquisition that might complicate or preclude the takeover, or otherwise. Allowing the Combined Entity’s board of directors to issue the authorized preferred stock on its own volition will enable the Combined Entity to have the flexibility to issue such preferred stock in the future for financing its business, for acquiring other businesses, for forming strategic partnerships and alliances and for stock dividends and stock splits. The Combined Entity currently has no such plans, proposals, or arrangements, written or otherwise, to issue any of the additional authorized stock for such purposes.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Provisions Specific to a Blank Check Company</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elimination of certain provisions related to our status as a blank check company is desirable because these provisions will serve no purpose following the Business Combination. For example, the Proposed Charter does not include the requirement to dissolve the Combined Entity and allows it to continue as a corporate entity with perpetual existence following the Closing. Perpetual existence is the usual period of existence for corporations, and the Board believes it is the most appropriate period for the Combined Entity following the Closing. In addition, certain other provisions in the Current Charter require that proceeds from FS Development’s initial public offering be held in a trust account until a Business Combination or liquidation of FS Development has occurred. These provisions cease to apply once the Business Combination has closed and are therefore not included in the Proposed Charter.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Approval of each of the Advisory Charter Proposals, each of which is a non-binding vote, requires the affirmative vote of a majority of the votes cast by FS Development stockholders present in person (which would include presence at a virtual meeting) or represented by proxy at the Special Meeting and entitled to vote thereon, voting together as a single class. Abstentions and broker non-votes have no effect on the outcome of the Advisory Charter Proposals.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ind w:left="1160" w:right="1059" w:hanging="163"/>
        <w:spacing w:after="0" w:line="317" w:lineRule="auto"/>
        <w:rPr>
          <w:sz w:val="20"/>
          <w:szCs w:val="20"/>
          <w:color w:val="auto"/>
        </w:rPr>
      </w:pPr>
      <w:r>
        <w:rPr>
          <w:rFonts w:ascii="Times New Roman" w:cs="Times New Roman" w:eastAsia="Times New Roman" w:hAnsi="Times New Roman"/>
          <w:sz w:val="17"/>
          <w:szCs w:val="17"/>
          <w:b w:val="1"/>
          <w:bCs w:val="1"/>
          <w:color w:val="auto"/>
        </w:rPr>
        <w:t>OUR BOARD UNANIMOUSLY RECOMMENDS THAT OUR STOCKHOLDERS VOTE “FOR” THE APPROVAL OF EACH OF THE ADVISORY CHARTER PROPOSALS.</w:t>
      </w:r>
    </w:p>
    <w:p>
      <w:pPr>
        <w:sectPr>
          <w:pgSz w:w="11900" w:h="16838" w:orient="portrait"/>
          <w:cols w:equalWidth="0" w:num="1">
            <w:col w:w="9019"/>
          </w:cols>
          <w:pgMar w:left="1440" w:top="270" w:right="1440" w:bottom="1440" w:gutter="0" w:footer="0" w:header="0"/>
        </w:sectPr>
      </w:pP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2" w:name="page143"/>
    <w:bookmarkEnd w:id="1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INCENTIVE PLAN PROPOSAL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following is a summary description of the Equity Incentive Plan as proposed to be adopted by FS Development in connection with the Business Combination. This summary is not a complete statement of the Equity Incentive Plan and is qualified in its entirety by reference to the complete text of the Equity Incentive Plan, a copy of which is attached hereto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color w:val="auto"/>
        </w:rPr>
        <w:t xml:space="preserve">. FS Development stockholders should refer to the Equity Incentive Plan for more complete and detailed information about the terms and conditions of the Equity Incentive Plan. </w:t>
      </w:r>
      <w:r>
        <w:rPr>
          <w:rFonts w:ascii="Times New Roman" w:cs="Times New Roman" w:eastAsia="Times New Roman" w:hAnsi="Times New Roman"/>
          <w:sz w:val="18"/>
          <w:szCs w:val="18"/>
          <w:i w:val="1"/>
          <w:iCs w:val="1"/>
          <w:color w:val="auto"/>
        </w:rPr>
        <w:t>Unless the context otherwise requires, references in this summary description to “we”, “us”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generally refer to FS Development in the present tense or the Combined Entity from and after the Business Combination.</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purpose of the Equity Incentive Plan is to provide a means whereby the Combined Entity can align the long-term financial interests of its employees, consultants, and directors with the financial interests of its stockholders. In addition, the Board believes that the ability to grant options and other equity-based awards will help the Combined Entity to attract, retain, and motivate employees, consultants, and directors and encourages them to devote their best efforts to the Combined Entity’s business and financial success.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Approval of the Equity Incentive Plan by FS Development stockholders is required, among other things, in order to: (i) comply with Nasdaq Listing Rules requiring stockholder approval of equity compensation plans and (ii) allow the grant of incentive stock options to participants in the Equity Incentive Plan.</w:t>
      </w:r>
    </w:p>
    <w:p>
      <w:pPr>
        <w:spacing w:after="0" w:line="9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If this Incentive Plan Proposal is approved by FS Development stockholders, the Equity Incentive Plan will become effective as of the date immediately preceding the date of the Closing. While the Combined Entity may assume outstanding equity awards under the Gemini Therapeutics, Inc., 2017 Stock Option and Grant Plan (the “</w:t>
      </w:r>
      <w:r>
        <w:rPr>
          <w:rFonts w:ascii="Times New Roman" w:cs="Times New Roman" w:eastAsia="Times New Roman" w:hAnsi="Times New Roman"/>
          <w:sz w:val="18"/>
          <w:szCs w:val="18"/>
          <w:b w:val="1"/>
          <w:bCs w:val="1"/>
          <w:color w:val="auto"/>
        </w:rPr>
        <w:t>2017 Plan</w:t>
      </w:r>
      <w:r>
        <w:rPr>
          <w:rFonts w:ascii="Times New Roman" w:cs="Times New Roman" w:eastAsia="Times New Roman" w:hAnsi="Times New Roman"/>
          <w:sz w:val="18"/>
          <w:szCs w:val="18"/>
          <w:color w:val="auto"/>
        </w:rPr>
        <w:t>”) and the Gemini Therapeutics, Inc. 2015 Employee, Director and Consultant Stock Option Plan (the “</w:t>
      </w:r>
      <w:r>
        <w:rPr>
          <w:rFonts w:ascii="Times New Roman" w:cs="Times New Roman" w:eastAsia="Times New Roman" w:hAnsi="Times New Roman"/>
          <w:sz w:val="18"/>
          <w:szCs w:val="18"/>
          <w:b w:val="1"/>
          <w:bCs w:val="1"/>
          <w:color w:val="auto"/>
        </w:rPr>
        <w:t>2015 Plan</w:t>
      </w:r>
      <w:r>
        <w:rPr>
          <w:rFonts w:ascii="Times New Roman" w:cs="Times New Roman" w:eastAsia="Times New Roman" w:hAnsi="Times New Roman"/>
          <w:sz w:val="18"/>
          <w:szCs w:val="18"/>
          <w:color w:val="auto"/>
        </w:rPr>
        <w:t>” and, together with the 2017 Plan, the (“</w:t>
      </w:r>
      <w:r>
        <w:rPr>
          <w:rFonts w:ascii="Times New Roman" w:cs="Times New Roman" w:eastAsia="Times New Roman" w:hAnsi="Times New Roman"/>
          <w:sz w:val="18"/>
          <w:szCs w:val="18"/>
          <w:b w:val="1"/>
          <w:bCs w:val="1"/>
          <w:color w:val="auto"/>
        </w:rPr>
        <w:t>Gemini Plans</w:t>
      </w:r>
      <w:r>
        <w:rPr>
          <w:rFonts w:ascii="Times New Roman" w:cs="Times New Roman" w:eastAsia="Times New Roman" w:hAnsi="Times New Roman"/>
          <w:sz w:val="18"/>
          <w:szCs w:val="18"/>
          <w:color w:val="auto"/>
        </w:rPr>
        <w:t>”), following the Closing (and such assumed awards will not count against the share reserve under the Equity Incentive Plan), no further grants will be made under the Gemini Plans. Approval of the Equity Incentive Plan by FS Development stockholders will allow the Combined Entity to grant stock options, restricted stock unit awards and other awards at levels determined appropriate by its board of directors or compensation committee following the closing of the Business Combination. The Equity Incentive Plan will also allow the Combined Entity to utilize a broad array of equity incentives and performance-based cash incentives in order to secure and retain the services of its employees, directors and consultants, and to provide long-term incentives that align the interests of its employees, directors and consultants with the interests of its stockholders following the closing of the Business Combination.</w:t>
      </w:r>
    </w:p>
    <w:p>
      <w:pPr>
        <w:spacing w:after="0" w:line="130" w:lineRule="exact"/>
        <w:rPr>
          <w:sz w:val="20"/>
          <w:szCs w:val="20"/>
          <w:color w:val="auto"/>
        </w:rPr>
      </w:pPr>
    </w:p>
    <w:p>
      <w:pPr>
        <w:jc w:val="both"/>
        <w:ind w:left="460" w:right="459"/>
        <w:spacing w:after="0" w:line="274" w:lineRule="auto"/>
        <w:rPr>
          <w:sz w:val="20"/>
          <w:szCs w:val="20"/>
          <w:color w:val="auto"/>
        </w:rPr>
      </w:pPr>
      <w:r>
        <w:rPr>
          <w:rFonts w:ascii="Times New Roman" w:cs="Times New Roman" w:eastAsia="Times New Roman" w:hAnsi="Times New Roman"/>
          <w:sz w:val="17"/>
          <w:szCs w:val="17"/>
          <w:color w:val="auto"/>
        </w:rPr>
        <w:t>The Combined Entity’s employee equity compensation program, as implemented under the Equity Incentive Plan, will allow the Combined Entity to remain competitive with comparable companies in its industry by giving it the resources to attract and retain talented individuals to achieve its business objectives and build stockholder value. Approval of the Equity Incentive Plan will provide the Combined Entity with the flexibility it needs to use equity compensation and other incentive awards to attract, retain and motivate talented employees, directors and consultants who are important to the Combined Entity’s long-term growth and success.</w:t>
      </w:r>
    </w:p>
    <w:p>
      <w:pPr>
        <w:spacing w:after="0" w:line="101" w:lineRule="exact"/>
        <w:rPr>
          <w:sz w:val="20"/>
          <w:szCs w:val="20"/>
          <w:color w:val="auto"/>
        </w:rPr>
      </w:pPr>
    </w:p>
    <w:p>
      <w:pPr>
        <w:ind w:left="460" w:right="3999"/>
        <w:spacing w:after="0" w:line="441" w:lineRule="auto"/>
        <w:rPr>
          <w:sz w:val="20"/>
          <w:szCs w:val="20"/>
          <w:color w:val="auto"/>
        </w:rPr>
      </w:pPr>
      <w:r>
        <w:rPr>
          <w:rFonts w:ascii="Times New Roman" w:cs="Times New Roman" w:eastAsia="Times New Roman" w:hAnsi="Times New Roman"/>
          <w:sz w:val="17"/>
          <w:szCs w:val="17"/>
          <w:b w:val="1"/>
          <w:bCs w:val="1"/>
          <w:color w:val="auto"/>
        </w:rPr>
        <w:t xml:space="preserve">Summary of Material Features of the Equity Incentive Plan </w:t>
      </w:r>
      <w:r>
        <w:rPr>
          <w:rFonts w:ascii="Times New Roman" w:cs="Times New Roman" w:eastAsia="Times New Roman" w:hAnsi="Times New Roman"/>
          <w:sz w:val="17"/>
          <w:szCs w:val="17"/>
          <w:color w:val="auto"/>
        </w:rPr>
        <w:t>The material features of the Equity Incentive Plan include:</w:t>
      </w:r>
    </w:p>
    <w:p>
      <w:pPr>
        <w:spacing w:after="0" w:line="1" w:lineRule="exact"/>
        <w:rPr>
          <w:sz w:val="20"/>
          <w:szCs w:val="20"/>
          <w:color w:val="auto"/>
        </w:rPr>
      </w:pPr>
    </w:p>
    <w:p>
      <w:pPr>
        <w:ind w:left="1420" w:hanging="534"/>
        <w:spacing w:after="0"/>
        <w:tabs>
          <w:tab w:leader="none" w:pos="14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the maximum number of shares of Common Stock that may be issued under the Equity</w:t>
      </w:r>
    </w:p>
    <w:p>
      <w:pPr>
        <w:spacing w:after="0" w:line="27"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Incentive Plan is shares. The number of shares of Common Stock reserved for issuance under the Equity Incentive Plan will automatically increase on January 1 of each year, beginning on January 1, 2022 by 4% of the total number of shares of Common Stock outstanding on December 31 of the preceding calendar year, or a lesser number of shares determined by the administrator of the Equity Incentive Plan;</w:t>
      </w:r>
    </w:p>
    <w:p>
      <w:pPr>
        <w:spacing w:after="0" w:line="79" w:lineRule="exact"/>
        <w:rPr>
          <w:sz w:val="20"/>
          <w:szCs w:val="20"/>
          <w:color w:val="auto"/>
        </w:rPr>
      </w:pPr>
    </w:p>
    <w:p>
      <w:pPr>
        <w:jc w:val="both"/>
        <w:ind w:left="1320" w:right="459" w:hanging="434"/>
        <w:spacing w:after="0" w:line="266" w:lineRule="auto"/>
        <w:tabs>
          <w:tab w:leader="none" w:pos="141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of stock options (both incentive and non-qualified options), stock appreciation rights, restricted stock, restricted stock units, unrestricted stock, cash-based awards, and dividend equivalent rights is permitted;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and stock appreciation rights will not be repriced in any manner without stockholder approval;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3" w:name="page144"/>
    <w:bookmarkEnd w:id="1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1320" w:right="479" w:hanging="434"/>
        <w:spacing w:after="0" w:line="261" w:lineRule="auto"/>
        <w:tabs>
          <w:tab w:leader="none" w:pos="137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awards awarded under the Equity Incentive Plan and all other cash compensation paid by us to any non-employee director in any calendar year may not exceed $750,000 or $1,000,000 for the year in which a non-employee director is first appointed or elected to the Combined Entity’s board of directors;</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amendments to the Equity Incentive Plan are subject to approval by our stockholders;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Equity Incentive Plan will expire on the tenth anniversary of the effective date of the Equity Incentive Plan is approved by the board of directors of FS Development.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Information Regarding Equity Incentive Program</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It is critical to the Combined Entity’s long-term success that the interests of its employees, directors and consultants are tied to its success as “owners” of the business. Approval of the Equity Incentive Plan will allow the Combined Entity to grant stock options and other equity awards at levels it determines to be appropriate in order to attract new employees and directors, retain existing employees and directors and to provide incentives for such persons to exert maximum efforts for the Combined Entity’s success and ultimately increase stockholder value. The Equity Incentive Plan allows the Combined Entity to utilize a broad array of equity incentives with flexibility in designing equity incentives, including stock option grants, stock appreciation rights, restricted stock awards, restricted stock unit awards, unrestricted stock awards and dividend equivalent rights to offer competitive equity compensation packages in order to retain and motivate the talent necessary for the Combined Entity.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FS Development’s request to approve the Equity Incentive Plan is approved by FS Development</w:t>
      </w:r>
    </w:p>
    <w:p>
      <w:pPr>
        <w:spacing w:after="0" w:line="2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stockholders, the Combined Entity will initially have shares, subject to adjustment for specified changes in the Combined Entity’s capitalization, available for grant under the Equity Incentive Plan as of the effective time of the closing of the Business Combination. In addition, as further described below under section 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Description of the Equity Incentive Plan — Shares Available for Awards</w:t>
      </w:r>
      <w:r>
        <w:rPr>
          <w:rFonts w:ascii="Times New Roman" w:cs="Times New Roman" w:eastAsia="Times New Roman" w:hAnsi="Times New Roman"/>
          <w:sz w:val="18"/>
          <w:szCs w:val="18"/>
          <w:color w:val="auto"/>
        </w:rPr>
        <w:t>,” the share reserve is subject to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each January 1 beginning on January 1, 2022 of 4% of the number of shares of the Combined Entity’s Common Stock outstanding on the immediately preceding December 31 (or a lesser number determined by the administrator of the Equity Incentive Plan). This pool size is necessary to provide sufficient reserved shares for a level of grants that will attract, retain, and motivate employees and other participants.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the Equity Incentive Plan</w:t>
      </w:r>
    </w:p>
    <w:p>
      <w:pPr>
        <w:spacing w:after="0" w:line="162" w:lineRule="exact"/>
        <w:rPr>
          <w:sz w:val="20"/>
          <w:szCs w:val="20"/>
          <w:color w:val="auto"/>
        </w:rPr>
      </w:pPr>
    </w:p>
    <w:p>
      <w:pPr>
        <w:ind w:left="460"/>
        <w:spacing w:after="0"/>
        <w:tabs>
          <w:tab w:leader="none" w:pos="5300" w:val="left"/>
        </w:tabs>
        <w:rPr>
          <w:sz w:val="20"/>
          <w:szCs w:val="20"/>
          <w:color w:val="auto"/>
        </w:rPr>
      </w:pPr>
      <w:r>
        <w:rPr>
          <w:rFonts w:ascii="Times New Roman" w:cs="Times New Roman" w:eastAsia="Times New Roman" w:hAnsi="Times New Roman"/>
          <w:sz w:val="18"/>
          <w:szCs w:val="18"/>
          <w:color w:val="auto"/>
        </w:rPr>
        <w:t>The Equity Incentive Plan was adopted by the Board on</w:t>
      </w:r>
      <w:r>
        <w:rPr>
          <w:sz w:val="20"/>
          <w:szCs w:val="20"/>
          <w:color w:val="auto"/>
        </w:rPr>
        <w:tab/>
      </w:r>
      <w:r>
        <w:rPr>
          <w:rFonts w:ascii="Times New Roman" w:cs="Times New Roman" w:eastAsia="Times New Roman" w:hAnsi="Times New Roman"/>
          <w:sz w:val="18"/>
          <w:szCs w:val="18"/>
          <w:color w:val="auto"/>
        </w:rPr>
        <w:t>2021 and will become effective, subject to</w:t>
      </w:r>
    </w:p>
    <w:p>
      <w:pPr>
        <w:spacing w:after="0" w:line="2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stockholder approval, on the date immediately preceding the Closing. The Equity Incentive Plan will replace the 2017 Plan as Gemini’s board of directors has determined not to make additional awards under that plan following the consummation of the Business Combination. The Equity Incentive Plan allows us to make equity-based incentive awards to our officers, employees, directors and consultants. The Board anticipates that providing such persons with a direct stake in the Combined Entity will assure a closer alignment of the interests of such individuals with those of the Combined Entity and its stockholders, thereby stimulating their efforts on the Combined Entity’s behalf and strengthening their desire to remain with the Combined Entity.</w:t>
      </w:r>
    </w:p>
    <w:p>
      <w:pPr>
        <w:spacing w:after="0" w:line="11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We have initially reserved shares of Common Stock (the “</w:t>
      </w:r>
      <w:r>
        <w:rPr>
          <w:rFonts w:ascii="Times New Roman" w:cs="Times New Roman" w:eastAsia="Times New Roman" w:hAnsi="Times New Roman"/>
          <w:sz w:val="18"/>
          <w:szCs w:val="18"/>
          <w:b w:val="1"/>
          <w:bCs w:val="1"/>
          <w:color w:val="auto"/>
        </w:rPr>
        <w:t>Initial Limit</w:t>
      </w:r>
      <w:r>
        <w:rPr>
          <w:rFonts w:ascii="Times New Roman" w:cs="Times New Roman" w:eastAsia="Times New Roman" w:hAnsi="Times New Roman"/>
          <w:sz w:val="18"/>
          <w:szCs w:val="18"/>
          <w:color w:val="auto"/>
        </w:rPr>
        <w:t>”) for the issuance of awards under our Equity Incentive Plan This limit is subject to adjustment in the event of a stock split, stock dividend or other change in our capitalization. Our Equity Incentive Plan provides that the number of shares reserved and available for issuance thereunder will automatically increase on January 1, 2022 and each January 1 thereafter by 4% of the number of shares of common stock outstanding on the immediately preceding December 31 or such lesser number of shares determined by the administrator of the Equity Incentive Plan.</w:t>
      </w:r>
    </w:p>
    <w:p>
      <w:pPr>
        <w:spacing w:after="0" w:line="10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shares we issue under our Equity Incentive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our Equity Incentive Plan will be added back to the shares of Common Stock available for issuance under our Equity Incentive Plan. The maximum aggregate number of shares of Common Stock that may be issued in the form of incentive stock options under the Equity Incentive Plan shall not exceed the Initial Limit. Based upon a price per share of $10.00, the maximum aggregate market value of the Common Stock that could potentially be</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9"/>
              </w:rPr>
              <w:t>issued under the Equity Incentive Plan as of the Closing is $</w:t>
            </w:r>
          </w:p>
        </w:tc>
        <w:tc>
          <w:tcPr>
            <w:tcW w:w="3460" w:type="dxa"/>
            <w:vAlign w:val="bottom"/>
          </w:tcPr>
          <w:p>
            <w:pPr>
              <w:jc w:val="right"/>
              <w:ind w:right="3010"/>
              <w:spacing w:after="0"/>
              <w:rPr>
                <w:sz w:val="20"/>
                <w:szCs w:val="20"/>
                <w:color w:val="auto"/>
              </w:rPr>
            </w:pPr>
            <w:r>
              <w:rPr>
                <w:rFonts w:ascii="Times New Roman" w:cs="Times New Roman" w:eastAsia="Times New Roman" w:hAnsi="Times New Roman"/>
                <w:sz w:val="18"/>
                <w:szCs w:val="18"/>
                <w:color w:val="auto"/>
              </w:rPr>
              <w:t>.</w:t>
            </w:r>
          </w:p>
        </w:tc>
      </w:tr>
      <w:tr>
        <w:trPr>
          <w:trHeight w:val="387"/>
        </w:trPr>
        <w:tc>
          <w:tcPr>
            <w:tcW w:w="4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132</w:t>
            </w: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grant date fair value of all awards made under our Equity Incentive Plan and all other cash compensation paid by us to any non-employee director in any calendar year shall not exceed $750,000; provided, however, that such amount shall be $1,000,000 for the calendar year in which the applicable non-employee director is initially elected or appointed to the board.</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Equity Incentive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our Equity Incentive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Persons eligible to participate in our Equity Incentive Plan will be those full or part-time officers, employees, non-employee directors, and consultants of the Combined Entity as selected from time to time by our compensation committee in its discretion. As of the date of this proxy statement/prospectus, following the Closing, approximately individuals will be eligible to participate in the Equity Incentive Plan, which includes</w:t>
      </w:r>
    </w:p>
    <w:p>
      <w:pPr>
        <w:spacing w:after="0" w:line="3"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approximately officers, employees who are not officers, non-employee directors, and consultants.</w:t>
      </w:r>
    </w:p>
    <w:p>
      <w:pPr>
        <w:spacing w:after="0" w:line="33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Equity Incentive Plan permits the granting of both options to purchase Common Stock intended to qualify as incentive stock options under Section 422 of the Code and options that do not so qualify. Options granted under the Equity Incentive Plan will be non-qualified options if they do not qualify as incentive stock options or exceed the annual limit on incentive stock options. Incentive stock options may only be granted to employees of the Combined Entity and its subsidiaries. Non-qualified options may be granted to any persons eligible to awards under the Equity Incentive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20"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compensation committee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06"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our Equity Incentive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Our compensation committee may grant cash bonuses under our Equity Incentive Plan to participants, subject to the achievement of certain performance goals.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5" w:name="page146"/>
    <w:bookmarkEnd w:id="1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Equity Incentive Plan provides that upon the effectiveness of a “sale event,” as defined in our Equity Incentive Plan, an acquirer or successor entity may assume, continue or substitute outstanding awards under our Equity Incentive Plan. To the extent that awards granted under our Equity Incentive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compensation committee’s discretion or to the extent specified in the relevant award certificate. In the event of such termination, the Combined Entity may make or provide for payment, in cash or in kind, to participants holding options and stock appreciation rights equal to the difference between the per share consideration payable in the sale event and the exercise price of the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The Combined Entity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2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Our board of directors may amend or discontinue our Equity Incentive Plan and our compensation committee may amend or cancel outstanding awards for purposes of satisfying changes in law or any other lawful purpose, but no such action may materially and adversely affect rights under an award without the holder’s consent. Certain amendments to our Equity Incentive Plan require the approval of our stockholders.</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 awards may be granted under our Equity Incentive Plan after the date that is ten years from the effective date of our Equity Incentive Plan. No awards under our Equity Incentive Plan have been made prior to the date hereof.</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Business Combination, when permitted by SEC rules, we intend to file with the SEC a registration statement on Form S-8 covering the Common Stock issuable under the Equity Incentive Plan.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following is a summary of the principal U.S. federal income tax consequences of certain transactions under the Equity Incentive Plan, which will not become effective until the date immediately preceding the date of the Closing. No awards will be issued under the Equity Incentive Plan prior to the date of Closing.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Equity Incentive Plan. The Equity Incentive Plan is not qualified under the provisions of Section 401(a) of the Code and is not subject to any of the provisions of the Employee Retirement Income Security Act of 1974, as amended. The Combined Entity’s ability to realize the benefit of any tax deductions described below depends on the Combined Entity’s generation of taxable income as well as the requirement of reasonableness, the provisions of Section 162(m) of the Code and the satisfaction of the Combined Entity’s tax reporting obligations.</w:t>
      </w:r>
    </w:p>
    <w:p>
      <w:pPr>
        <w:spacing w:after="0" w:line="12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No taxable income is generally realized by the optionee upon the grant or exercise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incentive stock option. If shares of Common Stock issued to an optionee pursuant to the exercise of an incentive stock option are sold or transferred after two years from the date of grant and after one year from the date of exercise, then generally (i) upon sale of such shares, any amount realized in excess of the option exercise price (the amount paid for the shares) will be taxed to the optionee as a long-term capital gain, and any loss sustained will be a long-term capital loss, and (ii) the Combined Entity will not be entitled to any deduction for federal income tax purposes; provided that such incentive stock option otherwise meets all of the technical requirements of an incentive stock option. The exercise of an incentive stock option will give rise to an item of tax preference that may result in alternative minimum tax liability for the optionee.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stock option is paid by tendering shares of Common Stock.</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1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Non-Qualified Options. </w:t>
      </w:r>
      <w:r>
        <w:rPr>
          <w:rFonts w:ascii="Times New Roman" w:cs="Times New Roman" w:eastAsia="Times New Roman" w:hAnsi="Times New Roman"/>
          <w:sz w:val="18"/>
          <w:szCs w:val="18"/>
          <w:color w:val="auto"/>
        </w:rPr>
        <w:t>No income is generally realized by the optionee at the time a non-qualified option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Generally (i) at exercise, ordinary income 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Combined Entity generally will be entitled to a tax deduction in connection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the Equity Incentive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deferred settlement.</w:t>
      </w:r>
    </w:p>
    <w:p>
      <w:pPr>
        <w:spacing w:after="0" w:line="11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Parachute Payments</w:t>
      </w:r>
      <w:r>
        <w:rPr>
          <w:rFonts w:ascii="Times New Roman" w:cs="Times New Roman" w:eastAsia="Times New Roman" w:hAnsi="Times New Roman"/>
          <w:sz w:val="18"/>
          <w:szCs w:val="18"/>
          <w:color w:val="auto"/>
        </w:rPr>
        <w:t>. The vesting of any portion of an award that is accelerated due to the occurrence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 (such as a sale event) may cause all or a portion of the payments with respect to such accelerated awards to be treated as “parachute payments” as defined in the Code. Any such parachute payments may be non-deductible to the Combined Entity, in whole or in part, and may subject the recipient to a non-deductible 20% federal excise tax on all or a portion of such payment (in addition to other taxes ordinarily payable).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No awards have been previously granted under the Equity Incentive Plan and no awards have been granted under the Equity Incentive Plan subject to stockholder approval of the Equity Incentive Plan. The awards that are to be granted to any participant or group of participants are indeterminable at the date of this proxy statement/prospectus because participation and the types of awards that may be granted under the Equity Incentive Plan are subject to the discretion of the administrator. Consequently, no new plan benefits table is included in this proxy statement/prospectus.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approval of the Incentive Plan Proposal requires the affirmative vote of a majority of the votes cast by the stockholders represented in person or by proxy and entitled to vote thereon at the Special Meeting, voting together as a single class, assuming that a quorum is present. Abstentions will have the same effect as a vote “AGAINST” the Incentive Plan Proposal. Broker non-votes will have no effect with respect to the approval of this proposal.</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Approval of the Incentive Plan Proposal, the Nasdaq Stock Issuance Proposal, and the Charter Amendment Proposal are conditioned on the approval of the Business Combination Proposal at the Special Meeting.</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INCENTIVE PLAN PROPOSAL.</w:t>
      </w:r>
    </w:p>
    <w:p>
      <w:pPr>
        <w:sectPr>
          <w:pgSz w:w="11900" w:h="16838" w:orient="portrait"/>
          <w:cols w:equalWidth="0" w:num="1">
            <w:col w:w="9019"/>
          </w:cols>
          <w:pgMar w:left="1440" w:top="270"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7" w:name="page148"/>
    <w:bookmarkEnd w:id="1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Adjournment Proposal, if adopted, will allow the Board to adjourn the Special Meeting to a later date or dates to permit further solicitation of proxies. The Adjournment Proposal will only be presented to FS Development’s stockholders in the event that based upon the tabulated vote at the time of the Special Meeting there are insufficient votes for, or otherwise in connection with, the approval of the Business Combination Proposal, the Nasdaq Stock Issuance Proposal, the Charter Amendment Proposal, or the Incentive Plan Proposal, or we determine that one or more of the closing conditions under the Business Combination is not satisfied or waived. In no event will the Board adjourn the Special Meeting or consummate the Business Combination beyond the date by which it may properly do so under its Current Charter and Delaware law.</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the Adjournment Proposal is not approved by FS Development’s stockholders, the Board may not be able to adjourn the Special Meeting to a later date in the event that there are insufficient votes for, or otherwise in connection with, the approval of the Business Combination Proposal or any other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holders of a majority of the shares of FS Development Common Stock represented in person or by proxy and entitled to vote thereon at the Special Meeting, voting together as a single class. Broker non-votes and abstentions will have no effect with respect to the approval of this proposal.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OUR BOARD UNANIMOUSLY RECOMMENDS THAT OUR STOCKHOLDERS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APPROVAL OF THE ADJOURNMENT PROPOSAL.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FS DEVELOPMENT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is a blank check company incorporated as a Delaware corporation on June 25, 2020. We were formed for the purpose of entering into a merger, share exchange, asset acquisition, stock purchase, recapitalization, reorganization or other similar business combination, which we refer to as a business combination, with one or more businesses or entities.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Significant Activities Since Inception</w:t>
      </w:r>
    </w:p>
    <w:p>
      <w:pPr>
        <w:spacing w:after="0" w:line="162"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color w:val="auto"/>
        </w:rPr>
        <w:t>On August 14, 2020, FS Development consummated the FS Development IPO of 12,075,000 shares of its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the Company of $120,750,000.</w:t>
      </w:r>
    </w:p>
    <w:p>
      <w:pPr>
        <w:spacing w:after="0" w:line="33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of the FS Development IPO, FS Development completed the private sale of 441,500 Private Placement Shares at a purchase price of $10.00 per Private Placement Share, to the Sponsor,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Sponsor has agreed to waive its redemption rights with respect to the Private Placement Shares in connection with (i) the consummation of FS Development’s initial business combination, or (ii) a stockholder vote to approve an amendment to the Company’s amended and restated certificate of incorporation to modify the substance or timing of FS Development’s obligation to redeem 100% of the shares of FS Development Class A Common Stock sold in the FS Development IPO if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total of $120,750,000, comprised of the proceeds from the FS Development IPO and the sale of the Private Placement Shares, were placed in a U.S.-based trust account at JP Morgan Chase Bank, N.A., maintained by Continental Stock Transfer &amp; Trust Company, acting as trustee. Except with respect to interest earned on the funds held in the trust account that may be released to FS Development to pay its taxes, the proceeds from the FS Development IPO will not be released from the trust account until the earliest to occur of: (i) the completion of the FS Development’s initial business combination, (ii) the redemption of the Public Shares if FS Development has not completed its initial business combination by August 14, 2022, subject to applicable law, and (iii) the redemption of the Public Shares properly tendered in connection with a stockholder vote to amend the Current Charter to modify the substance or timing of its obligation to redeem 100% of its Public Shares if FS Development does not complete its initial business combination by August 14, 2022 or with respect to any other provisions relating to stockholders’ rights or pre-initial business combination activity.</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October 15, 2020, FS Development announced that it had entered into the Merger Agreement and certain related agreements. See the section titled “</w:t>
      </w:r>
      <w:r>
        <w:rPr>
          <w:rFonts w:ascii="Times New Roman" w:cs="Times New Roman" w:eastAsia="Times New Roman" w:hAnsi="Times New Roman"/>
          <w:sz w:val="18"/>
          <w:szCs w:val="18"/>
          <w:i w:val="1"/>
          <w:iCs w:val="1"/>
          <w:color w:val="auto"/>
        </w:rPr>
        <w:t>The Business Combination Proposal — The Merger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Effecting a Business Combination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FS Development is not presently engaged in, and will not engage in, any operations until after a business combination. FS Development intends to effect a business combination using cash held in the Trust Account and, if needed, funds from any additional private equity financings.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Selection of a Target Business and Structuring of the Initial Business Combination</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Nasdaq Listing Rules, an initial business combination must occur with one or more target businesses that together have a fair market value of at least 80% of FS Development’s assets held in the Trust Account (excluding the deferred underwriting commissions and taxes payable on the income earned on the Trust Account) at the time of the agreement to enter into the initial business combination. The fair market value of the target or targets will be determined by the Board based upon one or more standards generally accepted by the financial community, such as discounted cash flow valuation or value of comparable businesses. Subject to this requirement, FS Development’s management has had virtually unrestricted flexibility in identifying and selecting one or more prospective target businesses, although FS Development was not permitted to effectuate an initial business combination with another blank check company or a similar company with nominal operations. In any case, FS Development determined that it would only complete an initial business combination in which it acquired 50% or more of the outstanding voting securities of the target or were otherwise not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Our Board has determined that the Business Combination meets the 80% test.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Redemption Rights for Holders of Public Shares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FS Development is providing its public stockholders with the opportunity to redeem their Public Shares for cash equal to a pro rata share of the aggregate amount then on deposit in the Trust Account, including interest earned on the funds held in the Trust Account and not previously released to it to pay FS Development’s franchise and income taxes, divided by the number of then outstanding Public Shares, upon the Closing, subject to the</w:t>
      </w:r>
    </w:p>
    <w:p>
      <w:pPr>
        <w:spacing w:after="0" w:line="3" w:lineRule="exact"/>
        <w:rPr>
          <w:sz w:val="20"/>
          <w:szCs w:val="20"/>
          <w:color w:val="auto"/>
        </w:rPr>
      </w:pPr>
    </w:p>
    <w:p>
      <w:pPr>
        <w:ind w:left="460"/>
        <w:spacing w:after="0"/>
        <w:tabs>
          <w:tab w:leader="none" w:pos="8380" w:val="left"/>
        </w:tabs>
        <w:rPr>
          <w:sz w:val="20"/>
          <w:szCs w:val="20"/>
          <w:color w:val="auto"/>
        </w:rPr>
      </w:pPr>
      <w:r>
        <w:rPr>
          <w:rFonts w:ascii="Times New Roman" w:cs="Times New Roman" w:eastAsia="Times New Roman" w:hAnsi="Times New Roman"/>
          <w:sz w:val="18"/>
          <w:szCs w:val="18"/>
          <w:color w:val="auto"/>
        </w:rPr>
        <w:t>limitations described herein. For illustrative purposes, based on the balance of the Trust Account of $</w:t>
      </w:r>
      <w:r>
        <w:rPr>
          <w:sz w:val="20"/>
          <w:szCs w:val="20"/>
          <w:color w:val="auto"/>
        </w:rPr>
        <w:tab/>
      </w:r>
      <w:r>
        <w:rPr>
          <w:rFonts w:ascii="Times New Roman" w:cs="Times New Roman" w:eastAsia="Times New Roman" w:hAnsi="Times New Roman"/>
          <w:sz w:val="16"/>
          <w:szCs w:val="16"/>
          <w:color w:val="auto"/>
        </w:rPr>
        <w:t>as</w:t>
      </w:r>
    </w:p>
    <w:p>
      <w:pPr>
        <w:spacing w:after="0" w:line="9" w:lineRule="exact"/>
        <w:rPr>
          <w:sz w:val="20"/>
          <w:szCs w:val="20"/>
          <w:color w:val="auto"/>
        </w:rPr>
      </w:pPr>
    </w:p>
    <w:p>
      <w:pPr>
        <w:ind w:left="460"/>
        <w:spacing w:after="0"/>
        <w:tabs>
          <w:tab w:leader="none" w:pos="8480" w:val="left"/>
        </w:tabs>
        <w:rPr>
          <w:sz w:val="20"/>
          <w:szCs w:val="20"/>
          <w:color w:val="auto"/>
        </w:rPr>
      </w:pPr>
      <w:r>
        <w:rPr>
          <w:rFonts w:ascii="Times New Roman" w:cs="Times New Roman" w:eastAsia="Times New Roman" w:hAnsi="Times New Roman"/>
          <w:sz w:val="18"/>
          <w:szCs w:val="18"/>
          <w:color w:val="auto"/>
        </w:rPr>
        <w:t>of September 30, 2020, the estimated per share redemption price would have been approximately $</w:t>
      </w:r>
      <w:r>
        <w:rPr>
          <w:sz w:val="20"/>
          <w:szCs w:val="20"/>
          <w:color w:val="auto"/>
        </w:rPr>
        <w:tab/>
      </w:r>
      <w:r>
        <w:rPr>
          <w:rFonts w:ascii="Times New Roman" w:cs="Times New Roman" w:eastAsia="Times New Roman" w:hAnsi="Times New Roman"/>
          <w:sz w:val="16"/>
          <w:szCs w:val="16"/>
          <w:color w:val="auto"/>
        </w:rPr>
        <w:t>.</w:t>
      </w:r>
    </w:p>
    <w:p>
      <w:pPr>
        <w:spacing w:after="0" w:line="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b w:val="1"/>
          <w:bCs w:val="1"/>
          <w:color w:val="auto"/>
        </w:rPr>
        <w:t>Public stockholders may elect to redeem their shares even if they vote for the Business Combination</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to redeem Public Shares, once made, may be withdrawn at any time until the deadline for exercising redemption requests and thereafter, with our consent, until the Closing. If we receive valid redemption requests from holders of Public Shares prior to the redemption deadline, we may, at our sole discretion, following the redemption deadline and until the date of Closing, seek and permit withdrawals by one or more of such holders of their redemption requests. We may select which holders to seek such withdrawals of redemption requests from based on any factors we may deem relevant, and the purpose of seeking such withdrawals may be to increase the funds held in the Trust Account, including where we otherwise would not satisfy the closing condition that the amount in the Trust Account and the proceeds from the PIPE Investment equal or exceed $170 million. The Sponsor and FS Development’s officers and directors have agreed to waive their redemption rights with respect to the Founders Shares and any Public Shares they may hold in connection with the Closing. The Founders Shares will be excluded from the pro rata calculation used to determine the per-share redemption price.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ubmission of Our Initial Business Combination to a Stockholder Vote</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FS Development is providing its public stockholders with redemption rights upon Closing. Public stockholders electing to exercise their redemption rights will be entitled to receive the cash amount specified above, provided that such stockholders follow the specific procedures for redemption set forth in this proxy statement/prospectus relating to the stockholder vote on the Business Combination. FS Development’s public stockholders are not required to vote against the Business Combination in order to exercise their redemption rights. If the Business Combination is not completed, then public stockholders electing to exercise their redemption rights will not be entitled to receive such payments.</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holders of the Founders Shares have agreed to vote such FS Development Common Stock owned by them in favor of the Business Combination. In addition, the Sponsor and FS Development’s officers and directors have agreed to waive their redemption rights with respect to any capital stock they may hold in connection with the Closing.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Redemption Rights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Current Charter provides that a public stockholder, together with any affiliate of such stockholder or any other person with whom such stockholder is acting in concert or as a “group” (as defined under Section 13 of the Exchange Act), will be restricted from seeking redemptions with respect to more than 20% of the shares issued in the FS Development IPO.</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0" w:name="page151"/>
    <w:bookmarkEnd w:id="1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FS Development currently has three executive officers. These individuals are not obligated to devote any specific number of hours to our matters but they intend to devote as much of their time as they deem necessary to FS Development’s affairs until FS Development has completed its initial business combination. The amount of time they devote in any time period varies based on the stage of the business combination process FS Development is in. FS Development does not intend to have any full time employees prior to the consummation of an initial business combination.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maintains its principal executive offices at 600 Montgomery Street, Suite 4500, San Francisco, CA 94111. FS Development pays the Sponsor $10,000 per month for office space, secretarial and administrative services provided to members of its management team pursuant to the terms of an administrative services agreement between FS Development and the Sponsor. Upon completion of our initial business combination or FS Development’s liquidation, FS Development will cease paying these monthly fees. FS Development considers its current office space adequate for its current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To the knowledge of FS Development’s management, there are no legal proceedings pending against FS Development.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FS DEVELOPMENT</w:t>
      </w:r>
    </w:p>
    <w:p>
      <w:pPr>
        <w:spacing w:after="0" w:line="146" w:lineRule="exact"/>
        <w:rPr>
          <w:sz w:val="20"/>
          <w:szCs w:val="20"/>
          <w:color w:val="auto"/>
        </w:rPr>
      </w:pPr>
    </w:p>
    <w:p>
      <w:pPr>
        <w:jc w:val="both"/>
        <w:ind w:left="460" w:right="459"/>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section to “we,” “our,” “us” and other similar terms refer to FS Development before the Business Combination</w:t>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FS Development are as follows as of the date of this proxy statement/prospectus: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200" w:type="dxa"/>
            <w:vAlign w:val="bottom"/>
          </w:tcPr>
          <w:p>
            <w:pPr>
              <w:ind w:left="23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7"/>
        </w:trPr>
        <w:tc>
          <w:tcPr>
            <w:tcW w:w="2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0" w:type="dxa"/>
            <w:vAlign w:val="bottom"/>
            <w:tcBorders>
              <w:bottom w:val="single" w:sz="8" w:color="auto"/>
            </w:tcBorders>
          </w:tcPr>
          <w:p>
            <w:pPr>
              <w:spacing w:after="0"/>
              <w:rPr>
                <w:sz w:val="4"/>
                <w:szCs w:val="4"/>
                <w:color w:val="auto"/>
              </w:rPr>
            </w:pPr>
          </w:p>
        </w:tc>
      </w:tr>
      <w:tr>
        <w:trPr>
          <w:trHeight w:val="243"/>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Tananbaum</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Ryan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63"/>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Vice President and 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64"/>
        </w:trPr>
        <w:tc>
          <w:tcPr>
            <w:tcW w:w="2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8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243"/>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shd w:val="clear" w:color="auto" w:fill="CCEEFF"/>
          </w:tcPr>
          <w:p>
            <w:pPr>
              <w:spacing w:after="0"/>
              <w:rPr>
                <w:sz w:val="21"/>
                <w:szCs w:val="21"/>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22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Jim Tananbaum </w:t>
      </w:r>
      <w:r>
        <w:rPr>
          <w:rFonts w:ascii="Times New Roman" w:cs="Times New Roman" w:eastAsia="Times New Roman" w:hAnsi="Times New Roman"/>
          <w:sz w:val="18"/>
          <w:szCs w:val="18"/>
          <w:color w:val="auto"/>
        </w:rPr>
        <w:t>has been our President, Chief Executive Officer and a director since June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22"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Dennis Ryan </w:t>
      </w:r>
      <w:r>
        <w:rPr>
          <w:rFonts w:ascii="Times New Roman" w:cs="Times New Roman" w:eastAsia="Times New Roman" w:hAnsi="Times New Roman"/>
          <w:sz w:val="18"/>
          <w:szCs w:val="18"/>
          <w:color w:val="auto"/>
        </w:rPr>
        <w:t>has been our Chief Financial Officer since June 2020. Since 2011, Mr. Ryan has also 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Group at Foresite Capital as Chief Financial Officer and Managing Director. Mr. Ryan currently serves as Board President of Whistlestop, a non-profit providing transportation and nutrition services to seniors. He received a B.A. from University of California, Berkeley in Economics, and an M.B.A. from the University of Santa Clara. Mr. Ryan is a licensed certified public accountant in California.</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Michael Rome </w:t>
      </w:r>
      <w:r>
        <w:rPr>
          <w:rFonts w:ascii="Times New Roman" w:cs="Times New Roman" w:eastAsia="Times New Roman" w:hAnsi="Times New Roman"/>
          <w:sz w:val="18"/>
          <w:szCs w:val="18"/>
          <w:color w:val="auto"/>
        </w:rPr>
        <w:t>has been our Vice President and Director since June 2020. Dr. Rome also serves as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at Foresite Capital, where he has held various roles since 2016. From September 2015 to July 2016, he was an Analyst at DAFNA Capital Management, a healthcare hedge fund, where he covered and formulated investment ideas for small/mid-cap biotech companies. Prior to joining DAFNA Capital Management, Dr. Rome worked in early-stage drug development as a Senior Scientist for Vault Pharma, an academic start-up out of the California NanoSystems Institute at UCLA from April 2014 to September 2015. In the past five years, Dr. Rome held a board observer role at Turning Point Therapeutics, Inc., a clinical-stage precision oncology company. Dr. Rome received a B.S. from UCLA in Molecular, Cell and Developmental Biology and a Ph.D. in Biochemistry from Caltech. Dr. Rome’s qualifications to serve on our board of directors include his substantial experience as a research scientist and depth of knowledge of the biotechnology and pharmaceuticals research and development process, as well as his experience investing across diverse therapeutic areas.</w:t>
      </w:r>
    </w:p>
    <w:p>
      <w:pPr>
        <w:spacing w:after="0" w:line="10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Vikram Bajaj </w:t>
      </w:r>
      <w:r>
        <w:rPr>
          <w:rFonts w:ascii="Times New Roman" w:cs="Times New Roman" w:eastAsia="Times New Roman" w:hAnsi="Times New Roman"/>
          <w:sz w:val="18"/>
          <w:szCs w:val="18"/>
          <w:color w:val="auto"/>
        </w:rPr>
        <w:t>has been a director on our board of directors since June 2020. Dr. Bajaj currently serves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at Foresite Capital, since September 2017 and Chief Executive Officer of Foresite Labs, a healthcare and data science incubator, since October 2019. He is also an Associate Professor of Radiology (Consulting) at the Stanford University School of Medicine, since 2014, and an Affiliate Scientist of the Lawrence Berkeley National Laboratory, since 2011. Prior to joining Foresite Capital, Dr. Bajaj was the Chief Scientific Officer of GRAIL, Inc., a life sciences company developing a multi-cancer early detection test, from September 2016 to September 2017. From April 2013 to September 2016, Dr. Bajaj was the Co-Founder and Chief Scientific Officer of Verily (formerly Google Life Sciences), a research organization devoted to the study of life sciences, and served as Chair of its Scientific Advisory Board from September 2016 to September 2017. He is currently on the advisory board of UC Berkeley, College of Chemistry.</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2" w:name="page153"/>
    <w:bookmarkEnd w:id="1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Dr. Bajaj holds a B.A./M.S. from University of Pennsylvania in Biochemistry and a Ph.D. from the Massachusetts Institute of Technology in Physical Chemistry. Dr. Bajaj’s qualifications to serve on our board of directors include his breadth of scientific and engineering expertise and his network of contacts in the life sciences sector.</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Robert Carey </w:t>
      </w:r>
      <w:r>
        <w:rPr>
          <w:rFonts w:ascii="Times New Roman" w:cs="Times New Roman" w:eastAsia="Times New Roman" w:hAnsi="Times New Roman"/>
          <w:sz w:val="18"/>
          <w:szCs w:val="18"/>
          <w:color w:val="auto"/>
        </w:rPr>
        <w:t>has been a member of our board of directors since August 2020. Mr. Carey served as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and Chief Business Officer for Horizon Therapeutics plc, a biopharmaceutical company, from March 2014 to October 2019. Prior to joining Horizon Therapeutics, he served as Managing Director and Head of the Healthcare Investment Banking Group at JMP Securities LLC, a full-service investment bank, from March 2003 to March 2014. Mr. Carey currently serves on the board of directors of Beyond Air, Inc. (formerly AIT Therapeutics, Inc.) and Sangamo Therapeutics, Inc. Mr. Carey holds a B.S. from the University of Notre Dame in Accounting. Mr. Carey’s qualifications to serve on our board of directors include his experience and knowledge in the healthcare investment banking industry, particularly with financings, global expansion and other strategic transactions by life-science companies, as well as his role in business development for a public biopharmaceutical company.</w:t>
      </w:r>
    </w:p>
    <w:p>
      <w:pPr>
        <w:spacing w:after="0" w:line="11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Dan Dubin </w:t>
      </w:r>
      <w:r>
        <w:rPr>
          <w:rFonts w:ascii="Times New Roman" w:cs="Times New Roman" w:eastAsia="Times New Roman" w:hAnsi="Times New Roman"/>
          <w:sz w:val="18"/>
          <w:szCs w:val="18"/>
          <w:color w:val="auto"/>
        </w:rPr>
        <w:t>has been a member of our board of directors since August 2020. Dr. Dubin is also the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and Head of Biopharma Investment Banking at SVB Leerink, an investment bank specializing in healthcare and life sciences, a role he has held since January 2006. He also sits on the SVB Leerink’s executive committee. Prior to joining SVB Leerink in 1999, Dr. Dubin co-founded MEDACorp, Inc., a provider of insights on the commercial potential of biotherapeutics and medical devices to healthcare companies and investors. Dr. Dubin holds a B.A. from Dartmouth College in Chemistry and an M.D. from Harvard Medical School. Dr. Dubin’s qualifications to serve on our board of directors include his extensive leadership experience as an advisor to life sciences companies and his experience and expertise in the execution of financing, partnership and M&amp;A transactions in the life sciences sector, as well as his medical training.</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Deepa Pakianathan </w:t>
      </w:r>
      <w:r>
        <w:rPr>
          <w:rFonts w:ascii="Times New Roman" w:cs="Times New Roman" w:eastAsia="Times New Roman" w:hAnsi="Times New Roman"/>
          <w:sz w:val="18"/>
          <w:szCs w:val="18"/>
          <w:color w:val="auto"/>
        </w:rPr>
        <w:t>has been a member of our board of directors since August 2020. Since 2001,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Pakianathan has served as a Managing Member at Delphi Ventures, a venture capital firm. She is also the Chief Executive Officer of Redd Pharmaceuticals, Inc., a pharmaceuticals company, since September 2019. She currently serves on the boards of directors of Calithera Biosciences, Inc., Karyopharm Therapeutics, Inc., Mereo Biopharma Group plc (formerly OncoMed Pharmaceuticals, Inc.) and Theravance Biopharma, Inc., and serves as the Executive Vice Chair and Treasurer on the Board of Trustees of the San Francisco Conservatory of Music. In the past five years, she also served on the board of directors of Alder Biopharmaceuticals, Inc. and Alexza Pharmaceuticals, Inc. Dr. Pakianathan holds a B.Sc. from the University of Bombay, India, an M.Sc. from The Cancer Research Institute at the University of Bombay, India and an M.S. and a Ph.D. from Wake Forest University. Dr. Pakianathan’s qualifications to serve on our board of directors include her depth of experience leading a biotechnology investment practice focused on drug discovery and development platform technologies and serving as a director for multiple biotechnology companies.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July 2020, the Sponsor transferred 30,000 Founders Shares to each of Mr. Carey, Dr. Dubin and Dr. Pakianathan. None of our executive officers or directors have received any cash compensation for services rendered to us. Commencing on the date that our securities are first listed on Nasdaq through the earlier of consummation of our initial business combination and our liquidation, we will pay the Sponsor $10,000 per month for office space, secretarial and administrative services provided to members of our management team. In addition, the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the Sponsor, executive officers and directors, or any of their respective affiliates, prior to completion of our initial business combination.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2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Nasdaq listing standards require that a majority of our board of directors be independent within one year of our initial public offering. The Board has determined that Mr. Carey, Dr. Dubin and Dr. Pakianathan are “independent directors” as defined in Nasdaq listing standards and applicable SEC rules and Dr. Bajaj is an “independent director” as defined in Nasdaq listing standards. Our independent directors will have regularly scheduled meetings at which only independent directors are present.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general, officers and directors of a corporation incorporated under the laws of the State of Delaware are required to present business opportunities to a corporation if:</w:t>
      </w:r>
    </w:p>
    <w:p>
      <w:pPr>
        <w:spacing w:after="0" w:line="94" w:lineRule="exact"/>
        <w:rPr>
          <w:sz w:val="20"/>
          <w:szCs w:val="20"/>
          <w:color w:val="auto"/>
        </w:rPr>
      </w:pPr>
    </w:p>
    <w:p>
      <w:pPr>
        <w:ind w:left="1300" w:hanging="41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could financially undertake the opportunity;</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is within the corporation’s line of business; and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not be fair to our company and its stockholders for the opportunity not to be brought to the attention of the corporation.</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The Current Charter provides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Below is a table summarizing the entities to which our executive officers and directors currently have fiduciary duties or contractual obligations (excluding non-profit and educational organizations with no connection to the biotechnology sector):</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Individual</w:t>
            </w:r>
          </w:p>
        </w:tc>
        <w:tc>
          <w:tcPr>
            <w:tcW w:w="80" w:type="dxa"/>
            <w:vAlign w:val="bottom"/>
          </w:tcPr>
          <w:p>
            <w:pPr>
              <w:spacing w:after="0"/>
              <w:rPr>
                <w:sz w:val="20"/>
                <w:szCs w:val="20"/>
                <w:color w:val="auto"/>
              </w:rPr>
            </w:pPr>
          </w:p>
        </w:tc>
        <w:tc>
          <w:tcPr>
            <w:tcW w:w="212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Entity</w:t>
            </w:r>
          </w:p>
        </w:tc>
        <w:tc>
          <w:tcPr>
            <w:tcW w:w="21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Entity’s Business</w:t>
            </w:r>
          </w:p>
        </w:tc>
        <w:tc>
          <w:tcPr>
            <w:tcW w:w="80" w:type="dxa"/>
            <w:vAlign w:val="bottom"/>
          </w:tcPr>
          <w:p>
            <w:pPr>
              <w:spacing w:after="0"/>
              <w:rPr>
                <w:sz w:val="20"/>
                <w:szCs w:val="20"/>
                <w:color w:val="auto"/>
              </w:rPr>
            </w:pPr>
          </w:p>
        </w:tc>
        <w:tc>
          <w:tcPr>
            <w:tcW w:w="23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Affiliation</w:t>
            </w:r>
          </w:p>
        </w:tc>
        <w:tc>
          <w:tcPr>
            <w:tcW w:w="0" w:type="dxa"/>
            <w:vAlign w:val="bottom"/>
          </w:tcPr>
          <w:p>
            <w:pPr>
              <w:spacing w:after="0"/>
              <w:rPr>
                <w:sz w:val="1"/>
                <w:szCs w:val="1"/>
                <w:color w:val="auto"/>
              </w:rPr>
            </w:pP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Jim Tananbaum</w:t>
            </w:r>
          </w:p>
        </w:tc>
        <w:tc>
          <w:tcPr>
            <w:tcW w:w="80" w:type="dxa"/>
            <w:vAlign w:val="bottom"/>
            <w:vMerge w:val="continue"/>
          </w:tcPr>
          <w:p>
            <w:pPr>
              <w:spacing w:after="0"/>
              <w:rPr>
                <w:sz w:val="16"/>
                <w:szCs w:val="16"/>
                <w:color w:val="auto"/>
              </w:rPr>
            </w:pPr>
          </w:p>
        </w:tc>
        <w:tc>
          <w:tcPr>
            <w:tcW w:w="2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Foresite Capital</w:t>
            </w:r>
          </w:p>
        </w:tc>
        <w:tc>
          <w:tcPr>
            <w:tcW w:w="80" w:type="dxa"/>
            <w:vAlign w:val="bottom"/>
            <w:vMerge w:val="continue"/>
          </w:tcPr>
          <w:p>
            <w:pPr>
              <w:spacing w:after="0"/>
              <w:rPr>
                <w:sz w:val="16"/>
                <w:szCs w:val="16"/>
                <w:color w:val="auto"/>
              </w:rPr>
            </w:pPr>
          </w:p>
        </w:tc>
        <w:tc>
          <w:tcPr>
            <w:tcW w:w="2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Venture capital/private</w:t>
            </w:r>
          </w:p>
        </w:tc>
        <w:tc>
          <w:tcPr>
            <w:tcW w:w="80" w:type="dxa"/>
            <w:vAlign w:val="bottom"/>
            <w:vMerge w:val="continue"/>
          </w:tcPr>
          <w:p>
            <w:pPr>
              <w:spacing w:after="0"/>
              <w:rPr>
                <w:sz w:val="16"/>
                <w:szCs w:val="16"/>
                <w:color w:val="auto"/>
              </w:rPr>
            </w:pPr>
          </w:p>
        </w:tc>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Management V,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DNA Nexus,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Data science cloud platform</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Eikon Therapeutics,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Element Biosciences,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Evonetix, Ltd.</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F-Metabolic,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Fabric Genomics,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Genomics PLC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Healthverity,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Healthcare data 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platform</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Homodeus,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Kinnate Biopharma,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Mindstrong,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Neuropsychiatric healthcare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Sestina,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 incubator</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Dennis Ryan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52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Kinnate Biopharma,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Pharvaris BV</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Biopharmaceutical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Capital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capital/private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Foresite Labs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data science</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incubator</w:t>
            </w: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Stanford University School</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Medical school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Associate Professor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 Medicine</w:t>
            </w:r>
          </w:p>
        </w:tc>
        <w:tc>
          <w:tcPr>
            <w:tcW w:w="2120" w:type="dxa"/>
            <w:vAlign w:val="bottom"/>
          </w:tcPr>
          <w:p>
            <w:pPr>
              <w:spacing w:after="0"/>
              <w:rPr>
                <w:sz w:val="20"/>
                <w:szCs w:val="20"/>
                <w:color w:val="auto"/>
              </w:rPr>
            </w:pP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(Consulting)</w:t>
            </w: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Lawrence Berkeley</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Scientific research</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Affiliate Scientist</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National Laboratory</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43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Sangamo Therapeutics, Inc. 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Beyond Air,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49"/>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SVB Leerink</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bank</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Vice Chairman and Head of</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Biopharma Investment Banking</w:t>
            </w:r>
          </w:p>
        </w:tc>
        <w:tc>
          <w:tcPr>
            <w:tcW w:w="0" w:type="dxa"/>
            <w:vAlign w:val="bottom"/>
          </w:tcPr>
          <w:p>
            <w:pPr>
              <w:spacing w:after="0"/>
              <w:rPr>
                <w:sz w:val="1"/>
                <w:szCs w:val="1"/>
                <w:color w:val="auto"/>
              </w:rPr>
            </w:pPr>
          </w:p>
        </w:tc>
      </w:tr>
      <w:tr>
        <w:trPr>
          <w:trHeight w:val="256"/>
        </w:trPr>
        <w:tc>
          <w:tcPr>
            <w:tcW w:w="1380" w:type="dxa"/>
            <w:vAlign w:val="bottom"/>
          </w:tcPr>
          <w:p>
            <w:pPr>
              <w:spacing w:after="0"/>
              <w:rPr>
                <w:sz w:val="22"/>
                <w:szCs w:val="22"/>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Olivo Laboratories LLC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56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8"/>
              </w:rPr>
              <w:t>Deepa Pakianathan</w:t>
            </w: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Delphi Ventures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Venture capital</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Managing Member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Redd Pharmaceuticals,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84"/>
        </w:trPr>
        <w:tc>
          <w:tcPr>
            <w:tcW w:w="1380" w:type="dxa"/>
            <w:vAlign w:val="bottom"/>
          </w:tcPr>
          <w:p>
            <w:pPr>
              <w:spacing w:after="0"/>
              <w:rPr>
                <w:sz w:val="24"/>
                <w:szCs w:val="24"/>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Calithera Biosciences, Inc.</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65"/>
        </w:trPr>
        <w:tc>
          <w:tcPr>
            <w:tcW w:w="1380" w:type="dxa"/>
            <w:vAlign w:val="bottom"/>
          </w:tcPr>
          <w:p>
            <w:pPr>
              <w:spacing w:after="0"/>
              <w:rPr>
                <w:sz w:val="23"/>
                <w:szCs w:val="23"/>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Karyopharm Therapeutics,</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Mereo Biopharma Group</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plc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Theravance Biopharma,</w:t>
            </w: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Biotechnology</w:t>
            </w:r>
          </w:p>
        </w:tc>
        <w:tc>
          <w:tcPr>
            <w:tcW w:w="2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Inc.</w:t>
            </w: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717"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type w:val="continuous"/>
        </w:sectPr>
      </w:pPr>
    </w:p>
    <w:bookmarkStart w:id="155" w:name="page156"/>
    <w:bookmarkEnd w:id="1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Potential investors should also be aware of the following other potential conflicts of interest:</w:t>
      </w:r>
    </w:p>
    <w:p>
      <w:pPr>
        <w:spacing w:after="0" w:line="158" w:lineRule="exact"/>
        <w:rPr>
          <w:sz w:val="20"/>
          <w:szCs w:val="20"/>
          <w:color w:val="auto"/>
        </w:rPr>
      </w:pPr>
    </w:p>
    <w:p>
      <w:pPr>
        <w:jc w:val="both"/>
        <w:ind w:left="1320" w:right="459" w:hanging="434"/>
        <w:spacing w:after="0" w:line="255" w:lineRule="auto"/>
        <w:tabs>
          <w:tab w:leader="none" w:pos="136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9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Initial Stockholders purchased Founders Shares prior to the date of the FS Development IPO and purchased Private Placement Shares in a transaction that closed simultaneously with the FS Development IPO. Our Initial Stockholders have entered into agreements with us, pursuant to which they have agreed to waive their redemption rights with respect to their Founders Shares, Private Placement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connection with the Business Combination. Additionally, our Initial Stockholders have agreed to waive their rights to liquidating distributions from the trust account with respect to their Founders Shares and Private Placement Shares if we fail to complete our initial business combination within the prescribed time frame or during any extension period. Furthermore, our Initial Stockholders have agreed not to transfer, assign or sell any of their Founders Shares or Private Placement Shares until the earlier to occur of: (i)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Founders Shares will be released from the lockup. Because each of our executive officers and director nominees will own common stock directly or indirectly, they may have a conflict of interest in determining whether a particular target business is an appropriate business with which to effectuate our initial business combination.</w:t>
      </w:r>
    </w:p>
    <w:p>
      <w:pPr>
        <w:spacing w:after="0" w:line="123"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not prohibited from pursuing an initial business combination with a business combination target that is affiliated with the Sponsor, officers or directors or completing the business combination through a joint venture or other form of shared ownership with the Sponsor, officers or directors. In the event we seek to complete our initial business combination with an business combination target that is affiliated with the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the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the Sponsor $10,000 per month for office space, secretarial and administrative services provided to members of our management team.</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cannot assure you that any of the above mentioned conflicts will be resolved in our favor.</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Initial Stockholders have agreed to vote their Founders Shares in favor of the Business Combination.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Current Charter provides that our officers and directors will be indemnified by us to the fullest extent authorized by Delaware law, as it now exists or may in the future be amended. In addition, our amended and restated certificate of incorporation provides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entered into agreements with our officers and directors to provide contractual indemnification in addition to the indemnification provided for in our amended and restated certificate of incorporation. The Current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the FS Development IPO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2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AND OTHER DATA OF FS DEVELOPMENT</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FS Development’s statement of operations data for the period from June 25, 2020 (inception) through September 30, 2020 and balance sheet data as at September 30, 2020 is derived from FS Development’s unaudited condensed financial statements included elsewhere in this proxy statement/prospectus. FS Development’s unaudited interim condensed financial statements were prepared on a basis consistent with its audited financial statements and include, in management’s opinion, all adjustments, consisting only of normal recurring adjustments, that FS Development considers necessary for a fair presentation of the financial information set forth in those statements included elsewhere in this proxy statement/prospectus. FS Development’s historical results are not necessarily indicative of the results that may be expected in any future period, and interim financial results are not necessarily indicative of the results that may be expected for the full year.</w:t>
      </w:r>
    </w:p>
    <w:p>
      <w:pPr>
        <w:spacing w:after="0" w:line="127" w:lineRule="exact"/>
        <w:rPr>
          <w:sz w:val="20"/>
          <w:szCs w:val="20"/>
          <w:color w:val="auto"/>
        </w:rPr>
      </w:pPr>
    </w:p>
    <w:p>
      <w:pPr>
        <w:jc w:val="both"/>
        <w:ind w:left="460" w:right="479"/>
        <w:spacing w:after="0" w:line="289" w:lineRule="auto"/>
        <w:rPr>
          <w:sz w:val="20"/>
          <w:szCs w:val="20"/>
          <w:color w:val="auto"/>
        </w:rPr>
      </w:pPr>
      <w:r>
        <w:rPr>
          <w:rFonts w:ascii="Times New Roman" w:cs="Times New Roman" w:eastAsia="Times New Roman" w:hAnsi="Times New Roman"/>
          <w:sz w:val="17"/>
          <w:szCs w:val="17"/>
          <w:color w:val="auto"/>
        </w:rPr>
        <w:t>This information is only a summary and should be read in conjunction with FS Development’s financial statements and related notes included elsewhere in this proxy statement/prospectus and the section titled “</w:t>
      </w:r>
      <w:r>
        <w:rPr>
          <w:rFonts w:ascii="Times New Roman" w:cs="Times New Roman" w:eastAsia="Times New Roman" w:hAnsi="Times New Roman"/>
          <w:sz w:val="17"/>
          <w:szCs w:val="17"/>
          <w:i w:val="1"/>
          <w:iCs w:val="1"/>
          <w:color w:val="auto"/>
        </w:rPr>
        <w:t>Management’s Discussion and Analysis of Financial Condition and Results of Operations of FS Development</w:t>
      </w:r>
      <w:r>
        <w:rPr>
          <w:rFonts w:ascii="Times New Roman" w:cs="Times New Roman" w:eastAsia="Times New Roman" w:hAnsi="Times New Roman"/>
          <w:sz w:val="17"/>
          <w:szCs w:val="17"/>
          <w:color w:val="auto"/>
        </w:rPr>
        <w:t>.”</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Period From</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June 25, 2020</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(inception)</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through</w:t>
            </w:r>
          </w:p>
        </w:tc>
      </w:tr>
      <w:tr>
        <w:trPr>
          <w:trHeight w:val="203"/>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6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6"/>
        </w:trPr>
        <w:tc>
          <w:tcPr>
            <w:tcW w:w="63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452,486</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49,914</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(502,400)</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 interest earned on Trust Account</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1,489</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(500,911)</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A common stock</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12,516,500</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of Class B common stock</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3,018,750</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416"/>
        </w:trPr>
        <w:tc>
          <w:tcPr>
            <w:tcW w:w="6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6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6"/>
        </w:trPr>
        <w:tc>
          <w:tcPr>
            <w:tcW w:w="63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57"/>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5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122,358,987</w:t>
            </w:r>
          </w:p>
        </w:tc>
      </w:tr>
      <w:tr>
        <w:trPr>
          <w:trHeight w:val="40"/>
        </w:trPr>
        <w:tc>
          <w:tcPr>
            <w:tcW w:w="634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4,778,652</w:t>
            </w:r>
          </w:p>
        </w:tc>
      </w:tr>
      <w:tr>
        <w:trPr>
          <w:trHeight w:val="24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Value of Class A Common Stock subject to possible redemption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112,580,330</w:t>
            </w:r>
          </w:p>
        </w:tc>
      </w:tr>
      <w:tr>
        <w:trPr>
          <w:trHeight w:val="40"/>
        </w:trPr>
        <w:tc>
          <w:tcPr>
            <w:tcW w:w="6340" w:type="dxa"/>
            <w:vAlign w:val="bottom"/>
          </w:tcPr>
          <w:p>
            <w:pPr>
              <w:spacing w:after="0"/>
              <w:rPr>
                <w:sz w:val="3"/>
                <w:szCs w:val="3"/>
                <w:color w:val="auto"/>
              </w:rPr>
            </w:pPr>
          </w:p>
        </w:tc>
        <w:tc>
          <w:tcPr>
            <w:tcW w:w="5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3"/>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5,000,005</w:t>
            </w:r>
          </w:p>
        </w:tc>
      </w:tr>
      <w:tr>
        <w:trPr>
          <w:trHeight w:val="392"/>
        </w:trPr>
        <w:tc>
          <w:tcPr>
            <w:tcW w:w="634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18"/>
                <w:szCs w:val="18"/>
                <w:color w:val="auto"/>
              </w:rPr>
              <w:t>146</w:t>
            </w: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RESULTS OF FINANCIAL CONDITION AND RESULTS OF OPERATIONS OF FS DEVELOPMENT</w:t>
      </w:r>
    </w:p>
    <w:p>
      <w:pPr>
        <w:spacing w:after="0" w:line="7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FS Development’s financial condition and results of operations should be read in conjunction with FS Development’s financial statements and notes to those statements included in this proxy statement/prospectus. This discussion contains forward-looking statements that involve risks and uncertainties. Please see “Cautionary Note Regarding Forward-Looking Statements” and “Risk Factors” in this proxy statement/prospectus. Unless otherwise indicated or the context otherwise requires, references in this section to “we,” “our,” “us” and other similar terms refer to FS Development before the Business Combination.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are a blank check company incorporated on June 25, 2020 as a Delaware corporation and formed for the purpose of effecting a merger, capital stock exchange, asset acquisition, stock purchase, reorganization or similar business combination with one or more businesses.</w:t>
      </w:r>
    </w:p>
    <w:p>
      <w:pPr>
        <w:spacing w:after="0" w:line="10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color w:val="auto"/>
        </w:rPr>
        <w:t>On August 14, 2020, we consummated the FS Development IPO of 12,075,000 shares of FS Development Class A Common Stock, including the issuance of 1,575,000 shares of FS Development Class A Common Stock as a result of the underwriter’s exercise in full of its over-allotment option. The FS Development Class A Common Stock was sold at a price of $10.00 per share, generating gross proceeds to FS Development of $120,750,000.</w:t>
      </w:r>
    </w:p>
    <w:p>
      <w:pPr>
        <w:spacing w:after="0" w:line="32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Substantially concurrently with the closing of the FS Development IPO, we completed the private sale of the 441,500 Private Placement Shares at a purchase price of $10.00 per Private Placement Share, to the Sponsor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generating gross proceeds to FS Development of $4,415,000. The Private Placement Shares are identical to the shares of FS Development Class A Common Stock issued in the FS Development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Sponsor has agreed to waive its redemption rights with respect to the Private Placement Shares in connection with (i) the consummation of the FS Development’s initial business combination, or (ii) a stockholder vote to approve an amendment to Current Charter to modify the substance or timing of the FS Development’s obligation to redeem 100% of the shares of FS Development Class A Common Stock issued in the FS Development IPO if the FS Development has not consummated a business combination within 24 months of the closing of the FS Development IPO or with respect to any other material provisions relating to stockholders’ rights or pre-initial business combination activity.</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FS Development IPO and the Private Placement, approximately $120.8 million ($10.00 per share) of the net proceeds of the sale of the Public Shares in the FS Development IPO and of the Private Placement Shares in the Private Placement were placed in the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we are unable to complete a business combination within 24 months from the closing of the FS Development IPO, or August 14, 2022 (the “</w:t>
      </w:r>
      <w:r>
        <w:rPr>
          <w:rFonts w:ascii="Times New Roman" w:cs="Times New Roman" w:eastAsia="Times New Roman" w:hAnsi="Times New Roman"/>
          <w:sz w:val="18"/>
          <w:szCs w:val="18"/>
          <w:b w:val="1"/>
          <w:bCs w:val="1"/>
          <w:color w:val="auto"/>
        </w:rPr>
        <w:t>Combination Period</w:t>
      </w:r>
      <w:r>
        <w:rPr>
          <w:rFonts w:ascii="Times New Roman" w:cs="Times New Roman" w:eastAsia="Times New Roman" w:hAnsi="Times New Roman"/>
          <w:sz w:val="18"/>
          <w:szCs w:val="18"/>
          <w:color w:val="auto"/>
        </w:rPr>
        <w:t>”),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our obligations under Delaware law to provide for claims of creditors and the requirements of other applicable law.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Business Combination</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 xml:space="preserve">On October 15, 2020, we entered into a Merger Agreement by and among FS Development, Merger Sub, Gemini and Shareholders Representative. A copy of the Merger Agreement is attached to this 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color w:val="auto"/>
        </w:rPr>
        <w:t>. The Merger Agreement calls for additional agreements, including, among others, Subscription Agreements, Non-Redemption Letter Agreements, and Gemini Support Agreements. Parent Support Agreements, Registration Rights Agreement, Lock-Up Agreement and Voting Agreement. See the section titled “</w:t>
      </w:r>
      <w:r>
        <w:rPr>
          <w:rFonts w:ascii="Times New Roman" w:cs="Times New Roman" w:eastAsia="Times New Roman" w:hAnsi="Times New Roman"/>
          <w:sz w:val="18"/>
          <w:szCs w:val="18"/>
          <w:i w:val="1"/>
          <w:iCs w:val="1"/>
          <w:color w:val="auto"/>
        </w:rPr>
        <w:t>The Business Combination Proposal — Ancillary Agreements Related to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October 15, 2020, FS Development entered into the Merger Agreement by and among the FS Development, Merger Sub, Gemini and the Shareholders Representative. The Merger Agreement provides, among other things, that on the terms and subject to the conditions set forth therein, Merger Sub will merge with and into Gemini, with Gemini surviving as a wholly-owned subsidiary of FS Development. Upon the Closing, it is anticipated that FS Development will change its name to “Gemini Therapeutics, Inc.”</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Under the Merger Agreement, FS Development has agreed to acquire all of the outstanding equity interests of Gemini in exchange for up to 21,500,000 shares of FS Development Class A Common Stock, subject to adjustments as described in more detail in the accompanying proxy statement/prospectus under the heading titled “</w:t>
      </w:r>
      <w:r>
        <w:rPr>
          <w:rFonts w:ascii="Times New Roman" w:cs="Times New Roman" w:eastAsia="Times New Roman" w:hAnsi="Times New Roman"/>
          <w:sz w:val="18"/>
          <w:szCs w:val="18"/>
          <w:i w:val="1"/>
          <w:iCs w:val="1"/>
          <w:color w:val="auto"/>
        </w:rPr>
        <w:t>The Business Combination Proposal — Acquisition of Gemini; Merger Consideration</w:t>
      </w:r>
      <w:r>
        <w:rPr>
          <w:rFonts w:ascii="Times New Roman" w:cs="Times New Roman" w:eastAsia="Times New Roman" w:hAnsi="Times New Roman"/>
          <w:sz w:val="18"/>
          <w:szCs w:val="18"/>
          <w:color w:val="auto"/>
        </w:rPr>
        <w:t>” to be paid at the Effective Time.</w:t>
      </w:r>
    </w:p>
    <w:p>
      <w:pPr>
        <w:spacing w:after="0" w:line="1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or prior to the Effective Time, each option exercisable for Gemini equity that is outstanding immediately prior to the Effective Time shall be assumed by FS Development and continue in full force and effect on the same terms and conditions as are currently applicable to such options, subject to adjustments to exercise price and number of shares of Common Stock issued upon exercise. In addition, the Merger Agreement contemplates that at Closing, FS Development will deliver 2,150,000 shares of FS Development Class A Common Stock to be placed into escrow for indemnification purposes, as further described in the Merger Agreement.</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For additional information and a summary of the terms of the Merger Agreement and the other agreements executed, or to be executed, in connection with the Business Combination, see the section 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Proposal — The Merger Agreement</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 and Known Trends or Future Events</w:t>
      </w:r>
    </w:p>
    <w:p>
      <w:pPr>
        <w:spacing w:after="0" w:line="148"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Our entire activity since inception through September 30, 2020 related to our formation, the preparation for the FS Development IPO, and since the closing of the FS Development IPO, the search for a prospective initial business combination and activities in connection with the proposed Business Combination with Gemini.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2020, we had net loss of approximately $499,000, which consisted of approximately $451,000 in general and administrative costs and $50,000 of franchise tax expense, which was partially offset by approximately $1,000 gain on the investments held in the Trust Account.</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the period from June 25, 2020 (inception) through September 30, 2020, we had net loss of approximately $501,000, which consisted of approximately $452,000 in general and administrative costs and $50,000 of franchise tax expense, which was partially offset by approximately $1,000 gain on the investments held in the Trust Account.</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September 30, 2020, we had $1.4 million in our operating bank account, working capital of approximately $1.1 million and cash equivalents held in the Trust Account of approximately $120.8 million. Interest income on the balance in the Trust Account may be used by us to pay franchise and income tax obligations. Through September 30, 2020, we have not withdrawn any interest earned on the Trust Account to pay franchise and income tax obligations. We intend to use substantially all of the funds held in the Trust Account to complete the initial business combination and to pay our expenses relating thereto. To the extent that our capital stock or debt is used, in whole or in part, as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liquidity needs to date have been satisfied through the $25,000 capital contribution to purchase Founders Shares by our Sponsor, the loan proceeds under the promissory note of $200,000 from our Sponsor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to cover our offering costs in connection with the FS Development IPO, and the net proceeds from the consummation of the Private Placement not held in the Trust Account. The Note was fully repaid on August 14, 2020. In addition, in order to finance transaction costs in connection with a business combination, our Sponsor or an affiliate of our Sponsor, or certain of our officers and directors may, but are not obligated to, provide working capital loans. As of September 30, 2020, there were no amounts outstanding under any working capital loans.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Based on the foregoing, the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continue to evaluate the impact of the COVID-19 pandemic and have concluded that the specific impact is not readily determinable as of the date of the balance sheet. The financial statements do not include any adjustments that might result from the outcome of this uncertainty.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do not have any long-term debt obligations, capital lease obligations, operating lease obligations, purchase obligations or long-term liabilities, other than an agreement to pay administrative services agreement fees to our Sponsor that total $10,000 per month for office space, secretarial and administrative services provided to members of our management team. As of September 30, 2020, we paid $20,000 to our Sponsor as part of the administrative services agreement and recognized $20,000 in the statement of operations for the three months ended September 30, 2020 and for the period from June 25, 2020 (inception) through September 30, 2020.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Class A Common Stock subject to mandatory redemption (if any) is classified as a liability instrument and is measured at fair value. Conditionally redeemable Class A Common Stock (including Class A Common Stock that features redemption rights that are either within the control of the holder or subject to redemption upon the occurrence of uncertain events not solely within FS Development’s control) is classified as temporary equity. At all other times, Class A Common Stock is classified as stockholders’ equity. Our Class A Common Stock features certain redemption rights that are considered to be outside of our control and subject to the occurrence of uncertain future events. Accordingly, at September 30, 2020, 11,258,033 shares of Class A Common Stock subject to possible redemption are presented as temporary equity, outside of the stockholders’ equity section of our unaudited condensed balance sheet.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stock outstanding during the periods. Our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in Item 303(a)(4)(ii) of Regulation S-K.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had a material impact on our business, revenues or operating results during the period presented.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FS Development IPO or until we are no longer an “emerging growth company,” whichever is earlier.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GEMINI</w:t>
      </w:r>
    </w:p>
    <w:p>
      <w:pPr>
        <w:spacing w:after="0" w:line="146"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 and its subsidiaries prior to the Closing, which will be the business of the Combined Entity and its subsidiaries following the Closing.</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2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12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3" w:name="page164"/>
    <w:bookmarkEnd w:id="1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are led by experts with decades of collective experience in drug research, development, manufacturing, commercialization and collaborative alliances. Our board of directors, including Dr. Stephen Squinto and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Since our inception, Gemini Therapeutics has raised a total of $78 million in funding, led by leading biotechnology investors including Atlas Venture, Lightstone Ventures, OrbiMed Advisors and Wu Capital.</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summary of our product candidate pipeline as of November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102870</wp:posOffset>
            </wp:positionV>
            <wp:extent cx="4954905" cy="13627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54905"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the table above, IND enabled means we have completed the necessary nonclinical studies, including without limitation ADME and toxicology, as well as formulation and manufacturing development necessary to seek the permission of regulatory authorities to begin human clinical testing.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GEM103</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also plan to advance GEM103 through studies in a selected population of patients suffering from wet AMD who have been treated with an anti-VEGF therapy approved by the U.S. Food and Drug Administration (FDA), to evaluate the impact on VEGF-inhibition-related macular atrophy. We plan to update our IND to include a Phase 1/2a clinical trial in this population for alignment with the FDA by the end of 2020 and expect to have topline safety and tolerability data from this trial in the second half of 2021.</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54" w:lineRule="exact"/>
        <w:rPr>
          <w:sz w:val="20"/>
          <w:szCs w:val="20"/>
          <w:color w:val="auto"/>
        </w:rPr>
      </w:pPr>
    </w:p>
    <w:p>
      <w:pPr>
        <w:jc w:val="both"/>
        <w:ind w:left="1320" w:right="459" w:hanging="434"/>
        <w:spacing w:after="0" w:line="254" w:lineRule="auto"/>
        <w:tabs>
          <w:tab w:leader="none" w:pos="132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Times New Roman" w:cs="Times New Roman" w:eastAsia="Times New Roman" w:hAnsi="Times New Roman"/>
          <w:sz w:val="18"/>
          <w:szCs w:val="18"/>
          <w:color w:val="auto"/>
        </w:rPr>
        <w:t>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differentiated approach focused on complement regulation through the administration of GEM103 will provide 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7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Redefine AMD as a disease of genetic subtypes that can be addressed by specific therapeutic strategies tailored to the genetic defect. </w:t>
      </w:r>
      <w:r>
        <w:rPr>
          <w:rFonts w:ascii="Times New Roman" w:cs="Times New Roman" w:eastAsia="Times New Roman" w:hAnsi="Times New Roman"/>
          <w:sz w:val="18"/>
          <w:szCs w:val="18"/>
          <w:color w:val="auto"/>
        </w:rPr>
        <w:t>Our philosophy is that the best way to identify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targets is to understand the genetic variants that lead to increased risk of 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47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our lead program, GEM103, through clinical development and if approved, into commercialization to address significant unmet need in dry AMD. </w:t>
      </w:r>
      <w:r>
        <w:rPr>
          <w:rFonts w:ascii="Times New Roman" w:cs="Times New Roman" w:eastAsia="Times New Roman" w:hAnsi="Times New Roman"/>
          <w:sz w:val="18"/>
          <w:szCs w:val="18"/>
          <w:color w:val="auto"/>
        </w:rPr>
        <w:t>Dry AMD, which often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ultimately leads to blindness and for which there are no currently approved treatment options, affects 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 first half of 2021. The data from this trial will inform dose selection and potential clinical endpoints for an end of Phase 2 meeting with regulatory authorities at which we plan to seek alignment on a pivotal development pathway.</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3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strategic business development opportunities to maximize the value of our discovery and development assets. </w:t>
      </w:r>
      <w:r>
        <w:rPr>
          <w:rFonts w:ascii="Times New Roman" w:cs="Times New Roman" w:eastAsia="Times New Roman" w:hAnsi="Times New Roman"/>
          <w:sz w:val="18"/>
          <w:szCs w:val="18"/>
          <w:color w:val="auto"/>
        </w:rPr>
        <w:t>We believe that our differentiated approach holds the potential to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Introduction to AMD</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AMD is a progressive and irreversible disorder of the macula. The macula is the central portion of the retina in the eye and is responsible for both high acuity vision and color perception. AMD may affect vision in one or both eyes and in later stages results in progressive and chronic degeneration of the macula, leading to irreversible vision loss. AMD is a disease associated with advanced age, typically with onset occurring after the age of 50 and slowly progressing over many years. Retinal degeneration from dry AMD is a gradual process characterized by increasing drusen deposition and other extracellular debris accumulation around retinal pigment epithelium (RPE), complement hyperactivity and subsequent loss of photoreceptor cells in the retina in proximity to the degenerated RPE. Eventually, geographic atrophy (GA) occurs when regions of the macula are replaced by scar tissue. Common symptoms of dry AMD include blurry vision, loss of night vision and loss of central vision, making activities of daily living such as reading, driving and even recognizing faces progressively more difficult. With vision being central to independent living, AMD has a large and growing societal impact as the population ages.</w:t>
      </w:r>
    </w:p>
    <w:p>
      <w:pPr>
        <w:spacing w:after="0" w:line="10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Dry AMD, like many complex diseases, results from the interactions between environmental and genetic risk factors. However, unlike many late-onset conditions, approximately 70% of attributable risk for advanced AMD is explained by genetic risk. Factors such as aging, smoking, diet and UV light exposure confer the strongest non-genetic risks. Research over the last decade has uncovered multiple genetic variants which can increase the risk of developing advanced AMD by up to 30-fold, including many of the loci within the complement system. One such genetic locus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5" w:name="page166"/>
    <w:bookmarkEnd w:id="1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that occurs with high frequency and strongly increases the risk of dry AMD is the CFH gene. We are developing GEM103, a recombinant human CFH molecule, to address the dysregulation resulting from loss of function variants in these patients and also to restore retinal homeostasis disrupted by CFH dysfunction.</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Drugs targeting VEGF, one of the key endogenous proteins driving neovascularization, have proven to be successful in the treatment of wet AMD; however, no treatment is currently available for the remaining majority of patients with dry AMD or geographic atrophy (GA). Current standard-of-care for dry AMD is limited to over-the-counter vitamin and antioxidant supplements, and, in the absence of available therapeutic interventions, physicians can only regularly monitor a patient’s progression toward GA, vision loss, and ultimately blindness. There are a number of therapies in development for dry AMD and GA. Zimura, a C5 inhibitor being developed by IVERIC bio, Inc., is in pivotal clinical trials. Apellis Pharmaceuticals, Inc., is developing pegcetacoplan in Phase 3 clinical trials to target complement at the level of C3. Lampalizumab, a complement factor D inhibitor which had been developed by F. Hoffmann-La Roche AG failed to meet its endpoint in its Phase 3 clinical trials. As presented publicly by that sponsor, lampalizumab failed to adequately inhibit factor D and did not have an effect on complement biomarkers of interest as assayed post hoc from in-trial aqueous humor samples. Other approaches for the treatment of dry AMD are under investigation and in earlier stages of development such as programs from Gyroscope Therapeutics Limited and NGM Biopharmaceuticals.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Approach</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believe that a precision medicine approach exemplified by those applied to treat cancer and cystic fibrosis, where molecular definitions of disease supplant clinical descriptions or pathological diagnoses, can also be applied to AMD. Precision medicine is intended to more accurately diagnose patients and precisely match therapies to the underlying genetic drivers of disease. Our goal is to do the same for AMD by pioneering precision medicine in ophthalmology. Many well-powered and robust studies have demonstrated the significant role that genetics plays in the development of AMD and lay the groundwork for a precision approach in this large population with few options for treatment.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CLARITY Natural History Studies</w:t>
      </w:r>
    </w:p>
    <w:p>
      <w:pPr>
        <w:spacing w:after="0" w:line="14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 xml:space="preserve">In December 2018 we initiated CLARITY, a set of natural history studies designed to observe and help better understand how specific genetic variants affect the development of dry AMD. CLARITY combined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experiments to aid in identification of therapeutic candidates for indications within AMD and linked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diseases. CLARITY was the largest study, to date, that screened dry AMD patients for high-risk genotypes to gain longitudinal clinical information.</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CLARITY studies were designed to identify and characterize disease progression in subjects with non-central GA secondary to dry AMD who are carriers of high-risk genetic variants. This analysis is designed to explore the relationship among genotype, visual function, and disease progression. For this purpose, we have developed a custom genetic test which screens dozens of genetic loci with coverage across all known high-risk genetic variants associated with dry AMD. In CLARITY, we have genetically screened more than 500 patients enabling identification of subjects for our development programs and serving to provide additional information on the impact of genetics on disease progression. Subjects who met genetic variant requirements were invited to consent to longitudinal follow up and 112 are currently being followed. An additional 121 patients with identified CFH variants either did not consent to longitudinal follow up but asked to be considered for interventional studies or failed screening. The studies are collecting data on demographics, medical history, visual function testing, anatomic ocular assessments, multi-modal ocular imaging, quality of life metrics and ocular fluid biomarkers in those who opted for prospective follow up. The study has also further served to confirm the frequency of pathological genotypic mutations of interest in the dry AMD population.</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CLARITY has confirmed previously published results that approximately 40% of patients with dry AMD have a loss of function variant in the CFH gene. The variants result in the expression of a CFH protein which is impaired in its ability to regulate complement in the eye and/or its ability to promote broader retinal health and homeostasis. Within this 40% of the population with loss of function variants in CFH, 90% of those, (or 37% of all patients with dry AMD) carry one common homozygous variant, 402H, while the remaining 3% of all patients have a collection of heterozygous rare and ultra-rare variants in CFH. The latter commonly result in a high risk of atypically early onset of dry AMD including onset in the late 30 and early 40 years of age.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Results from CLARITY screening described above confirm other third-party Genome-Wide Association Studies (GWAS) studies elucidating the role of genetics in AMD. One of the major signals in these GWAS studies is the association of specific gene variants in the general population with the development of dry AMD. Subsequent studies have shown the enrichment of these same variants in patients with dry AMD and have linked them to a substantially increased risk for developing this disease.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CFH, Complement and the Ocular Compartment</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immune system is composed of two distinct responses, innate and adaptive. The complement system, as part of the innate immune system, plays an integral role in maintaining immune-surveillance and homeostasis in the ocular microenvironment. The complement system is the first line of defense against infection and can effectively clear invading microorganisms well before activation of the adaptive immune system. Even apart from this sentinel function, localized complement activation occurs normally within the ocular compartment and is critical to maintaining retinal health, including participating in clearing of cell debris within the retinal cell layers. Complement dysfunction within the ocular compartment results in a diseased eye.</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Complement components constitute a complex network of about 30 circulating or membrane-associated proteins, organized into hierarchal proteolytic cascades. The complement system can be activated by three different pathways: the classical pathway, the lectin pathway, and the alternative pathway. The alternative pathway is constitutively activated and is highly regulated on host cells to limit damage while being amplified on non-host or severely damaged cells to provide protection from pathogens and to help clear unwanted material. CFH provides critical functionality for retinal health. CFH binds to markers on the surface of the body’s own cells to protect these cells from aberrant or excessive complement activity. CFH also facilitates microbial clearance and other critical activities such as phagocytosis and lipid clearance. In the absence of sufficient levels of functional CFH protein, cells may be permanently and terminally damaged.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CFH is a key protein that is responsible for self-surface recognition as well as maintaining a well-balanced immune response by regulating the activation of the complement system. CFH functions physiologically to restore retinal health by both downregulating inappropriate cell lysis and facilitating clearance of extracellular debris and repair of oxidative damage which results from multiple sources. Immunohistochemical analyses have shown that many complement components, including CFH, are molecular constituents of drusen, a type of cell debris which is a clinical hallmark of dry AMD. Continuous control of the alternative pathway by CFH is necessary due to the amplifying properties of the alternative pathway and its potential to provoke unneeded inflammatory response if not properly controlled. This control is best achieved by maintaining regulatory function of the complement system by augmenting CFH activity and thereby inhibiting detrimental effects of the overly active complement system.</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Clinical Development Program</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GEM103</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GEM103 is a full length, recombinantly produced human CFH protein which provides a functional level of active CFH in AMD patients with loss of function mutations in the gene encoding CFH. GEM103 imparts physiologic regulation of the complement pathway driving the complement system toward equilibrium in patients where there is incomplete regulation due to insufficient functional CFH protein. This is a unique approach to address over-activation of the innate immune system.</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Preclinical and Clinical Development</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 series of preclinical studies have been performed to demonstrate the pharmacokinetic and pharmacodynamic performance of GEM103. In preclinical pharmacokinetic studies, we observed that GEM103 was detected in all assayed ocular compartments, including aqueous humor, vitreous humor and the retina. Of note GEM103 was distributed to the retina following intravitreal injection in non-human primate radio-labeled distribution studies. Our study shows that after an intravitreal injection of radio-labelled GEM103, the protein is detected in the aqueous humor as well as into the retina, which is the site of action for the protein, for an extended period of time following a single dose.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Actions of endogenous CFH include inhibition of the complement activation cascade while permitting clearance of foreign material, cellular debris and pathogens in the eye.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cell-based assays, GEM103 was shown to inhibit hyperactive terminal complement activity demonstrating a more potent but comparable maximal ability to inhibit cellular lysis when compared to a broad inhibitor of C3. In addition, we observed the necessary phagocytic activity required to clear lipid and other forms of debris is maintained by GEM103, while it is impaired by a broad inhibitor of C3, a potentially undesirable consequence of current approaches that results in complete suppression of complement activity.</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our Phase 1 clinical trial, single ascending doses of GEM103 were administered via intravitreal injection (IVT) to dry AMD patients enriched for genetic variants of interest with greater than 50% visual acuity loss and central GA. GEM103 was well-tolerated across a range of single doses from 50 to 500 µg/eye in a 50 µL preparation delivered intravitreally, without any dose limiting toxicity or inflammation or anti-drug induced antibody, confirmed by an independent safety review committee. Serial aqueous humor sampling was performed to gather pharmacokinetic and pharmacodynamic data. Administration of GEM103 resulted in dose related increases in CFH concentrations that remained supraphysiological at all dose levels, with patients treated with dose of 100 µg or greater having supraphysiologic levels of CFH over the observation period of at least 28 days.</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an exploratory assessment of pharmacodynamic effect, measurement of complement biomarkers was performed on aqueous humor samples obtained from patients at various timepoints after receiving a single dose of GEM103. In several subjects, GEM103 administration was associated with a subsequent reduction of Ba, a complement biomarker of alternate pathway activation and inflammation as evaluated from serial aqueous humor sampling. These exploratory observations are consistent with the mechanism of action of CFH as a regulator of complement function in the eye.</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GEM103 is now being evaluated in a multiple ascending dose Phase 2a clinical trial of a genetically enriched patient population carrying mutation(s) in the gene for CFH and suffering from dry AMD. Safety, tolerability, pharmacokinetics and exploratory biomarker responses based upon serially obtained aqueous humor samples will be obtained. Topline data from this trial is expected in the first half of 2021. The data from this trial will inform dose selection for an end of Phase 2 meeting with regulatory authorities as we plan to seek alignment on a pivotal development pathway.</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Based on the results from our Phase 1 clinical trial, we plan to study both the 250 µg and 500 µg IVT doses, administered monthly in this Phase 2a multiple dose study to inform pivotal dose selection. We believe the following items observed in our Phase 1 clinical trial will be further elucidated with multiple dosing in the Phase 2a clinical trial:</w:t>
      </w:r>
    </w:p>
    <w:p>
      <w:pPr>
        <w:spacing w:after="0" w:line="108" w:lineRule="exact"/>
        <w:rPr>
          <w:sz w:val="20"/>
          <w:szCs w:val="20"/>
          <w:color w:val="auto"/>
        </w:rPr>
      </w:pPr>
    </w:p>
    <w:p>
      <w:pPr>
        <w:jc w:val="both"/>
        <w:ind w:left="1320" w:right="459" w:hanging="434"/>
        <w:spacing w:after="0" w:line="257" w:lineRule="auto"/>
        <w:tabs>
          <w:tab w:leader="none" w:pos="131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Pharmacokinetics: </w:t>
      </w:r>
      <w:r>
        <w:rPr>
          <w:rFonts w:ascii="Times New Roman" w:cs="Times New Roman" w:eastAsia="Times New Roman" w:hAnsi="Times New Roman"/>
          <w:sz w:val="18"/>
          <w:szCs w:val="18"/>
          <w:color w:val="auto"/>
        </w:rPr>
        <w:t>Aqueous humor sampling showed sustained supraphysiological levels of CFH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all doses tested at one week post single dose administration. In addition, there was a dose-dependent increase in CFH concentrations noted at one week post dose, which remained above physiologic CFH levels for at least 28 days for doses at or above 100 µg levels. Monthly IVT doses will be administered in Phase 2a, beginning with 250 µg and escalating to the 500 µg dose level thereafter. Pharmacokinetics will be monitored monthly.</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6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Pharmacodynamics: </w:t>
      </w:r>
      <w:r>
        <w:rPr>
          <w:rFonts w:ascii="Times New Roman" w:cs="Times New Roman" w:eastAsia="Times New Roman" w:hAnsi="Times New Roman"/>
          <w:sz w:val="18"/>
          <w:szCs w:val="18"/>
          <w:color w:val="auto"/>
        </w:rPr>
        <w:t>Aqueous humor samples were tested for specific biomarkers including Ba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marker of the amplification loop) and C3a (a marker of C3 activation and a potent anaphylatoxin contributing to chronic inflammation) to assess the ability of GEM103 to regulate the amplification loop of the alternative pathway (AP) of complement activity. Decreases in Ba levels were measured in several subjects after a single dose. The duration and magnitude of changes in biomarkers and observed PK will be measured in the Phase 2a clinical trial to inform our discussions with regulatory agencies on a pivotal study design.</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432"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Clinical effect: </w:t>
      </w:r>
      <w:r>
        <w:rPr>
          <w:rFonts w:ascii="Times New Roman" w:cs="Times New Roman" w:eastAsia="Times New Roman" w:hAnsi="Times New Roman"/>
          <w:sz w:val="18"/>
          <w:szCs w:val="18"/>
          <w:color w:val="auto"/>
        </w:rPr>
        <w:t>Observation of subjects in Phase 1 clinical trial was of short duration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powered for efficacy. In line with tolerability, visual acuity was maintained, there was no ocular inflammation observed and there was no occurrence of CNV. The multiple dose Phase 2a study will be open-label. Data including measures of visual acuity and GA area will be measured at baseline and for the duration of the study in both the study and fellow eyes. Evaluation of clinical efficacy (slowing of the rate of GA progression) is anticipated to require subsequent randomized, controlled clinical trials. Safety and tolerability, including the avoidance of CNV induction, will be assessed in the ongoing Phase 2a clinical trial.</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are also advancing GEM103 as add-on therapy in patients suffering from wet AMD who have been treated with anti-VEGF therapy, as development of macular atrophy in that setting has been associated with a relative insufficiency in CFH. We plan to update the GEM103 IND, submitting our Phase 1/2a clinical trial to the FDA in 4Q2020, and anticipate topline data from this trial in the second half of 2021.</w:t>
      </w:r>
    </w:p>
    <w:p>
      <w:pPr>
        <w:spacing w:after="0" w:line="9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AAV-CFH program is complementary to our GEM103 program, as AAV-CFH is a construct that will express GEM103 continuously at a therapeutic level. Our AAV-CFH program is directly informed by GEM103 in terms of patients, genetics, clinical biomarkers and trial design. With our AAV-CFH program we believe we will be able to intervene in specific genetically identified patient populations (intermediate AMD — before geographic atrophy is detectable) with a single dose of AAV-CFH.</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Additional Programs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Factor H Potentiating Antibody</w:t>
      </w:r>
    </w:p>
    <w:p>
      <w:pPr>
        <w:spacing w:after="0" w:line="13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to AMD, there are other systemic conditions that have complement dysregulation as part of the underlying disease pathologies. Many of these conditions affect the renal system and include rare diseases such as atypical Hemolytic Syndrome, C3 Glomerulopathy as well as more common disorders like IgA Nephropathy. Many of these diseases have genetic risk factors that include CFH dysregulation and other complement regulatory proteins like the CFH-related proteins. We have developed a factor H potentiating antibody that enhances the activity of endogenous CFH, effectively increasing the effective functional concentration of CFH. We have pre-clinical data supporting improvement of clinical benefit in animal models mimicking these conditions of complement dysregulation. We are completing pharmacology studies and expect to have a clinical candidate in the second half of 2021.</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3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product candidates. Although we intend to rely on third-party contract manufacturers to produce our product candidates, we have recruited personnel with experience to manage the third-party contract manufacturers producing our product candidates and other product candidates or products that we may develop in the future.</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lead product candidate, GEM103, is a recombinant version of the endogenous CFH protein that is found most widely in our ‘intent to treat’ population. Specifically, it contains the amino acids V62, Y402 and E936 which are those most frequently found in the Caucasian population.</w:t>
      </w:r>
    </w:p>
    <w:p>
      <w:pPr>
        <w:spacing w:after="0" w:line="8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process for manufacturing GEM103 consists of a cell line, and associated cell culture and purification processes to achieve stringent purity criteria in line with a product candidate dosed intravitreally.</w:t>
      </w:r>
    </w:p>
    <w:p>
      <w:pPr>
        <w:spacing w:after="0" w:line="6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currently engage third-party manufacturers to provide clinical supplies of GEM103 and a different third-party manufacturer to provide fill-finish services for GEM103. We currently have sufficient supplies of GEM103 on hand for our current clinical trial needs.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hold worldwide commercialization rights to each of our product candidates.</w:t>
      </w:r>
    </w:p>
    <w:p>
      <w:pPr>
        <w:spacing w:after="0" w:line="13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plan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may seek to enter into collaborations that we believe may contribute to our ability to advance development and ultimately commercialize our product candidates.</w:t>
      </w:r>
    </w:p>
    <w:p>
      <w:pPr>
        <w:spacing w:after="0" w:line="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1, 2017, we entered into a Research Collaboration and License Agreement with Sanquin Blood Supply Foundation (“</w:t>
      </w:r>
      <w:r>
        <w:rPr>
          <w:rFonts w:ascii="Times New Roman" w:cs="Times New Roman" w:eastAsia="Times New Roman" w:hAnsi="Times New Roman"/>
          <w:sz w:val="18"/>
          <w:szCs w:val="18"/>
          <w:b w:val="1"/>
          <w:bCs w:val="1"/>
          <w:color w:val="auto"/>
        </w:rPr>
        <w:t>Sanquin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2017 License Agreement</w:t>
      </w:r>
      <w:r>
        <w:rPr>
          <w:rFonts w:ascii="Times New Roman" w:cs="Times New Roman" w:eastAsia="Times New Roman" w:hAnsi="Times New Roman"/>
          <w:sz w:val="18"/>
          <w:szCs w:val="18"/>
          <w:color w:val="auto"/>
        </w:rPr>
        <w:t>”) to develop antibodies that bind and enhance the activity of CFH. From the effective date of the 2017 License Agreement until the end of April 2019, the parties engaged in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9" w:name="page170"/>
    <w:bookmarkEnd w:id="1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 research program based on an agreed upon research plan. The research program was overseen by a joint steering committee, comprised of two members from each of Gemini and Sanquin, with each party having one vote with respect to decisions within the purview of the joint steering committee. If the joint steering committee was unable to resolve any issues unanimously, then such disputes were subject to a dispute resolution procedures. We funded Sanquin’s research during the term of the research program.</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Following the conclusion of the research program, we have sole responsibility for the development of licensed products for the treatment and prevention of diseases in humans. Sanquin granted us an exclusive royalty-bearing license, with the right to sublicense through multiple tiers, to Sanquin’s patent rights, including patent rights generated during the research program and a non-exclusive license, with the right to sublicense through multiple tiers, to Sanquin’s background know-how and materials, in each case to research, develop, commercialize, make, use, sell, offer for sale and import or otherwise exploit licensed products. We are required to use commercially reasonable efforts to conduct development and commercialization of licensed products in accordance with an agreed upon development plan.</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consideration for the license, we paid Sanquin a one-time, non-refundable upfront payment of $100,000. We are required to make milestone payments to Sanquin upon achievement of certain development and commercial milestones (i.e., once net sales targets exceed certain thresholds) totalling up to an aggregate amount of $29.0 million. We are also required to pay Saquin a low double digit percentage of any non-royalty sublicensing income received and are required to make minimum royalty payments to Sanquin on each anniversary date of the effective date of the 2017 License Agreement. We are required to make royalty payments of between 1.25% and 2.50% of net product sales if commercialization is achieved, subject to offset by minimum royalty payments due and up to 50% reduction for royalty stacking.</w:t>
      </w:r>
    </w:p>
    <w:p>
      <w:pPr>
        <w:spacing w:after="0" w:line="11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2017 License Agreement shall terminate on a country-by-country and licensed product-by-licensed product basis upon the latest of (i) expiration of the last valid claim of a Saquin patent that covers such licensed product,</w:t>
      </w:r>
    </w:p>
    <w:p>
      <w:pPr>
        <w:jc w:val="both"/>
        <w:ind w:left="460" w:right="459" w:hanging="6"/>
        <w:spacing w:after="0" w:line="251" w:lineRule="auto"/>
        <w:tabs>
          <w:tab w:leader="none" w:pos="742"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years after the first commercial sale of such licensed product, or (iii) the date on which there is no longer any marketing exclusivity for such licensed product. The 2017 License Agreement may be terminated by either party (i) upon 90 days written notice in the event of the other party’s uncured breach of the 2017 License Agreement, or (ii) the other party files for bankruptcy protection, makes an assignment for the benefit of its creditors, or files a petition for bankruptcy or insolvency that is not dismissed in 90 days. We have the right to terminate the 2017 License Agreement at any time upon 90 days prior written notice, and Sanquin has the right to terminate the 2017 License Agreement if we fail to meet our diligence obligations under the 2017 License Agreement.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candidates, novel biological discoveries, new targets and applications, and other inventions that are important to our business. For our product candidates, we generally intend to pursue patent protection covering compositions of matter, methods of making and methods of use, including combination therapies. As we continue the development of our product candidates, we intend to identify additional means of obtaining patent protection that would potentially enhance commercial success, including through claims covering additional methods of use and biomarkers and complementary diagnostic and/or companion diagnostic related claims.</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November 30, 2020, we own or exclusively license approximately 43 patents and pending patent applications in the U.S. and foreign jurisdictions, including two granted U.S. and foreign patents, and 39 pending U.S. and foreign patent applications and two pending U.S. provisional patent applications.</w:t>
      </w:r>
    </w:p>
    <w:p>
      <w:pPr>
        <w:spacing w:after="0" w:line="9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patent portfolio relating to GEM103 includes three patent families owned by us, one pending as an application under the Patent Cooperation Treaty, or PCT, and two pending as U.S. provisional patent applications. The PCT application is directed to methods of treating patients who carry certain CFH genetic mutations with GEM103. The statutory expiration for any U.S. and foreign patents issuing from this family is 2040. One provisional patent application is directed to methods of treatment in certain other patient populations with GEM103. Also disclosed in this application are dosage regimens for using GEM103. The statutory expiration for any U.S. and foreign patents issuing from this family is 2041. The other provisional patent application is directed to the GEM103 composition and methods of manufacturing it. The statutory expiration for any U.S. and foreign patents issuing from this family is 2041.</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0" w:name="page171"/>
    <w:bookmarkEnd w:id="1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patent portfolio relating to our factor H potentiating antibody program includes one patent family owned by us and two patent families that we exclusively license from Sanquin Blood Supply Foundation. The two in-licensed families are directed to antibodies that bind the same region of the factor H protein as our current product candidate. The first in-licensed family includes one granted U.S. patent, one granted European patent, and pending patent applications in Australia, Brazil, Canada, China, Israel, Japan, the Republic of Korea and Mexico. The European patent covers our current product candidate and is expected to expire in 2035. The statutory expiration for any other patents issuing from this family is also 2035. The second in-licensed family is pending in Australia, Brazil, Canada, China, Europe, Israel, Japan, the Republic of Korea, Mexico and the United States. The statutory expiration for any patents issuing from this family is 2039. The patent family owned by us is directed to the specific product candidate currently under development. This family is pending as an application under the Patent Cooperation Treaty, or PCT, and applications in Argentina and Taiwan. The statutory expiration for any patents issuing from this family is 2040.</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w:t>
      </w:r>
      <w:r>
        <w:rPr>
          <w:rFonts w:ascii="Times New Roman" w:cs="Times New Roman" w:eastAsia="Times New Roman" w:hAnsi="Times New Roman"/>
          <w:sz w:val="18"/>
          <w:szCs w:val="18"/>
          <w:i w:val="1"/>
          <w:iCs w:val="1"/>
          <w:color w:val="auto"/>
        </w:rPr>
        <w:t>Risk factors — Risks related to our intellectual property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including the genetic medicines field, are characterized by rapidly changing technologies, competition and a strong emphasis on intellectual property. We are aware of several companies focused on developing precision medicines in various indications as well as several companies developing gene therapies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consider our most direct competitors with respect to GEM103 for the treatment of AMD to be Apellis Pharmaceuticals, Inc. which has a fully enrolled phase 3 clinical trial for the study of geographic atrophy for its C3 inhibitor, and IVERIC bio, which is conducting a pivotal study in geographic atrophy for its C5 inhibitor. Other approaches are under investigation and in earlier stages of development.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 The process of obtaining regulatory approvals of drugs and ensuring subsequent compliance with appropriate federal, state, local and foreign statutes and regulations requires the expenditure of substantial time and financial resources.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1" w:name="page172"/>
    <w:bookmarkEnd w:id="1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the United States, where we are initially focusing our product development, the FDA regulates biologics under the Federal Food, Drug and Cosmetic Act, or FDCA, and the Public Health Service Act, or PHSA, and their implementing regulations. Biologics are also subject to other federal, state and local statutes and regulations. Our product candidates are early-stage and have not been approved by the FDA for marketing in the United States.</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our product candidates are approved for therapeutic indications and may be marketed in the United States generally involves the following:</w:t>
      </w:r>
    </w:p>
    <w:p>
      <w:pPr>
        <w:spacing w:after="0" w:line="94" w:lineRule="exact"/>
        <w:rPr>
          <w:sz w:val="20"/>
          <w:szCs w:val="20"/>
          <w:color w:val="auto"/>
        </w:rPr>
      </w:pPr>
    </w:p>
    <w:p>
      <w:pPr>
        <w:ind w:left="1320" w:right="459" w:hanging="434"/>
        <w:spacing w:after="0" w:line="282" w:lineRule="auto"/>
        <w:tabs>
          <w:tab w:leader="none" w:pos="147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32"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0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Biologics License Application, or BLA, after completion of all pivotal trials;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5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spacing w:after="0" w:line="9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that generated the data in support of the BLA;</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including consideration of the views of any FDA advisory committee, prior to any commercial marketing or sale of the biologic in the United States.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trials for biologics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The results of the preclinical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submission to an existing IND must also be made for each successive clinical trial conducted during product development of a product candidate, and the FDA must grant permission, either explicitly or implicitly by not objecting, before each clinical trial can begin.</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2" w:name="page173"/>
    <w:bookmarkEnd w:id="1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t>
      </w:r>
      <w:r>
        <w:rPr>
          <w:rFonts w:ascii="Times New Roman" w:cs="Times New Roman" w:eastAsia="Times New Roman" w:hAnsi="Times New Roman"/>
          <w:sz w:val="18"/>
          <w:szCs w:val="18"/>
          <w:i w:val="1"/>
          <w:iCs w:val="1"/>
          <w:color w:val="auto"/>
        </w:rPr>
        <w:t xml:space="preserve">www.clinicaltrials.gov </w:t>
      </w:r>
      <w:r>
        <w:rPr>
          <w:rFonts w:ascii="Times New Roman" w:cs="Times New Roman" w:eastAsia="Times New Roman" w:hAnsi="Times New Roman"/>
          <w:sz w:val="18"/>
          <w:szCs w:val="18"/>
          <w:color w:val="auto"/>
        </w:rPr>
        <w:t>website.</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While we plan to conduct any international clinical trials under foreign equivalents to INDs in the future, a sponsor who wishes to conduct a clinical trial outside of the United States may, but need not, obtain FDA authorization to conduct the clinical trial under an IND.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BLAs for marketing approval are typically conducted in three sequential phases, which may overlap.</w:t>
      </w:r>
    </w:p>
    <w:p>
      <w:pPr>
        <w:spacing w:after="0" w:line="79" w:lineRule="exact"/>
        <w:rPr>
          <w:sz w:val="20"/>
          <w:szCs w:val="20"/>
          <w:color w:val="auto"/>
        </w:rPr>
      </w:pPr>
    </w:p>
    <w:p>
      <w:pPr>
        <w:jc w:val="both"/>
        <w:ind w:left="1320" w:right="459" w:hanging="434"/>
        <w:spacing w:after="0" w:line="258" w:lineRule="auto"/>
        <w:tabs>
          <w:tab w:leader="none" w:pos="145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Phase 1 clinical trials involve initial introduction of the investigational product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6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0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participants exposed to the biologic and any clinically important increase in the rate of a serious suspected adverse reaction over</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3" w:name="page174"/>
    <w:bookmarkEnd w:id="1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BLA Submission and Review by the FDA</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clinically active component,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12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FDA may refer an application for a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9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biologics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5" w:name="page176"/>
    <w:bookmarkEnd w:id="1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Accelerated Approval is usually contingent on a sponsor’s agreement to conduct additional post-approval studies to verify and describe the product’s clinical benefit. The FDA may withdraw approval of a drug or biologic approved under Accelerated Approval if, for example, the sponsor fails to conduct the confirmatory trials in a timely manner or the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 for biologics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6" w:name="page177"/>
    <w:bookmarkEnd w:id="1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08" w:lineRule="exact"/>
        <w:rPr>
          <w:sz w:val="20"/>
          <w:szCs w:val="20"/>
          <w:color w:val="auto"/>
        </w:rPr>
      </w:pPr>
    </w:p>
    <w:p>
      <w:pPr>
        <w:ind w:left="1320" w:right="479" w:hanging="434"/>
        <w:spacing w:after="0" w:line="282" w:lineRule="auto"/>
        <w:tabs>
          <w:tab w:leader="none" w:pos="137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the product;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70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on clinical trials;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Orphan Designation and Exclusivity</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If a product that has received ODD and subsequently receives the first FDA approval for a particular clinically active component for the disease for which it has such designation, the product is entitled to orphan product exclusivity, which means that the FDA may not approve any other applications, including a full BLA, to market the same biologic</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7" w:name="page178"/>
    <w:bookmarkEnd w:id="1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16"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8" w:name="page179"/>
    <w:bookmarkEnd w:id="1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November 30, 2020, we had 29 full-time or part-time employees, including three employees with M.D. degrees and eight employees with Ph.D. degrees. None of our employees are represented by labor unions or covered by collective bargaining agreements. We consider the relationship with our employees to be good.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Our facilities consist of office space of approximately 11,894 square feet in Cambridge, Massachusetts under a lease that expires in lease that expires in May 2023, subject to the right to extend the term for one additional three (3) year term. We believe that our current facilities are sufficient for our current needs.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GEMINI</w:t>
      </w:r>
    </w:p>
    <w:p>
      <w:pPr>
        <w:spacing w:after="0" w:line="146"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directors and executive officers are as follows as of the date of this proxy statement/prospectus: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Age</w:t>
            </w:r>
          </w:p>
        </w:tc>
        <w:tc>
          <w:tcPr>
            <w:tcW w:w="438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6"/>
        </w:trPr>
        <w:tc>
          <w:tcPr>
            <w:tcW w:w="3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380" w:type="dxa"/>
            <w:vAlign w:val="bottom"/>
            <w:tcBorders>
              <w:bottom w:val="single" w:sz="8" w:color="auto"/>
            </w:tcBorders>
          </w:tcPr>
          <w:p>
            <w:pPr>
              <w:spacing w:after="0"/>
              <w:rPr>
                <w:sz w:val="4"/>
                <w:szCs w:val="4"/>
                <w:color w:val="auto"/>
              </w:rPr>
            </w:pPr>
          </w:p>
        </w:tc>
      </w:tr>
      <w:tr>
        <w:trPr>
          <w:trHeight w:val="243"/>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 Ph.D.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Uknis, M.D.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Hannah Han-Chun Chang, Ph.D., M.D.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George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Gordon, Ph.D., CFA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0"/>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4"/>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 M.D., MRCOphth</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Rhodes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3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380" w:type="dxa"/>
            <w:vAlign w:val="bottom"/>
          </w:tcPr>
          <w:p>
            <w:pPr>
              <w:spacing w:after="0"/>
              <w:rPr>
                <w:sz w:val="3"/>
                <w:szCs w:val="3"/>
                <w:color w:val="auto"/>
              </w:rPr>
            </w:pPr>
          </w:p>
        </w:tc>
      </w:tr>
      <w:tr>
        <w:trPr>
          <w:trHeight w:val="26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R. Reilly, J.D., M.D.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Squinto, Ph.D.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r>
    </w:tbl>
    <w:p>
      <w:pPr>
        <w:spacing w:after="0" w:line="20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Jason Meyenburg </w:t>
      </w:r>
      <w:r>
        <w:rPr>
          <w:rFonts w:ascii="Times New Roman" w:cs="Times New Roman" w:eastAsia="Times New Roman" w:hAnsi="Times New Roman"/>
          <w:sz w:val="18"/>
          <w:szCs w:val="18"/>
          <w:color w:val="auto"/>
        </w:rPr>
        <w:t>has served as our Chief Executive Officer since September 2019. Previously,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2018 to September 2019, Mr. Meyenburg served as Chief Commercial Officer of Orchard Therapeutics plc, a publicly-traded biotechnology company. Before that, Mr. Meyenburg served as the Chief Commercial Officer of Sucampo Pharmaceuticals, Inc. from April 2017 to March 2018. Prior to that, Mr. Meyenburg served as the Chief Commercial Officer of Vtesse, Inc., which became a wholly-owned subsidiary of Sucampo in April 2017, from December 2016 to April 2017. Additionally, from January 2003 to February 2016, Mr. Meyenburg held roles of increasing responsibility at Alexion Pharmaceuticals, Inc., a publicly-traded biotechnology company, including most recently as the Senior Vice President of Commercial Operations for the Americas. Mr. Meyenburg holds an M.B.A. from Duke University and a B.S. in Biochemistry from University of Maryland. We believe that Mr. Meyenburg is qualified to serve as a member of our board of directors because of his commercial experience in the life sciences industry.</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Gregg D. Beloff </w:t>
      </w:r>
      <w:r>
        <w:rPr>
          <w:rFonts w:ascii="Times New Roman" w:cs="Times New Roman" w:eastAsia="Times New Roman" w:hAnsi="Times New Roman"/>
          <w:sz w:val="18"/>
          <w:szCs w:val="18"/>
          <w:color w:val="auto"/>
        </w:rPr>
        <w:t>has served as our Interim Chief Financial Officer since 2020. Mr. Beloff is the co-founder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of Danforth Advisors, a consulting firm specializing in providing financial and strategic support to life sciences companies. In addition to his consulting for clients, Mr. Beloff previously served as the Chief Financial Officer of four public and multiple privately held companies. In these roles, he managed finance, accounting, corporate communications, human resources, information technology, facilities, legal, intellectual property, business development, and manufacturing functions. Mr. Beloff holds an M.B.A. from Carnegie Mellon University, a J.D. from the University of Pittsburgh School of Law, and a B.A. in History from Middlebury College.</w:t>
      </w:r>
    </w:p>
    <w:p>
      <w:pPr>
        <w:spacing w:after="0" w:line="11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Scott Lauder, Ph.D. </w:t>
      </w:r>
      <w:r>
        <w:rPr>
          <w:rFonts w:ascii="Times New Roman" w:cs="Times New Roman" w:eastAsia="Times New Roman" w:hAnsi="Times New Roman"/>
          <w:sz w:val="18"/>
          <w:szCs w:val="18"/>
          <w:color w:val="auto"/>
        </w:rPr>
        <w:t>has served as our Chief Technology Officer since November 2017. Previously,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2016 to October 2017, Dr. Lauder served as our Senior Vice President of Process Development and Manufacturing. Prior to that, from July 2013 to October 2016, Dr. Lauder served as the Vice President of Process Sciences and Clinical Manufacturing for Merrimack Pharmaceuticals, Inc., a publicly-traded pharmaceutical company. Dr. Lauder holds a Ph.D. in Biochemistry from Northwestern University and a B.Sc. in Microbiology from the University of Manitoba.</w:t>
      </w:r>
    </w:p>
    <w:p>
      <w:pPr>
        <w:spacing w:after="0" w:line="11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Marc Uknis, M.D. </w:t>
      </w:r>
      <w:r>
        <w:rPr>
          <w:rFonts w:ascii="Times New Roman" w:cs="Times New Roman" w:eastAsia="Times New Roman" w:hAnsi="Times New Roman"/>
          <w:sz w:val="18"/>
          <w:szCs w:val="18"/>
          <w:color w:val="auto"/>
        </w:rPr>
        <w:t>has served as our Chief Medical Officer since March 2020. Previously, in 2020, Dr. Uknis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Vice President and Head of Clinical Development, Safety and Pharmacoviligance/Risk Management at Alexion Pharmaceuticals, Inc., a publicly-traded biotechnology company. Prior to that, Dr. Uknis served as Vice President and Head of Clinical Development, Safety and Pharmacoviligance/Risk Management at Achillion Pharmaceuticals, Inc., a publicly-traded biotechnology company, from June 2018 until its acquisition by Alexion Pharmaceuticals, Inc. in January 2020. Prior to that, Dr. Uknis served as Senior Director, Therapeutic Area Lead, Solid Organ and Cellular Transplant Research and Development at CSL Behring from October 2015 to June 2018. Prior to that, Dr. Uknis served as Director, Clinical Development: Global Lead, Transplant Medicine R&amp;D at ViroPharma Incorporated from October 2007 to October 2015. Dr. Uknis holds a M.D. from Temple University and a B.A. in Biology from Temple University.</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0" w:name="page181"/>
    <w:bookmarkEnd w:id="1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Hannah Han-Chun Chang, Ph.D., M.D. </w:t>
      </w:r>
      <w:r>
        <w:rPr>
          <w:rFonts w:ascii="Times New Roman" w:cs="Times New Roman" w:eastAsia="Times New Roman" w:hAnsi="Times New Roman"/>
          <w:sz w:val="18"/>
          <w:szCs w:val="18"/>
          <w:color w:val="auto"/>
        </w:rPr>
        <w:t>has served as a member of our Board since September 2019.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2020, Dr. Chang has been a Managing Director at Wu Capital, a global single family office. Previously, Dr. Chang served as an Investment Director at Wu Capital from July 2017 to July 2020. Prior to that, from June 2014 to June 2017, Dr. Chang served as an associate at 5AM Ventures, a life sciences venture capital fund. Dr. Chang holds an M.D. from Harvard Medical School, a Ph.D. in biophysics from the Harvard University and a B.A. in chemistry from Princeton University. We believe that Dr. Chang is qualified to serve on our board of directors due to her scientific expertise and experience in venture capital and the life science industry.</w:t>
      </w:r>
    </w:p>
    <w:p>
      <w:pPr>
        <w:spacing w:after="0" w:line="11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Jean George </w:t>
      </w:r>
      <w:r>
        <w:rPr>
          <w:rFonts w:ascii="Times New Roman" w:cs="Times New Roman" w:eastAsia="Times New Roman" w:hAnsi="Times New Roman"/>
          <w:sz w:val="18"/>
          <w:szCs w:val="18"/>
          <w:color w:val="auto"/>
        </w:rPr>
        <w:t>has served as a member of our Board since April 2016. Since February 2002, she has been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at Advanced Technology Ventures, a venture capital fund, where she currently serves as the East Coast lead partner for healthcare investments. Since March 2012, Ms. George has served as Managing Director at Lightstone Ventures, a venture capital firm. Ms. George currently serves as a member of the board of directors of the public company, Calithera Biosciences. During the past five years, Ms. George served as a member of the board of directors of Zeltiq Aesthetics from 2005 to 2015, Catabasis Pharma from 2010 to 2018 and Acceleron Pharma from 2005 to 2020. Ms. George holds an M.B.A. from Simmons College Graduate School of Management and a B.S. in biology from the University of Maine. We believe that Ms. George is qualified to serve on our board of directors due to her extensive investment and financial experience.</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Carl L. Gordon, Ph.D., CFA </w:t>
      </w:r>
      <w:r>
        <w:rPr>
          <w:rFonts w:ascii="Times New Roman" w:cs="Times New Roman" w:eastAsia="Times New Roman" w:hAnsi="Times New Roman"/>
          <w:sz w:val="18"/>
          <w:szCs w:val="18"/>
          <w:color w:val="auto"/>
        </w:rPr>
        <w:t>has served as a member of our board of directors since April 2016. Dr. Gordon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founding member, Managing Partner, and Co-Head of Global Private Equity at OrbiMed Advisors LLC, an investment firm. Dr. Gordon currently serves on the boards of directors of Adicet Bio, Inc., Keros Therapeutics Inc., ORIC Pharmaceuticals Inc., Turning Point Therapeutics, Inc., and Prevail Therapeutics, Inc., as well as several private companies. Dr. Gordon previously served on the boards of directors of several biopharmaceutical companies, including Alector Inc., Arsanis, Inc. (which merged with X4 Pharmaceuticals, Inc.), Acceleron Pharma Inc., ARMO Biosciences, Inc., Intellia Therapeutics, Inc., Passage Bio Inc., Selecta Biosciences, Inc., and SpringWorks Therapeutics Inc. Dr. Gordon received a B.A. in chemistry from Harvard College, a Ph.D. in molecular biology from the Massachusetts Institute of Technology, and he was a Fellow at The Rockefeller University. We believe that Dr. Gordon is qualified to serve on our board of directors due to his scientific expertise, extensive business experience, and experience in venture capital and the life science industry.</w:t>
      </w:r>
    </w:p>
    <w:p>
      <w:pPr>
        <w:spacing w:after="0" w:line="10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David C. Lubner </w:t>
      </w:r>
      <w:r>
        <w:rPr>
          <w:rFonts w:ascii="Times New Roman" w:cs="Times New Roman" w:eastAsia="Times New Roman" w:hAnsi="Times New Roman"/>
          <w:sz w:val="18"/>
          <w:szCs w:val="18"/>
          <w:color w:val="auto"/>
        </w:rPr>
        <w:t>has been a member of our Board since April 2020. From January 2016, until its acquisition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UCB S.A. in April 2020, Mr. Lubner served as the Executive Vice President and Chief Financial Officer of Ra Pharmaceuticals, Inc., a publicly-traded biotechnology company. Before that, Mr. Lubner served as a member of the senior management team of Tetraphase Pharmaceuticals, Inc, from 2006 through 2015. From 2010 to 2015, Mr. Lubner served as Senior Vice President and the Chief Financial Officer of Tetraphase, where he led financial operations and was responsible for corporate finance activities. From 1999 to 2005, he served as the Chief Financial Officer of PharMetrics Inc., a pharmacy and medical claims data informatics company, which was acquired by IMS Health in 2015. Prior to joining PharMetrics, Mr. Lubner served as Vice President and Chief Financial Officer of ProScript, Inc. where Velcade® (bortezomib), a therapy widely used for treatment of the blood cancer, multiple myeloma, was discovered, from 1996 to 1999. Mr. Lubner is also a member of the board of directors of Dyne Therapeutics, Inc., a biotechnology company, Therapeutics Acquisition Corporation (d/b/a as Research Alliance Corp. I.), a blank check company focused on the healthcare industry. Mr. Lubner also serves on the boards of directors of several private companies and was previously a member of the board of directors of Nightstar Therapeutics plc, (formerly Nasdaq: NITE), focused on the development of one-time retinal gene therapies for patients suffering from rare inherited retinal diseases, acquired by Biogen in June 2019. Mr. Lubner is a member of the American Institute of CPAs and a Certified Public Accountant in the Commonwealth of Massachusetts. Mr. Lubner received his B.S. in business administration from Northeastern University and M.S. in taxation from Bentley University. We believe that Mr. Lubner is qualified to serve on our board of directors based on his extensive senior executive experience and his biotechnology company board experience.</w:t>
      </w:r>
    </w:p>
    <w:p>
      <w:pPr>
        <w:spacing w:after="0" w:line="12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Tuyen Ong, M.D., MRCOphth</w:t>
      </w:r>
      <w:r>
        <w:rPr>
          <w:rFonts w:ascii="Times New Roman" w:cs="Times New Roman" w:eastAsia="Times New Roman" w:hAnsi="Times New Roman"/>
          <w:sz w:val="18"/>
          <w:szCs w:val="18"/>
          <w:color w:val="auto"/>
        </w:rPr>
        <w:t>., has served as a member of our Board since August 2020. Dr. Ong is a board-certified ophthalmologist and biotechnology/pharmaceutical industry management executive. He currently serves as Senior Vice President and Head of Biogen Ophthalmology Franchise at Biogen. Dr. Ong served as Chief Development Officer at Nightstar Therapeutics up until its acquisition by Biogen in June 2019. During which time he was involved with the company’s public listing on the Nasdaq, corporate and gene therapy strategy, investor and M&amp;A activities. Dr. Ong brings over 20 years of clinical and drug development experience from both large pharma and biotech, working in the fields of ophthalmology, genetic and rare disease at PTC Therapeutics Inc., Bausch and Lomb Inc.</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1" w:name="page182"/>
    <w:bookmarkEnd w:id="1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(acquired by Valeant Pharmaceuticals International, Inc.), and Pfizer. Dr. Ong holds an M.D. from the University College London and an M.B.A. from New York University Stern School of Business. He is a member of the Royal College of Ophthalmologists and a Churchill Fellow.</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Philip R. Reilly, M.D. </w:t>
      </w:r>
      <w:r>
        <w:rPr>
          <w:rFonts w:ascii="Times New Roman" w:cs="Times New Roman" w:eastAsia="Times New Roman" w:hAnsi="Times New Roman"/>
          <w:sz w:val="18"/>
          <w:szCs w:val="18"/>
          <w:color w:val="auto"/>
        </w:rPr>
        <w:t>has served as a member of our board of directors since June 2016. Since 2008, Dr. Reilly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a Venture Partner at Third Rock Ventures LLC, an investment firm. Dr. Reilly holds a B.A. in Government from Cornell University, an M.D. from Yale University, and a J.D. from Columbia University. We believe that Dr. Reilly is qualified to serve on our board of directors due to his scientific expertise, extensive business experience, and experience in venture capital and the life science industry.</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Jason Rhodes </w:t>
      </w:r>
      <w:r>
        <w:rPr>
          <w:rFonts w:ascii="Times New Roman" w:cs="Times New Roman" w:eastAsia="Times New Roman" w:hAnsi="Times New Roman"/>
          <w:sz w:val="18"/>
          <w:szCs w:val="18"/>
          <w:color w:val="auto"/>
        </w:rPr>
        <w:t>has been a member of our Board since April 2016 and a partner at Atlas Ventures since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Rhodes also served as the founding President and Chief Executive Officer of Dyne Therapeutics, Inc. from December 2017 to November 2018. From 2010 to 2014, Mr. Rhodes was employed at Epizyme, Inc., a biotechnology company, where he most recently served as President and Chief Financial Officer. Mr. Rhodes serves as a member of the board of directors of Dyne Therapeutics, Inc., Replimune Group, Inc., Generation Bio Co. and several private companies, and previously served as a director at Bicycle Therapeutics, Inc. from 2016 to 2020. Mr. Rhodes earned a B.A. in history from Yale University and an M.B.A. from the Wharton School of the University of Pennsylvania. We believe that Mr. Rhodes is qualified to serve on our board of directors based on his extensive leadership experience, his biotechnology company board experience and his experience investing in life science companies.</w:t>
      </w:r>
    </w:p>
    <w:p>
      <w:pPr>
        <w:spacing w:after="0" w:line="10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color w:val="auto"/>
        </w:rPr>
        <w:t>Stephen Squinto, Ph.D.</w:t>
      </w:r>
      <w:r>
        <w:rPr>
          <w:rFonts w:ascii="Times New Roman" w:cs="Times New Roman" w:eastAsia="Times New Roman" w:hAnsi="Times New Roman"/>
          <w:sz w:val="18"/>
          <w:szCs w:val="18"/>
          <w:color w:val="auto"/>
        </w:rPr>
        <w:t>, has served as a member of our Board since April 2016. Dr. Squinto has been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Partner at OrbiMed Advisors LLC since January 2015. Previously, Dr. Squinto co-founded Alexion Pharmaceuticals, Inc. and served as its Executive Vice President and Chief Global Operations Officer from 2012 to January 2015 and as its Global Head of Research and Development from 2007 to 2012. Dr. Squinto has served as Acting Head of Research and Development of Passage Bio, Inc. since January 2020, and prior to that served as interim Chief Executive Officer of Passage Bio from September 2018 to January 2020. Dr. Squinto also has served as a member of Passage’s board of directors since September 2018. Dr. Squinto also previously served as a member of the board of directors of Arvinas, Inc. from October 2015 to September 2018 and Audentes Therapeutics, Inc. from April 2015 to January 2018. Dr. Squinto holds a Ph.D. in biochemistry and biophysics and a B.A. in chemistry from Loyola University of Chicago. We believe that Dr. Squinto is qualified to serve on our board of directors based on his experience in the biopharmaceutical industry, including his operational experience in drug discovery and development.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OF GEMINI</w:t>
      </w:r>
    </w:p>
    <w:p>
      <w:pPr>
        <w:spacing w:after="0" w:line="146"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unless otherwise stated or the context requires otherwise, the terms “Gemini,” “we,” “us,” and “our” refer to Gemini Therapeutics, Inc.</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Historically, our executive compensation program has reflected our growth and development-oriented corporate culture. To date, the compensation of our Chief Executive Officer and President and our other executive officers identified in the 2020 Summary Compensation Table below, who we refer to as the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93"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Gemini’s named executive officers are Jason Meyenburg, its President and Chief Executive Officer, Dr. Scott Lauder, its Chief Technology Officer, and Dr. Marc Uknis, its Chief Medical Officer, each of whom will become an executive officer of the Combined Entity. The following table presents information regarding the total compensation awarded to, earned by, and paid to our named executive officers for services rendered to us in all capacities for 2020.</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1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Incentive Plan</w:t>
            </w: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540" w:type="dxa"/>
            <w:vAlign w:val="bottom"/>
          </w:tcPr>
          <w:p>
            <w:pPr>
              <w:spacing w:after="0"/>
              <w:rPr>
                <w:sz w:val="17"/>
                <w:szCs w:val="17"/>
                <w:color w:val="auto"/>
              </w:rPr>
            </w:pPr>
          </w:p>
        </w:tc>
      </w:tr>
      <w:tr>
        <w:trPr>
          <w:trHeight w:val="203"/>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8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Salary</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Bonus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5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59"/>
        </w:trPr>
        <w:tc>
          <w:tcPr>
            <w:tcW w:w="1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Year</w:t>
            </w:r>
          </w:p>
        </w:tc>
        <w:tc>
          <w:tcPr>
            <w:tcW w:w="7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center"/>
              <w:ind w:right="157"/>
              <w:spacing w:after="0" w:line="259"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9"/>
                <w:szCs w:val="9"/>
                <w:b w:val="1"/>
                <w:bCs w:val="1"/>
                <w:color w:val="auto"/>
              </w:rPr>
              <w:t>(1)</w:t>
            </w:r>
          </w:p>
        </w:tc>
        <w:tc>
          <w:tcPr>
            <w:tcW w:w="800" w:type="dxa"/>
            <w:vAlign w:val="bottom"/>
          </w:tcPr>
          <w:p>
            <w:pPr>
              <w:jc w:val="center"/>
              <w:spacing w:after="0" w:line="259" w:lineRule="exact"/>
              <w:rPr>
                <w:sz w:val="20"/>
                <w:szCs w:val="20"/>
                <w:color w:val="auto"/>
              </w:rPr>
            </w:pPr>
            <w:r>
              <w:rPr>
                <w:rFonts w:ascii="Times New Roman" w:cs="Times New Roman" w:eastAsia="Times New Roman" w:hAnsi="Times New Roman"/>
                <w:sz w:val="30"/>
                <w:szCs w:val="30"/>
                <w:b w:val="1"/>
                <w:bCs w:val="1"/>
                <w:color w:val="auto"/>
                <w:w w:val="88"/>
                <w:vertAlign w:val="subscript"/>
              </w:rPr>
              <w:t>($)</w:t>
            </w:r>
            <w:r>
              <w:rPr>
                <w:rFonts w:ascii="Times New Roman" w:cs="Times New Roman" w:eastAsia="Times New Roman" w:hAnsi="Times New Roman"/>
                <w:sz w:val="9"/>
                <w:szCs w:val="9"/>
                <w:b w:val="1"/>
                <w:bCs w:val="1"/>
                <w:color w:val="auto"/>
                <w:w w:val="88"/>
              </w:rPr>
              <w:t>(2)</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bl>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1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43"/>
        </w:trPr>
        <w:tc>
          <w:tcPr>
            <w:tcW w:w="1980" w:type="dxa"/>
            <w:vAlign w:val="bottom"/>
            <w:shd w:val="clear" w:color="auto" w:fill="CCEEFF"/>
          </w:tcPr>
          <w:p>
            <w:pPr>
              <w:spacing w:after="0" w:line="43" w:lineRule="exact"/>
              <w:rPr>
                <w:sz w:val="20"/>
                <w:szCs w:val="20"/>
                <w:color w:val="auto"/>
              </w:rPr>
            </w:pPr>
            <w:r>
              <w:rPr>
                <w:rFonts w:ascii="Times New Roman" w:cs="Times New Roman" w:eastAsia="Times New Roman" w:hAnsi="Times New Roman"/>
                <w:sz w:val="4"/>
                <w:szCs w:val="4"/>
                <w:color w:val="auto"/>
              </w:rPr>
              <w:t>Jason Meyenburg</w:t>
            </w: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jc w:val="right"/>
              <w:spacing w:after="0" w:line="43" w:lineRule="exact"/>
              <w:rPr>
                <w:sz w:val="20"/>
                <w:szCs w:val="20"/>
                <w:color w:val="auto"/>
              </w:rPr>
            </w:pPr>
            <w:r>
              <w:rPr>
                <w:rFonts w:ascii="Times New Roman" w:cs="Times New Roman" w:eastAsia="Times New Roman" w:hAnsi="Times New Roman"/>
                <w:sz w:val="4"/>
                <w:szCs w:val="4"/>
                <w:color w:val="auto"/>
              </w:rPr>
              <w:t>2020</w:t>
            </w:r>
          </w:p>
        </w:tc>
        <w:tc>
          <w:tcPr>
            <w:tcW w:w="100" w:type="dxa"/>
            <w:vAlign w:val="bottom"/>
            <w:shd w:val="clear" w:color="auto" w:fill="CCEEFF"/>
          </w:tcPr>
          <w:p>
            <w:pPr>
              <w:spacing w:after="0"/>
              <w:rPr>
                <w:sz w:val="3"/>
                <w:szCs w:val="3"/>
                <w:color w:val="auto"/>
              </w:rPr>
            </w:pPr>
          </w:p>
        </w:tc>
        <w:tc>
          <w:tcPr>
            <w:tcW w:w="760" w:type="dxa"/>
            <w:vAlign w:val="bottom"/>
            <w:gridSpan w:val="2"/>
            <w:shd w:val="clear" w:color="auto" w:fill="CCEEFF"/>
          </w:tcPr>
          <w:p>
            <w:pPr>
              <w:jc w:val="right"/>
              <w:ind w:right="120"/>
              <w:spacing w:after="0" w:line="43" w:lineRule="exact"/>
              <w:rPr>
                <w:sz w:val="20"/>
                <w:szCs w:val="20"/>
                <w:color w:val="auto"/>
              </w:rPr>
            </w:pPr>
            <w:r>
              <w:rPr>
                <w:rFonts w:ascii="Times New Roman" w:cs="Times New Roman" w:eastAsia="Times New Roman" w:hAnsi="Times New Roman"/>
                <w:sz w:val="4"/>
                <w:szCs w:val="4"/>
                <w:color w:val="auto"/>
              </w:rPr>
              <w:t>437,800</w:t>
            </w:r>
          </w:p>
        </w:tc>
        <w:tc>
          <w:tcPr>
            <w:tcW w:w="760" w:type="dxa"/>
            <w:vAlign w:val="bottom"/>
            <w:gridSpan w:val="2"/>
            <w:shd w:val="clear" w:color="auto" w:fill="CCEEFF"/>
          </w:tcPr>
          <w:p>
            <w:pPr>
              <w:jc w:val="right"/>
              <w:ind w:right="120"/>
              <w:spacing w:after="0" w:line="43" w:lineRule="exact"/>
              <w:rPr>
                <w:sz w:val="20"/>
                <w:szCs w:val="20"/>
                <w:color w:val="auto"/>
              </w:rPr>
            </w:pPr>
            <w:r>
              <w:rPr>
                <w:rFonts w:ascii="Times New Roman" w:cs="Times New Roman" w:eastAsia="Times New Roman" w:hAnsi="Times New Roman"/>
                <w:sz w:val="4"/>
                <w:szCs w:val="4"/>
                <w:color w:val="auto"/>
              </w:rPr>
              <w:t>42,500</w:t>
            </w:r>
          </w:p>
        </w:tc>
        <w:tc>
          <w:tcPr>
            <w:tcW w:w="840" w:type="dxa"/>
            <w:vAlign w:val="bottom"/>
            <w:gridSpan w:val="2"/>
            <w:shd w:val="clear" w:color="auto" w:fill="CCEEFF"/>
          </w:tcPr>
          <w:p>
            <w:pPr>
              <w:jc w:val="right"/>
              <w:ind w:right="100"/>
              <w:spacing w:after="0" w:line="43" w:lineRule="exact"/>
              <w:rPr>
                <w:sz w:val="20"/>
                <w:szCs w:val="20"/>
                <w:color w:val="auto"/>
              </w:rPr>
            </w:pPr>
            <w:r>
              <w:rPr>
                <w:rFonts w:ascii="Times New Roman" w:cs="Times New Roman" w:eastAsia="Times New Roman" w:hAnsi="Times New Roman"/>
                <w:sz w:val="4"/>
                <w:szCs w:val="4"/>
                <w:color w:val="auto"/>
              </w:rPr>
              <w:t>1,539,362</w:t>
            </w:r>
          </w:p>
        </w:tc>
        <w:tc>
          <w:tcPr>
            <w:tcW w:w="1100" w:type="dxa"/>
            <w:vAlign w:val="bottom"/>
            <w:gridSpan w:val="2"/>
            <w:shd w:val="clear" w:color="auto" w:fill="CCEEFF"/>
          </w:tcPr>
          <w:p>
            <w:pPr>
              <w:ind w:left="840"/>
              <w:spacing w:after="0" w:line="43" w:lineRule="exact"/>
              <w:rPr>
                <w:sz w:val="20"/>
                <w:szCs w:val="20"/>
                <w:color w:val="auto"/>
              </w:rPr>
            </w:pPr>
            <w:r>
              <w:rPr>
                <w:rFonts w:ascii="Times New Roman" w:cs="Times New Roman" w:eastAsia="Times New Roman" w:hAnsi="Times New Roman"/>
                <w:sz w:val="4"/>
                <w:szCs w:val="4"/>
                <w:color w:val="auto"/>
              </w:rPr>
              <w:t>—</w:t>
            </w:r>
          </w:p>
        </w:tc>
        <w:tc>
          <w:tcPr>
            <w:tcW w:w="1020" w:type="dxa"/>
            <w:vAlign w:val="bottom"/>
            <w:shd w:val="clear" w:color="auto" w:fill="CCEEFF"/>
          </w:tcPr>
          <w:p>
            <w:pPr>
              <w:jc w:val="right"/>
              <w:ind w:right="76"/>
              <w:spacing w:after="0" w:line="43" w:lineRule="exact"/>
              <w:rPr>
                <w:sz w:val="20"/>
                <w:szCs w:val="20"/>
                <w:color w:val="auto"/>
              </w:rPr>
            </w:pPr>
            <w:r>
              <w:rPr>
                <w:rFonts w:ascii="Times New Roman" w:cs="Times New Roman" w:eastAsia="Times New Roman" w:hAnsi="Times New Roman"/>
                <w:sz w:val="4"/>
                <w:szCs w:val="4"/>
                <w:color w:val="auto"/>
              </w:rPr>
              <w:t>49,992</w:t>
            </w: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jc w:val="right"/>
              <w:spacing w:after="0" w:line="43" w:lineRule="exact"/>
              <w:rPr>
                <w:sz w:val="20"/>
                <w:szCs w:val="20"/>
                <w:color w:val="auto"/>
              </w:rPr>
            </w:pPr>
            <w:r>
              <w:rPr>
                <w:rFonts w:ascii="Times New Roman" w:cs="Times New Roman" w:eastAsia="Times New Roman" w:hAnsi="Times New Roman"/>
                <w:sz w:val="4"/>
                <w:szCs w:val="4"/>
                <w:color w:val="auto"/>
              </w:rPr>
              <w:t>2,069,654</w:t>
            </w:r>
          </w:p>
        </w:tc>
      </w:tr>
      <w:tr>
        <w:trPr>
          <w:trHeight w:val="135"/>
        </w:trPr>
        <w:tc>
          <w:tcPr>
            <w:tcW w:w="1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64"/>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5"/>
        </w:trPr>
        <w:tc>
          <w:tcPr>
            <w:tcW w:w="1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President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Dr. Marc Uknis</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328,542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1,223,507</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r>
              <w:rPr>
                <w:rFonts w:ascii="Times New Roman" w:cs="Times New Roman" w:eastAsia="Times New Roman" w:hAnsi="Times New Roman"/>
                <w:sz w:val="10"/>
                <w:szCs w:val="10"/>
                <w:color w:val="auto"/>
              </w:rPr>
              <w:t>(4)</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1,555,193</w:t>
            </w:r>
          </w:p>
        </w:tc>
      </w:tr>
      <w:tr>
        <w:trPr>
          <w:trHeight w:val="283"/>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Medical Officer</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
        </w:trPr>
        <w:tc>
          <w:tcPr>
            <w:tcW w:w="1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Scott Lauder</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355,000</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117,800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136,382</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r>
              <w:rPr>
                <w:rFonts w:ascii="Times New Roman" w:cs="Times New Roman" w:eastAsia="Times New Roman" w:hAnsi="Times New Roman"/>
                <w:sz w:val="10"/>
                <w:szCs w:val="10"/>
                <w:color w:val="auto"/>
              </w:rPr>
              <w:t>(4)</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616,682</w:t>
            </w:r>
          </w:p>
        </w:tc>
      </w:tr>
      <w:tr>
        <w:trPr>
          <w:trHeight w:val="238"/>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Technology</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4"/>
        </w:trPr>
        <w:tc>
          <w:tcPr>
            <w:tcW w:w="1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Officer</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40"/>
        </w:trPr>
        <w:tc>
          <w:tcPr>
            <w:tcW w:w="1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97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represent annual payments made to our named executive officers in cash in March 2020 for performance in 2019.</w:t>
      </w:r>
    </w:p>
    <w:p>
      <w:pPr>
        <w:jc w:val="both"/>
        <w:ind w:left="880" w:right="459" w:hanging="426"/>
        <w:spacing w:after="0" w:line="264" w:lineRule="auto"/>
        <w:tabs>
          <w:tab w:leader="none" w:pos="97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column reflect the aggregate grant date fair value of stock options awarded during 2020 computed in accordance with the provisions of Financial Accounting Standards Board Accounting Standards Codification Topic 718. See Note 10 to Gemini’s financial statements appearing elsewhere in this proxy statement/prospectus regarding assumptions underlying the valuation of equity awards.</w:t>
      </w:r>
    </w:p>
    <w:p>
      <w:pPr>
        <w:ind w:left="880" w:right="479" w:hanging="426"/>
        <w:spacing w:after="0" w:line="264" w:lineRule="auto"/>
        <w:tabs>
          <w:tab w:leader="none" w:pos="1098"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payment for a living expense allowance to facilitate Mr. Meyenburg’s relocation to Cambridge, Massachusetts pursuant to the term of his offer letter agreement with Gemini.</w:t>
      </w:r>
    </w:p>
    <w:p>
      <w:pPr>
        <w:ind w:left="880" w:hanging="426"/>
        <w:spacing w:after="0"/>
        <w:tabs>
          <w:tab w:leader="none" w:pos="8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Gemini’s portion of the executive’s 401k plan contribution.</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3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For the year ended December 31, 2020, the annual base salaries for each of Mr. Meyenburg, Dr. Uknis and Dr. Lauder were $437,800 $415,000 and $355,000, respectively.</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3" w:name="page184"/>
    <w:bookmarkEnd w:id="1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We pay cash bonuses to reward our executives for their performance over the fiscal year, based on goals established by our board of directors. For 2020, the target bonus for Mr. Meyenburg was equal to 40% percent of his base salary. The target bonus for Dr. Lauder for 2020 was 35% percent of his base salary. The target bonus for Dr. Uknis for 2020 was 35% percent of his base salary, prorated from his start date with Gemini.</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During the year ended December 31, 2020, we granted options to purchase shares of our common stock to Mr. Meyenburg, Dr. Uknis and Dr. Lauder, as described in more detail in the “Outstanding equity awards at 2020 fiscal year-end” table.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Employment arrangements and severance agreements with our named executive officers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entered into offer letter agreements with each of our named executive officers in connection with the commencement of their employment with us, the material terms of which summarized below.</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Meyenburg</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entered into an offer letter agreement with Mr. Meyenburg, dated August 27, 2019, pursuant to which we employ Mr. Meyenburg as our President and Chief Executive Officer. The offer letter agreement also provides for Mr. Meyenburg to serve as a member of our board of directors for as long as he is employed as our Chief Executive Officer. The employment of Mr. Meyenburg is “at will” and the agreement endures until terminated by either party.</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Mr. Meyenburg’s current annual base salary is $437,800, which is subject to periodic review and adjustment. Pursuant to the offer letter agreement, Mr. Meyenburg is eligible to receive to an annual bonus targeted at 40% of his annual base salary, which amount may be adjusted by Gemini at its sole discretion. The actual amount of the bonus is determined by the board of directors based on its assessment of the performance of Mr. Meyenburg and that of the Company against pre-established goals determined by our board of directors. Under the offer letter agreement, we also paid Mr. Meyenburg a signing bonus of $25,000, which was subject to repayment in full in the event that Mr. Meyenburg resigned without “good reason” (as such term is defined in his offer letter agreement) or we terminated Mr. Meyenburg’s employment for “cause” (as such term is defined in his offer letter agreement) in either case within one year of his start date. Mr. Meyenburg was required relocate his primary residence to Cambridge, Massachusetts within one year of his start date. To facilitate such relocation and transition, we provided Mr. Meyenburg with a living expense allowance equal to $4,166 per month until he was able to relocate to Cambridge Massachusetts for up to a maximum of twelve months following his start date. The board of directors extended the time period during which Mr. Meyenburg may be required to relocate to the Boston area until following the easing of the COVID-19 pandemic and upon the request of either the compensation committee or the board of directors. The $4,166 per month living allowance was also extended for the same period of time.</w:t>
      </w:r>
    </w:p>
    <w:p>
      <w:pPr>
        <w:spacing w:after="0" w:line="127"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7"/>
          <w:szCs w:val="17"/>
          <w:color w:val="auto"/>
        </w:rPr>
        <w:t>In the event Mr. Meyenburg’s employment is terminated without cause or he resigns for good reason, in either event within the twelve month period immediate following a “sale event” (as such term is defined in the 2017 Plan), any then outstanding time-based equity awards shall accelerate and become fully vested as of the date of termination. In addition, in the event Mr. Meyenburg’s employment is terminated without cause or he resigns for good reason at any time, subject to his execution and non-revocation of a separation agreement, including a general release of claims in our favor (and, in Gemini’s sole discretion, a one-year post-employment noncompetition agreement), Mr. Meyenburg is entitled to the following termination payments: (a) continuation of base salary for twelve months, which we refer to as the Salary Continuation Period (provided, that in the event that Mr. Meyenburg is entitled to any payments pursuant to his Employee Confidentiality, Assignment and Noncompetition Agreement with us, such base salary continuation payments in any calendar year will be reduced by the amount that Mr. Meyenburg is paid in the same calendar year pursuant to the restrictive covenant agreement); and (b) if Mr. Meyenburg elects to continue his health benefits through COBRA, continued group health benefits with the cost of monthly COBRA premiums shared in the same relative proportion as in effect on his termination date until the earlier of: (i) the end of the Salary Continuation Period; or</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4" w:name="page185"/>
    <w:bookmarkEnd w:id="1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hanging="6"/>
        <w:spacing w:after="0" w:line="261" w:lineRule="auto"/>
        <w:tabs>
          <w:tab w:leader="none" w:pos="76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Mr. Meyenburg becomes eligible for health insurance through another employer or otherwise becomes ineligible for COBRA. Payment of the severance payments under the offer letter agreement shall cease in the event that Mr. Meyenburg breaches his obligations under the Employee Confidentiality, Assignment and Noncompetition Agreement entered into with us.</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Mr. Meyenburg has also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Uknis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entered into an offer letter agreement with Dr. Uknis dated February 20, 2020. The employment of Dr. Uknis is “at will” and the agreement endures until terminated by either party. Dr. Uknis’s current annual base salary is $415,000, which is subject to periodic review and adjustment. Under the terms of the offer letter agreement, Dr. Uknis is eligible to participate in any annual bonus programs as may be established from time to time by our board of directors. Under such bonus programs, Dr. Uknis is eligible to receive an annual bonus targeted at 35% of his annual base salary. Dr. Uknis is required to relocate his primary residence to Cambridge, Massachusetts within one year of his start date. The board of directors extended the time period during which Dr. Uknis may be required to relocate to the Boston area until following the easing of the COVID-19 pandemic and upon the request of either the compensation committee or the board of directors. Once Dr. Uknis is required to relocate to the Boston area, the board of directors or the compensation committee may agree to an interim living allowance.</w:t>
      </w:r>
    </w:p>
    <w:p>
      <w:pPr>
        <w:spacing w:after="0" w:line="11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event Dr. Uknis’s employment is terminated without “cause” (as such term is defined in his offer letter agreement) or he resigns for “good reason” (as such term is defined in his offer letter agreement) or his employment terminates due to his death or “disability” (as such term is defined in his offer letter agreement), subject to his execution and non-revocation of a general release of claims in our favor, Dr. Uknis is entitled to the following: (a) continuation of base salary for nine months, which we refer to as the Salary Continuation Period; and (b) monthly COBRA premiums paid by us until the earlier of: (i) the end of the Salary Continuation Period; or (ii) the date Dr. Uknis becomes eligible for health insurance through another employer.</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Dr. Uknis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Dr. Lauder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We entered into an offer letter agreement with Dr. Lauder dated September 12, 2016. The employment of Dr. Lauder is “at will” and the agreement endures until terminated by either party. Dr. Lauder’s current annual base salary is $355,000, which is subject to periodic review and adjustment. Under the terms of the offer letter agreement, Dr. Lauder is eligible to participate in any annual bonus programs as may be established from time to time by our board of directors. Under such bonus programs, Dr. Lauder is eligible to receive an annual bonus targeted at 35% of his annual base salary.</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event Dr. Lauder’s employment is terminated without “cause” (as such term is defined in his offer letter agreement) or he resigns for “good reason” (as such term is defined in his offer letter agreement) or his employment terminates due to his death or “disability” (as such term is defined in his offer letter agreement), subject to his execution and non-revocation of a general release of claims in our favor, Dr. Lauder is entitled to the following: (a) continuation of base salary for twelve months, which we refer to as the Salary Continuation Period; and (b) monthly COBRA premiums paid by us until the earlier of: (i) the end of the Salary Continuation Period; or (ii) the date Dr. Lauder becomes eligible for health insurance through another employer.</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Dr. Lauder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Outstanding equity awards at 2020 fiscal year-end</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2020. Unless otherwise noted, all equity awards set forth in the table below were granted under our 2017 Plan.</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46"/>
        </w:trPr>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5"/>
                <w:szCs w:val="15"/>
                <w:color w:val="auto"/>
              </w:rPr>
            </w:pPr>
          </w:p>
        </w:tc>
        <w:tc>
          <w:tcPr>
            <w:tcW w:w="8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Market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7"/>
                <w:szCs w:val="17"/>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 units</w:t>
            </w:r>
          </w:p>
        </w:tc>
        <w:tc>
          <w:tcPr>
            <w:tcW w:w="100" w:type="dxa"/>
            <w:vAlign w:val="bottom"/>
          </w:tcPr>
          <w:p>
            <w:pPr>
              <w:spacing w:after="0"/>
              <w:rPr>
                <w:sz w:val="17"/>
                <w:szCs w:val="17"/>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stock</w:t>
            </w:r>
          </w:p>
        </w:tc>
        <w:tc>
          <w:tcPr>
            <w:tcW w:w="100" w:type="dxa"/>
            <w:vAlign w:val="bottom"/>
          </w:tcPr>
          <w:p>
            <w:pPr>
              <w:spacing w:after="0"/>
              <w:rPr>
                <w:sz w:val="17"/>
                <w:szCs w:val="17"/>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that</w:t>
            </w:r>
          </w:p>
        </w:tc>
        <w:tc>
          <w:tcPr>
            <w:tcW w:w="100" w:type="dxa"/>
            <w:vAlign w:val="bottom"/>
          </w:tcPr>
          <w:p>
            <w:pPr>
              <w:spacing w:after="0"/>
              <w:rPr>
                <w:sz w:val="17"/>
                <w:szCs w:val="17"/>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stock that</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Vesting</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100" w:type="dxa"/>
            <w:vAlign w:val="bottom"/>
          </w:tcPr>
          <w:p>
            <w:pPr>
              <w:spacing w:after="0"/>
              <w:rPr>
                <w:sz w:val="17"/>
                <w:szCs w:val="17"/>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commencement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100" w:type="dxa"/>
            <w:vAlign w:val="bottom"/>
          </w:tcPr>
          <w:p>
            <w:pPr>
              <w:spacing w:after="0"/>
              <w:rPr>
                <w:sz w:val="17"/>
                <w:szCs w:val="17"/>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0" w:type="dxa"/>
            <w:vAlign w:val="bottom"/>
          </w:tcPr>
          <w:p>
            <w:pPr>
              <w:spacing w:after="0"/>
              <w:rPr>
                <w:sz w:val="1"/>
                <w:szCs w:val="1"/>
                <w:color w:val="auto"/>
              </w:rPr>
            </w:pPr>
          </w:p>
        </w:tc>
      </w:tr>
      <w:tr>
        <w:trPr>
          <w:trHeight w:val="255"/>
        </w:trPr>
        <w:tc>
          <w:tcPr>
            <w:tcW w:w="1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date</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920" w:type="dxa"/>
            <w:vAlign w:val="bottom"/>
            <w:gridSpan w:val="2"/>
          </w:tcPr>
          <w:p>
            <w:pPr>
              <w:jc w:val="center"/>
              <w:ind w:left="37"/>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8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9/23/2019</w:t>
            </w:r>
            <w:r>
              <w:rPr>
                <w:rFonts w:ascii="Times New Roman" w:cs="Times New Roman" w:eastAsia="Times New Roman" w:hAnsi="Times New Roman"/>
                <w:sz w:val="20"/>
                <w:szCs w:val="20"/>
                <w:color w:val="auto"/>
                <w:vertAlign w:val="superscript"/>
              </w:rPr>
              <w:t>(2)</w:t>
            </w:r>
          </w:p>
        </w:tc>
        <w:tc>
          <w:tcPr>
            <w:tcW w:w="1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840,698</w:t>
            </w:r>
          </w:p>
        </w:tc>
        <w:tc>
          <w:tcPr>
            <w:tcW w:w="8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1,849,541</w:t>
            </w: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11/12/2029</w:t>
            </w: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3/11/2020</w:t>
            </w:r>
            <w:r>
              <w:rPr>
                <w:rFonts w:ascii="Times New Roman" w:cs="Times New Roman" w:eastAsia="Times New Roman" w:hAnsi="Times New Roman"/>
                <w:sz w:val="20"/>
                <w:szCs w:val="20"/>
                <w:color w:val="auto"/>
                <w:vertAlign w:val="superscript"/>
              </w:rPr>
              <w:t>(2)</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575,700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3/11/2030</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10/16/2020</w:t>
            </w:r>
            <w:r>
              <w:rPr>
                <w:rFonts w:ascii="Times New Roman" w:cs="Times New Roman" w:eastAsia="Times New Roman" w:hAnsi="Times New Roman"/>
                <w:sz w:val="20"/>
                <w:szCs w:val="20"/>
                <w:color w:val="auto"/>
                <w:vertAlign w:val="superscript"/>
              </w:rPr>
              <w:t>(2)</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1,178,043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10/16/2030</w:t>
            </w:r>
          </w:p>
        </w:tc>
        <w:tc>
          <w:tcPr>
            <w:tcW w:w="7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Marc Uknis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10/16/2020</w:t>
            </w:r>
            <w:r>
              <w:rPr>
                <w:rFonts w:ascii="Times New Roman" w:cs="Times New Roman" w:eastAsia="Times New Roman" w:hAnsi="Times New Roman"/>
                <w:sz w:val="20"/>
                <w:szCs w:val="20"/>
                <w:color w:val="auto"/>
                <w:vertAlign w:val="superscript"/>
              </w:rPr>
              <w:t>(2)</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1,093,980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10/16/2030</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Scott Lauder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11/5/2017</w:t>
            </w:r>
            <w:r>
              <w:rPr>
                <w:rFonts w:ascii="Times New Roman" w:cs="Times New Roman" w:eastAsia="Times New Roman" w:hAnsi="Times New Roman"/>
                <w:sz w:val="20"/>
                <w:szCs w:val="20"/>
                <w:color w:val="auto"/>
                <w:vertAlign w:val="superscript"/>
              </w:rPr>
              <w:t>(3)</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235,206</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78,400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8/28/2028</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3/11/2020</w:t>
            </w:r>
            <w:r>
              <w:rPr>
                <w:rFonts w:ascii="Times New Roman" w:cs="Times New Roman" w:eastAsia="Times New Roman" w:hAnsi="Times New Roman"/>
                <w:sz w:val="20"/>
                <w:szCs w:val="20"/>
                <w:color w:val="auto"/>
                <w:vertAlign w:val="superscript"/>
              </w:rPr>
              <w:t>(2)</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3/11/2030</w:t>
            </w: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10/16/2020</w:t>
            </w:r>
            <w:r>
              <w:rPr>
                <w:rFonts w:ascii="Times New Roman" w:cs="Times New Roman" w:eastAsia="Times New Roman" w:hAnsi="Times New Roman"/>
                <w:sz w:val="20"/>
                <w:szCs w:val="20"/>
                <w:color w:val="auto"/>
                <w:vertAlign w:val="superscript"/>
              </w:rPr>
              <w:t>(2)</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96,971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10/16/2030</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0" w:type="dxa"/>
            <w:vAlign w:val="bottom"/>
            <w:gridSpan w:val="2"/>
            <w:shd w:val="clear" w:color="auto" w:fill="CCEEFF"/>
          </w:tcPr>
          <w:p>
            <w:pPr>
              <w:jc w:val="right"/>
              <w:ind w:right="100"/>
              <w:spacing w:after="0" w:line="83" w:lineRule="exact"/>
              <w:rPr>
                <w:sz w:val="20"/>
                <w:szCs w:val="20"/>
                <w:color w:val="auto"/>
              </w:rPr>
            </w:pPr>
            <w:r>
              <w:rPr>
                <w:rFonts w:ascii="Times New Roman" w:cs="Times New Roman" w:eastAsia="Times New Roman" w:hAnsi="Times New Roman"/>
                <w:sz w:val="9"/>
                <w:szCs w:val="9"/>
                <w:color w:val="auto"/>
              </w:rPr>
              <w:t>—</w:t>
            </w:r>
          </w:p>
        </w:tc>
        <w:tc>
          <w:tcPr>
            <w:tcW w:w="920" w:type="dxa"/>
            <w:vAlign w:val="bottom"/>
            <w:gridSpan w:val="2"/>
            <w:shd w:val="clear" w:color="auto" w:fill="CCEEFF"/>
          </w:tcPr>
          <w:p>
            <w:pPr>
              <w:jc w:val="right"/>
              <w:ind w:right="80"/>
              <w:spacing w:after="0" w:line="83" w:lineRule="exact"/>
              <w:rPr>
                <w:sz w:val="20"/>
                <w:szCs w:val="20"/>
                <w:color w:val="auto"/>
              </w:rPr>
            </w:pPr>
            <w:r>
              <w:rPr>
                <w:rFonts w:ascii="Times New Roman" w:cs="Times New Roman" w:eastAsia="Times New Roman" w:hAnsi="Times New Roman"/>
                <w:sz w:val="9"/>
                <w:szCs w:val="9"/>
                <w:color w:val="auto"/>
              </w:rPr>
              <w:t>—</w:t>
            </w:r>
          </w:p>
        </w:tc>
        <w:tc>
          <w:tcPr>
            <w:tcW w:w="1060" w:type="dxa"/>
            <w:vAlign w:val="bottom"/>
            <w:gridSpan w:val="2"/>
            <w:shd w:val="clear" w:color="auto" w:fill="CCEEFF"/>
          </w:tcPr>
          <w:p>
            <w:pPr>
              <w:jc w:val="right"/>
              <w:ind w:right="100"/>
              <w:spacing w:after="0" w:line="83"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gridSpan w:val="2"/>
            <w:shd w:val="clear" w:color="auto" w:fill="CCEEFF"/>
          </w:tcPr>
          <w:p>
            <w:pPr>
              <w:jc w:val="right"/>
              <w:ind w:right="100"/>
              <w:spacing w:after="0" w:line="83" w:lineRule="exact"/>
              <w:rPr>
                <w:sz w:val="20"/>
                <w:szCs w:val="20"/>
                <w:color w:val="auto"/>
              </w:rPr>
            </w:pPr>
            <w:r>
              <w:rPr>
                <w:rFonts w:ascii="Times New Roman" w:cs="Times New Roman" w:eastAsia="Times New Roman" w:hAnsi="Times New Roman"/>
                <w:sz w:val="9"/>
                <w:szCs w:val="9"/>
                <w:color w:val="auto"/>
              </w:rPr>
              <w:t>—</w:t>
            </w:r>
          </w:p>
        </w:tc>
        <w:tc>
          <w:tcPr>
            <w:tcW w:w="980" w:type="dxa"/>
            <w:vAlign w:val="bottom"/>
            <w:gridSpan w:val="2"/>
            <w:shd w:val="clear" w:color="auto" w:fill="CCEEFF"/>
          </w:tcPr>
          <w:p>
            <w:pPr>
              <w:jc w:val="right"/>
              <w:ind w:right="100"/>
              <w:spacing w:after="0" w:line="83" w:lineRule="exact"/>
              <w:rPr>
                <w:sz w:val="20"/>
                <w:szCs w:val="20"/>
                <w:color w:val="auto"/>
              </w:rPr>
            </w:pPr>
            <w:r>
              <w:rPr>
                <w:rFonts w:ascii="Times New Roman" w:cs="Times New Roman" w:eastAsia="Times New Roman" w:hAnsi="Times New Roman"/>
                <w:sz w:val="9"/>
                <w:szCs w:val="9"/>
                <w:color w:val="auto"/>
              </w:rPr>
              <w:t>—</w:t>
            </w:r>
          </w:p>
        </w:tc>
        <w:tc>
          <w:tcPr>
            <w:tcW w:w="700" w:type="dxa"/>
            <w:vAlign w:val="bottom"/>
            <w:shd w:val="clear" w:color="auto" w:fill="CCEEFF"/>
          </w:tcPr>
          <w:p>
            <w:pPr>
              <w:jc w:val="right"/>
              <w:ind w:right="60"/>
              <w:spacing w:after="0" w:line="83" w:lineRule="exact"/>
              <w:rPr>
                <w:sz w:val="20"/>
                <w:szCs w:val="20"/>
                <w:color w:val="auto"/>
              </w:rPr>
            </w:pPr>
            <w:r>
              <w:rPr>
                <w:rFonts w:ascii="Times New Roman" w:cs="Times New Roman" w:eastAsia="Times New Roman" w:hAnsi="Times New Roman"/>
                <w:sz w:val="9"/>
                <w:szCs w:val="9"/>
                <w:color w:val="auto"/>
              </w:rPr>
              <w:t>46,250</w:t>
            </w:r>
          </w:p>
        </w:tc>
        <w:tc>
          <w:tcPr>
            <w:tcW w:w="920" w:type="dxa"/>
            <w:vAlign w:val="bottom"/>
            <w:gridSpan w:val="2"/>
            <w:shd w:val="clear" w:color="auto" w:fill="CCEEFF"/>
          </w:tcPr>
          <w:p>
            <w:pPr>
              <w:jc w:val="right"/>
              <w:spacing w:after="0" w:line="83" w:lineRule="exact"/>
              <w:rPr>
                <w:sz w:val="20"/>
                <w:szCs w:val="20"/>
                <w:color w:val="auto"/>
              </w:rPr>
            </w:pPr>
            <w:r>
              <w:rPr>
                <w:rFonts w:ascii="Times New Roman" w:cs="Times New Roman" w:eastAsia="Times New Roman" w:hAnsi="Times New Roman"/>
                <w:sz w:val="9"/>
                <w:szCs w:val="9"/>
                <w:color w:val="auto"/>
              </w:rPr>
              <w:t>$   76,775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901"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fair market value of our common stock as of December 31, 2020 of $1.66 as determined by the Gemini board of directors, after consideration of relevant factors, including third-party valuation report.</w:t>
      </w:r>
    </w:p>
    <w:p>
      <w:pPr>
        <w:jc w:val="both"/>
        <w:ind w:left="880" w:right="479" w:hanging="426"/>
        <w:spacing w:after="0" w:line="264" w:lineRule="auto"/>
        <w:tabs>
          <w:tab w:leader="none" w:pos="886"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stock option vest over four years with 25% of the shares vesting on the first anniversary of the vesting commencement date, and the remaining shares vesting in 36 equal monthly installments thereafter, subject to the executive’s continued service. In the event that the executive’s employment is terminated without cause or he resigns for good reason within 12 months following a “sale event” (as such term is defined in the 2017 Plan), the vesting of this stock option will fully accelerate.</w:t>
      </w:r>
    </w:p>
    <w:p>
      <w:pPr>
        <w:ind w:left="880" w:right="479" w:hanging="426"/>
        <w:spacing w:after="0" w:line="264" w:lineRule="auto"/>
        <w:tabs>
          <w:tab w:leader="none" w:pos="919"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this stock option vest in 16 equal quarterly installments over the four years following vesting commencement date, subject to Dr. Lauder’s continued service, subject to full acceleration on a change of control.</w:t>
      </w:r>
    </w:p>
    <w:p>
      <w:pPr>
        <w:jc w:val="both"/>
        <w:ind w:left="880" w:right="479" w:hanging="426"/>
        <w:spacing w:after="0" w:line="276" w:lineRule="auto"/>
        <w:tabs>
          <w:tab w:leader="none" w:pos="932"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restricted stock award granted on October 26, 2016 for a total of 480,000 shares under our 2015 Plan. The remaining unvested shares vest in two quarterly installments of 23,125 through May 16, 2021, subject to full acceleration on a change of control.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2017 Stock Option and Grant Plan</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2017 Plan, which as noted in this summary, will terminate at or prior to the Effective Time and contingent on the Closing and no further awards will be granted under our 2017 Plan.</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2017 Plan was initially approved by our board of directors and our stockholders on May 24, 2017 and most recently amended in September 2019 to increase the number of shares available for issuance under the 2017 Plan. Under our 2017 Plan, we have reserved for issuance an aggregate of 11,834,347 shares of our common stock, which number is subject to adjustment in the event of a reorganization, recapitalization, stock dividend, stock split or other similar change in our capital stock.</w:t>
      </w:r>
    </w:p>
    <w:p>
      <w:pPr>
        <w:spacing w:after="0" w:line="10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shares we issue under our 2017 Plan are authorized but unissued shares or shares we reacquire. The shares of common stock underlying any awards under the 2017 Plan and the 2015 Plan that are forfeited, cancelled, reacquired by us prior to vesting, satisfied without the issuance of common stock or otherwise terminated (other than by exercise) and shares of common stock withheld upon exercise or settlement of an award to cover the exercise price or tax withholding under our 2017 Plan and our 2015 Plan are added back to the shares of common stock available for issuance under our 2017 Plan.</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6" w:name="page187"/>
    <w:bookmarkEnd w:id="1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board of directors has acted as administrator of our 2017 Plan. The administrator has full power to select, from among the individuals eligible for awards, the individuals to whom awards will be granted, and to determine the specific terms and conditions of each award, subject to the provisions of our 2017 Plan. Persons eligible to participate in our 2017 Plan are our full or part time officers, employees, directors, consultants and other key persons as selected from time to time by the administrator in its discretion.</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2017 Plan permits the granting of (1) options to purchase common stock intended to qualify as incentive stock options under Section 422 of the Code and (2) options that do not so qualify. The exercise price of each option is determined by the administrator but may not be less than 100% of the fair market value of the common stock on the date of grant. The term of each option is fixed by the administrator and may not exceed ten years from the date of grant. The administrator determines at what time or times each option may be exercised. In addition, our 2017 Plan permits the granting of restricted shares of common stock, restricted stock units and unrestricted stock.</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Our 2017 Plan provides that upon the occurrence of a “sale event,” as defined in our 2017 Plan, all outstanding stock options will terminate at the effective time of such sale event, unless the parties to the sale event agree that such awards will be assumed or continued by the successor entity. In the event of a termination of our 2017 Plan and all options issued thereunder in connection with a sale event, optionees will be provided an opportunity to exercise options that are then exercisable or will become exercisable as of the effective time of the sale event prior to the consummation of the sale event. In addition, we have the right to provide for cash payment to holders of options, in exchange for the cancellation thereof, in an amount per share equal to the difference between the value of the consideration payable per share of common stock in the sale event and the per share exercise price of such options. In the event of and subject to the consummation of a sale event, restricted stock and restricted stock units (other than those becoming vested as a result of the sale event) will be forfeited immediately prior to the effective time of a sale event unless such awards are assumed or continued by the successor entity. In the event that shares of restricted stock are forfeited in connection with a sale event, such shares of restricted stock shall be repurchased at a price per share equal to the original per share purchase price of such shares. We have the right to provide for cash payment to holders of restricted stock or restricted stock units, in exchange for the cancellation thereof, in an amount per share equal to the value of the consideration payable per share of common stock in the sale event.</w:t>
      </w:r>
    </w:p>
    <w:p>
      <w:pPr>
        <w:spacing w:after="0" w:line="11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board of directors may amend or discontinue the 2017 Plan at any time, subject to stockholder approval where such approval is required by applicable law. The administrator of the 2017 Plan may also amend or cancel any outstanding award, provided that no such amendment or cancellation of an award may adversely affect a participant’s rights without his or her consent. The administrator of the 2017 Plan is specifically authorized to exercise its discretion to reduce the exercise price of outstanding stock options or effect the repricing of such awards through cancellation and re-grants.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 awards may be granted under our 2017 Plan after the date that is ten years from the date our 2017 Plan was adopted by the board of directors. As of September 30, 2020, options to purchase shares of common stock were outstanding under the 2017 Plan. Our 2017 Plan will terminate at or prior to the Effective Time and contingent on the Closing.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Employee, Director and Consultant Stock Option Plan</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2015 Plan, which as noted in this summary, will terminate at or prior to the Effective Time and contingent on the Closing and no further awards will be granted under our 2015 Plan.</w:t>
      </w:r>
    </w:p>
    <w:p>
      <w:pPr>
        <w:spacing w:after="0" w:line="81"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Our 2015 Plan was approved and adopted by our board of directors and stockholders in August 2015. Under the 2015 Plan, we have reserved for issuance an aggregate of 1,350,000 shares of our common stock for the issuance. This number of shares of common stock reserved for issuance is subject to adjustment in the event of a stock split, stock dividend or other change in our capitalization. As of September 30, 2020, options to purchase 905,000 shares of common stock were outstanding under the 2015 Plan. Following the adoption of the 2017 Stock Plan no further awards were made under the 2015 Plan. All outstanding awards under the 2015 Plan continue to be governed by the 2015 Plan.</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2015 Plan are added back to the shares of common stock available for issuance under the 2017 Plan.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board of directors has acted as administrator of the 2015 Plan. The administrator had full power to select, from among the individuals eligible for awards, the individuals to whom awards will be granted, to make any combination of awards to participants, and to determine the specific terms and conditions of each award, subject to the provisions of our 2015 Plan. Persons eligible to participate in our 2015 Plan were those full or part-time officers, employees, non-employee directors, and consultants as selected from time to time by the administrator in its discretion.</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2015 Plan permitted the granting of both options to purchase common stock intended to qualify as incentive stock options under Section 422 of the Code and options that do not so qualify. The option exercise price of each option was determined by our board of directors but could not be less than 100% of the fair market value of our common stock on the date of grant. The term of each option was fixed by our board of directors and could not exceed ten years from the date of grant. Our board of directors determined at what time or times each option could be exercised. In addition, our 2015 Plan permitted awards of common stock and stock rights, in each case subject to such conditions and restrictions as determined by our board of directors in its discretion. These conditions and restrictions could have included the achievement of certain performance goals and/or continued employment with us through a specified vesting period.</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2015 Plan provides that upon the effectiveness of a “corporate transaction” (as defined in our 2015 Plan), the board of directors shall: (i) make appropriate provision for the continuation of stock options by substituting on an equitable basis for the shares then subject to such options either the consideration payable with respect to the outstanding shares of common stock in connection with the corporate transaction or securities of any successor or acquiring entity; (ii) upon written notice to the participants, provide that stock options must be exercised (either (A) to the extent then exercisable or, (B) at the discretion of the board of directors, in full or in part), within a specified number of days of the date of such notice, at the end of which period such options that have not been exercised shall terminate; or (iii) terminate options in exchange for payment of an amount equal to the consideration payable upon consummation of such corporate transaction to a holder of the number of shares of common stock for which such option was exercisable (either (A) to the extent then exercisable or, (B) at the discretion of the Administrator, in full or in part) less the aggregate exercise price thereof.</w:t>
      </w:r>
    </w:p>
    <w:p>
      <w:pPr>
        <w:spacing w:after="0" w:line="11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Our board of directors or stockholders may amend our 2015 Plan and, our board of directors may discontinue the 2015 Plan. Our board of directors may amend outstanding award agreements under the 2015 Plan, but no such action may adversely affect a participant’s rights under an award without his or her consent. Our board of directors is specifically authorized to exercise its discretion to reduce the exercise price of outstanding stock options under the 2015 Plan. Certain amendments to our 2015 Plan require the approval of our stockholders.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2015 Plan provides that no awards may be granted under our 2015 Plan after the date that is ten years from the date the board approved our 2015 Plan. However, following adoption of the 2017 Stock Plan, our board of directors determined not to make any further awards under our 2015 Plan.</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Our 2015 Plan will terminate at or prior to the Effective Time and contingent on the Closing and no further awards will be granted under our 2015 Plan.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We maintain a tax-qualified retirement plan, or the 401(k) Plan, that provides eligible U.S. employees with an opportunity to save for retirement on a tax advantaged basis.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(i) who served as a non-employee member of our board of directors during 2020, (ii) who will serve as a director of the Combined Entity following the Closing, and (iii) received compensation for such service during the fiscal year ended December 31, 2020. Other than as set forth in the table and described more fully below, we did not pay any compensation, make any equity awards to, or pay any other compensation to any of the non-employee members of our board of directors who will serve as a director of the Combined Entity following the Closing. Jason Meyenburg, our President and Chief Executive Officer, did not receive any compensation for his service as a member of our board of directors during 2020. Mr. Meyenburg’s compensation for service as an employee for fiscal year 2020 is presented in “Executive compensation — 2020 Summary compensation table.”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compensation table — 2020</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2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60" w:type="dxa"/>
            <w:vAlign w:val="bottom"/>
          </w:tcPr>
          <w:p>
            <w:pPr>
              <w:spacing w:after="0"/>
              <w:rPr>
                <w:sz w:val="17"/>
                <w:szCs w:val="17"/>
                <w:color w:val="auto"/>
              </w:rPr>
            </w:pPr>
          </w:p>
        </w:tc>
        <w:tc>
          <w:tcPr>
            <w:tcW w:w="1020" w:type="dxa"/>
            <w:vAlign w:val="bottom"/>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5"/>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22"/>
                <w:szCs w:val="22"/>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8"/>
        </w:trPr>
        <w:tc>
          <w:tcPr>
            <w:tcW w:w="42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282,671</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Tuyen Ong</w:t>
            </w: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11,358</w:t>
            </w:r>
          </w:p>
        </w:tc>
        <w:tc>
          <w:tcPr>
            <w:tcW w:w="2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258,296</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269,654</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74" w:lineRule="auto"/>
        <w:tabs>
          <w:tab w:leader="none" w:pos="986"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 “Option Awards” column reflect the aggregate grant date fair value of share- based compensation awarded during the year computed in accordance with the provisions of Financial Accounting Standards Board Accounting Standards Codification, or ASC, Topic 718. See Note 10 to Gemini’s consolidated financial statements appearing at the end of this prospectus regarding assumptions underlying the valuation of equity awards.</w:t>
      </w:r>
    </w:p>
    <w:p>
      <w:pPr>
        <w:spacing w:after="0" w:line="3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Prior to the Closing, our board of directors plans to adopt a non-employee director compensation policy, that is designed to enable us to attract and retain, on a long-term basis, highly qualified non-employee directors. Under the policy, each director who is not an employee will be paid cash compensation following the Closing, as set forth below:</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Annual</w:t>
            </w:r>
          </w:p>
        </w:tc>
      </w:tr>
      <w:tr>
        <w:trPr>
          <w:trHeight w:val="212"/>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Retainer</w:t>
            </w:r>
          </w:p>
        </w:tc>
      </w:tr>
      <w:tr>
        <w:trPr>
          <w:trHeight w:val="47"/>
        </w:trPr>
        <w:tc>
          <w:tcPr>
            <w:tcW w:w="6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Board of Directors Chair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40"/>
        </w:trPr>
        <w:tc>
          <w:tcPr>
            <w:tcW w:w="6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2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each non-employee elected or appointed to our board of directors following the closing of the Business Combination will be granted a one-time stock option award to purchase a number of shares of Common Stock equal to 0.8% of the total shares outstanding on the date of such director’s election or appointment to the board of directors, which will vest in equal monthly installments over three years, subject to continued service through such vesting dates (such grants will be made no earlier than following the effectiveness of the filing with the SEC of a registration statement on Form S-8 covering the Common Stock). On the date of each annual meeting of stockholders of our company, each non-employee director will be granted an annual stock option award to purchase a number of shares of Common Stock equal to 0.4% of the total shares outstanding, which will vest in full of the earlier to occur of the first anniversary of the date of grant or the next annual meeting, subject to continued service as a director through such vesting date.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9" w:name="page190"/>
    <w:bookmarkEnd w:id="1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AFTER THE BUSINESS COMBINATION</w:t>
      </w:r>
    </w:p>
    <w:p>
      <w:pPr>
        <w:spacing w:after="0" w:line="227" w:lineRule="exact"/>
        <w:rPr>
          <w:sz w:val="20"/>
          <w:szCs w:val="20"/>
          <w:color w:val="auto"/>
        </w:rPr>
      </w:pPr>
    </w:p>
    <w:p>
      <w:pPr>
        <w:jc w:val="both"/>
        <w:ind w:left="460" w:right="45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subsection to “we”, “us” and “our” generally refer to FS Development in the present tense or the Combined Entity from and after the Business Combination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following persons are expected to serve as executive officers and directors following the Business Combination. For biographical information concerning the Gemini executive officers and Gemini designees to the board of directors, see “</w:t>
      </w:r>
      <w:r>
        <w:rPr>
          <w:rFonts w:ascii="Times New Roman" w:cs="Times New Roman" w:eastAsia="Times New Roman" w:hAnsi="Times New Roman"/>
          <w:sz w:val="18"/>
          <w:szCs w:val="18"/>
          <w:i w:val="1"/>
          <w:iCs w:val="1"/>
          <w:color w:val="auto"/>
        </w:rPr>
        <w:t>Executive Officers and Directors of Gemini</w:t>
      </w:r>
      <w:r>
        <w:rPr>
          <w:rFonts w:ascii="Times New Roman" w:cs="Times New Roman" w:eastAsia="Times New Roman" w:hAnsi="Times New Roman"/>
          <w:sz w:val="18"/>
          <w:szCs w:val="18"/>
          <w:color w:val="auto"/>
        </w:rPr>
        <w:t>.” For biographical information concerning the FS Development designee to the board of directors see “</w:t>
      </w:r>
      <w:r>
        <w:rPr>
          <w:rFonts w:ascii="Times New Roman" w:cs="Times New Roman" w:eastAsia="Times New Roman" w:hAnsi="Times New Roman"/>
          <w:sz w:val="18"/>
          <w:szCs w:val="18"/>
          <w:i w:val="1"/>
          <w:iCs w:val="1"/>
          <w:color w:val="auto"/>
        </w:rPr>
        <w:t>Executive Officers and Directors of 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w:t>
      </w:r>
      <w:r>
        <w:rPr>
          <w:rFonts w:ascii="Times New Roman" w:cs="Times New Roman" w:eastAsia="Times New Roman" w:hAnsi="Times New Roman"/>
          <w:sz w:val="18"/>
          <w:szCs w:val="18"/>
          <w:color w:val="auto"/>
        </w:rPr>
        <w:t>.”</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3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00" w:type="dxa"/>
            <w:vAlign w:val="bottom"/>
          </w:tcPr>
          <w:p>
            <w:pPr>
              <w:spacing w:after="0"/>
              <w:rPr>
                <w:sz w:val="20"/>
                <w:szCs w:val="20"/>
                <w:color w:val="auto"/>
              </w:rPr>
            </w:pPr>
          </w:p>
        </w:tc>
        <w:tc>
          <w:tcPr>
            <w:tcW w:w="442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4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0"/>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63"/>
        </w:trPr>
        <w:tc>
          <w:tcPr>
            <w:tcW w:w="3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 Ph.D.</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5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Uknis, M.D.</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40"/>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84"/>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George</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Gordon, Ph.D., CFA</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1"/>
        </w:trPr>
        <w:tc>
          <w:tcPr>
            <w:tcW w:w="2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20" w:type="dxa"/>
            <w:vAlign w:val="bottom"/>
          </w:tcPr>
          <w:p>
            <w:pPr>
              <w:spacing w:after="0"/>
              <w:rPr>
                <w:sz w:val="3"/>
                <w:szCs w:val="3"/>
                <w:color w:val="auto"/>
              </w:rPr>
            </w:pPr>
          </w:p>
        </w:tc>
      </w:tr>
      <w:tr>
        <w:trPr>
          <w:trHeight w:val="28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Lubner</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Tuyen Ong, M.D., MRCOphth</w:t>
            </w:r>
            <w:r>
              <w:rPr>
                <w:rFonts w:ascii="Times New Roman" w:cs="Times New Roman" w:eastAsia="Times New Roman" w:hAnsi="Times New Roman"/>
                <w:sz w:val="20"/>
                <w:szCs w:val="20"/>
                <w:color w:val="auto"/>
                <w:vertAlign w:val="superscript"/>
              </w:rPr>
              <w:t>(1)</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Rhodes</w:t>
            </w:r>
            <w:r>
              <w:rPr>
                <w:rFonts w:ascii="Times New Roman" w:cs="Times New Roman" w:eastAsia="Times New Roman" w:hAnsi="Times New Roman"/>
                <w:sz w:val="20"/>
                <w:szCs w:val="20"/>
                <w:color w:val="auto"/>
                <w:vertAlign w:val="superscript"/>
              </w:rPr>
              <w:t>(1)</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9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(2)</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hanging="426"/>
        <w:spacing w:after="0"/>
        <w:tabs>
          <w:tab w:leader="none" w:pos="88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Designee</w:t>
      </w:r>
    </w:p>
    <w:p>
      <w:pPr>
        <w:spacing w:after="0" w:line="26"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Designee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Combined Entity’s board of directors will consist of seven members upon the closing of the Business Combination. In accordance with the Proposed Charter to be filed, immediately after the Closing, the board of directors will be divided into three classes. At each annual general meeting of stockholders, the successors to directors whose terms then expire will be elected to serve from the time of election and qualification until the third annual meeting following the election. The directors will be divided among the three classes as follows:</w:t>
      </w:r>
    </w:p>
    <w:p>
      <w:pPr>
        <w:spacing w:after="0" w:line="89" w:lineRule="exact"/>
        <w:rPr>
          <w:sz w:val="20"/>
          <w:szCs w:val="20"/>
          <w:color w:val="auto"/>
        </w:rPr>
      </w:pPr>
    </w:p>
    <w:p>
      <w:pPr>
        <w:ind w:left="1320" w:right="479" w:hanging="434"/>
        <w:spacing w:after="0" w:line="282" w:lineRule="auto"/>
        <w:tabs>
          <w:tab w:leader="none" w:pos="136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Jean George and Dr. Carl Gordon their terms will expire at the annual meeting of stockholders to be held in 2021;</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David Lubner, Dr. Tuyen Ong, and Jason Rhodes, and their terms will expire at the annual meeting of stockholders to be held in 2022;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Jason Meyenburg and Dr. Jim Tananbaum, and their terms will expire at the annual meeting of stockholders to be held in 2023.</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Combined Entity’s board of directors will have the authority to appoint committees to perform certain management and administration functions. FS Development’s current board of directors has established an audit committee, a compensation committee, and a nominating and corporate governance committee. The composition and responsibilities of each committee are described below. Members will serve on these committees until their resignation or until otherwise determined by the board of directors. Following the Closing, the charters for each of these committees will be available on Gemini’s website at </w:t>
      </w:r>
      <w:r>
        <w:rPr>
          <w:rFonts w:ascii="Times New Roman" w:cs="Times New Roman" w:eastAsia="Times New Roman" w:hAnsi="Times New Roman"/>
          <w:sz w:val="18"/>
          <w:szCs w:val="18"/>
          <w:i w:val="1"/>
          <w:iCs w:val="1"/>
          <w:color w:val="auto"/>
        </w:rPr>
        <w:t>www.geminitherapeutics.com</w:t>
      </w:r>
      <w:r>
        <w:rPr>
          <w:rFonts w:ascii="Times New Roman" w:cs="Times New Roman" w:eastAsia="Times New Roman" w:hAnsi="Times New Roman"/>
          <w:sz w:val="18"/>
          <w:szCs w:val="18"/>
          <w:color w:val="auto"/>
        </w:rPr>
        <w:t>. Information contained on or accessible through Gemini’s website is not a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proxy statement/prospectus, and the inclusion of such website address in this proxy statement/prospectus is an inactive textual reference only.</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0" w:name="page191"/>
    <w:bookmarkEnd w:id="1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Combined Entity’s audit committee is expected to consist of Dr. Carl Gordon, David Lubner and Jason Rhodes. The Board has determined each proposed member of the audit committee is independent under the listing standards of the Nasdaq Stock Market, or the Listing Standards, and Rule 10A-3(b)(1) of the Exchange Act. The chairperson of the audit committee is expected to be David Lubner. The Board has determined that David Lubner is an “audit committee financial expert” within the meaning of SEC regulations. The Board has also determined that each member of the proposed audit committee has the requisite financial expertise required under the applicable requirements of the Nasdaq Stock Market. In arriving at this determination, the board of directors has examined each audit committee member’s scope of experience and the nature of their employment in the corporate finance sector.</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the board of directors with respect to our accounting, financial, and other reporting and internal control practices and to oversee our independent registered accounting firm. Specific responsibilities of our audit committee include:</w:t>
      </w:r>
    </w:p>
    <w:p>
      <w:pPr>
        <w:spacing w:after="0" w:line="108" w:lineRule="exact"/>
        <w:rPr>
          <w:sz w:val="20"/>
          <w:szCs w:val="20"/>
          <w:color w:val="auto"/>
        </w:rPr>
      </w:pPr>
    </w:p>
    <w:p>
      <w:pPr>
        <w:ind w:left="1320" w:right="479" w:hanging="434"/>
        <w:spacing w:after="0" w:line="282" w:lineRule="auto"/>
        <w:tabs>
          <w:tab w:leader="none" w:pos="136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the Combined Entity’s financial statements;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2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4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policies on risk assessment and risk management;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the Combined Entity’s internal quality-control procedures, any material issues with such procedures, and any steps taken to deal with such issues when required by applicable law; and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5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compensation committee is expected to consist of Jean George, Dr. Tuyen Ong, and Dr. Jim Tananbaum. The Board has determined each proposed member is a “non-employee director” as defined in Rule 16b-3 promulgated under the Exchange Act and an “outside director” as that term is defined in Section 162(m) of the Internal Revenue Code of 1986, as amended, or the Code. The Board has determined each proposed member of the compensation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compensation committee if such membership is in the best interests of our company and our shareholders and (ii) such member does not serve longer than two years. The Board has elected to rely on this limited exception in appointing Dr. Jim Tananbaum as a member of the compensation committee. In making this election, the Board considered Dr. Tananbaum’s extensive experience in the life sciences industry and the marketplace for life science executives in making this decision. The chairperson of the compensation committee is expected to be Dr. Tuyen Ong.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responsibilities of the compensation committee will include:</w:t>
      </w:r>
    </w:p>
    <w:p>
      <w:pPr>
        <w:spacing w:after="0" w:line="144" w:lineRule="exact"/>
        <w:rPr>
          <w:sz w:val="20"/>
          <w:szCs w:val="20"/>
          <w:color w:val="auto"/>
        </w:rPr>
      </w:pPr>
    </w:p>
    <w:p>
      <w:pPr>
        <w:ind w:left="1320" w:right="479" w:hanging="434"/>
        <w:spacing w:after="0" w:line="282" w:lineRule="auto"/>
        <w:tabs>
          <w:tab w:leader="none" w:pos="137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of our executive officers;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1" w:name="page192"/>
    <w:bookmarkEnd w:id="1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52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terms of compensatory arrangements with our executive officers;</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independent compensation consultants and assessing whether there are any conflicts of interest with any of the committee’s compensation advisors;</w:t>
      </w:r>
    </w:p>
    <w:p>
      <w:pPr>
        <w:spacing w:after="0" w:line="53"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63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53"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is expected to consist of Jean George, Jason Rhodes and Dr. Jim Tananbaum. The Board has determined each proposed member of the nominating and corporate governance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nominating and corporate governance committee if such membership is in the best interests of our company and our shareholders and (ii) such member does not serve longer than two years. The Board has elected to rely on this limited exception in appointing Dr. Jim Tananbaum as a member of the nominating and corporate governance committee. In making this election, the Board considered Dr. Tananbaum’s extensive experience in the life sciences industry and in serving on the board of directors of numerous organizations. The chairperson of our nominating and corporate governance committee is expected to be Jean George.</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44" w:lineRule="exact"/>
        <w:rPr>
          <w:sz w:val="20"/>
          <w:szCs w:val="20"/>
          <w:color w:val="auto"/>
        </w:rPr>
      </w:pPr>
    </w:p>
    <w:p>
      <w:pPr>
        <w:ind w:left="1320" w:right="479" w:hanging="434"/>
        <w:spacing w:after="0" w:line="282" w:lineRule="auto"/>
        <w:tabs>
          <w:tab w:leader="none" w:pos="158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management succession plans; and</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Combined Entity will adopt a Code of Business Conduct and Ethics that applies to all of its employees, officers and directors, including those officers responsible for financial reporting. Following the Closing of the Business Combination, the Code of Business Conduct and Ethics will be available on Gemini’s website at </w:t>
      </w:r>
      <w:r>
        <w:rPr>
          <w:rFonts w:ascii="Times New Roman" w:cs="Times New Roman" w:eastAsia="Times New Roman" w:hAnsi="Times New Roman"/>
          <w:sz w:val="18"/>
          <w:szCs w:val="18"/>
          <w:i w:val="1"/>
          <w:iCs w:val="1"/>
          <w:color w:val="auto"/>
        </w:rPr>
        <w:t>www.geminitherapeutics.com</w:t>
      </w:r>
      <w:r>
        <w:rPr>
          <w:rFonts w:ascii="Times New Roman" w:cs="Times New Roman" w:eastAsia="Times New Roman" w:hAnsi="Times New Roman"/>
          <w:sz w:val="18"/>
          <w:szCs w:val="18"/>
          <w:color w:val="auto"/>
        </w:rPr>
        <w:t>. Information contained on or accessible through such website is not a part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statement/prospectus, and the inclusion of the website address in this proxy statement/prospectus is an inactive textual reference only. The Combined Entity intends to disclose any amendments to the Code of Business Conduct and Ethics, or any waivers of its requirements, on its website to the extent required by the applicable rules and exchange requirements.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 member of the Combined Entity’s compensation committee has ever been an officer or employee of either company. None of the Combined Entity’s expected executive officers serve, or have served during the last year, as a member of the board of directors, compensation committee, or other board committee performing equivalent functions of any other entity that has one or more executive officers serving as one of our directors or on either company’s compensation committee.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2" w:name="page193"/>
    <w:bookmarkEnd w:id="1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FINANCIAL AND OTHER DATA OF GEMINI</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tables summarize Gemini’s financial and other data. Gemini has derived the selected statements of operations data for the years ended December 31, 2018 and 2019 and the selected balance sheet data as of December 31, 2019 from its audited financial statements included elsewhere in this proxy statement/prospectus. The selected statements of operations data for the six months ended September 30, 2019 and 2020 and the selected balance sheet data as of September 30, 2020 are derived from Gemini’s unaudited interim condensed financial statements included elsewhere in this proxy statement/prospectus. Gemini’s unaudited interim condensed financial statements were prepared on a basis consistent with its audited financial statements and include, in management’s opinion, all adjustments, consisting only of normal recurring adjustments, that Gemini considers necessary for a fair presentation of the financial information set forth in those statements included elsewhere in this proxy statement/prospectus. Gemini’s historical results are not necessarily indicative of the results that may be expected in any future period, and interim financial results are not necessarily indicative of the results that may be expected for the full year.</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You should read this data together with Gemini’s financial statements and related notes included elsewhere in this proxy statement/prospectus and the section titled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of Gemini</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Statements of Operations and Comprehensive Loss Data:</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6"/>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8"/>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8"/>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38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38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14,651</w:t>
            </w:r>
          </w:p>
        </w:tc>
        <w:tc>
          <w:tcPr>
            <w:tcW w:w="26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0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5,540</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5"/>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21"/>
                <w:szCs w:val="21"/>
                <w:color w:val="auto"/>
              </w:rPr>
            </w:pPr>
          </w:p>
        </w:tc>
        <w:tc>
          <w:tcPr>
            <w:tcW w:w="8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4"/>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4"/>
        </w:trPr>
        <w:tc>
          <w:tcPr>
            <w:tcW w:w="38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80" w:type="dxa"/>
            <w:vAlign w:val="bottom"/>
            <w:vMerge w:val="continue"/>
          </w:tcPr>
          <w:p>
            <w:pPr>
              <w:spacing w:after="0"/>
              <w:rPr>
                <w:sz w:val="24"/>
                <w:szCs w:val="24"/>
                <w:color w:val="auto"/>
              </w:rPr>
            </w:pPr>
          </w:p>
        </w:tc>
        <w:tc>
          <w:tcPr>
            <w:tcW w:w="140" w:type="dxa"/>
            <w:vAlign w:val="bottom"/>
            <w:gridSpan w:val="2"/>
          </w:tcPr>
          <w:p>
            <w:pPr>
              <w:spacing w:after="0"/>
              <w:rPr>
                <w:sz w:val="24"/>
                <w:szCs w:val="24"/>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vMerge w:val="continue"/>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gridSpan w:val="3"/>
          </w:tcPr>
          <w:p>
            <w:pPr>
              <w:jc w:val="center"/>
              <w:ind w:lef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520" w:type="dxa"/>
            <w:vAlign w:val="bottom"/>
            <w:gridSpan w:val="4"/>
          </w:tcPr>
          <w:p>
            <w:pPr>
              <w:jc w:val="right"/>
              <w:ind w:right="1"/>
              <w:spacing w:after="0"/>
              <w:rPr>
                <w:sz w:val="20"/>
                <w:szCs w:val="20"/>
                <w:color w:val="auto"/>
              </w:rPr>
            </w:pPr>
            <w:r>
              <w:rPr>
                <w:rFonts w:ascii="Times New Roman" w:cs="Times New Roman" w:eastAsia="Times New Roman" w:hAnsi="Times New Roman"/>
                <w:sz w:val="18"/>
                <w:szCs w:val="18"/>
                <w:color w:val="auto"/>
                <w:w w:val="96"/>
              </w:rPr>
              <w:t>(8.01)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9"/>
              </w:rPr>
              <w:t>4,811,641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5"/>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9"/>
              </w:rPr>
              <w:t>5,171,537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5,133,773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5,507,900</w:t>
            </w:r>
          </w:p>
        </w:tc>
        <w:tc>
          <w:tcPr>
            <w:tcW w:w="0" w:type="dxa"/>
            <w:vAlign w:val="bottom"/>
          </w:tcPr>
          <w:p>
            <w:pPr>
              <w:spacing w:after="0"/>
              <w:rPr>
                <w:sz w:val="1"/>
                <w:szCs w:val="1"/>
                <w:color w:val="auto"/>
              </w:rPr>
            </w:pPr>
          </w:p>
        </w:tc>
      </w:tr>
      <w:tr>
        <w:trPr>
          <w:trHeight w:val="392"/>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Balance Sheet Data:</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5"/>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3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4"/>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8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4"/>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21,608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6,144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carrying value</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 and discount</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16,576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4"/>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60,365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(30,584)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(71,984)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(98,506)</w:t>
            </w: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gridSpan w:val="5"/>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(88,727)</w:t>
            </w:r>
          </w:p>
        </w:tc>
        <w:tc>
          <w:tcPr>
            <w:tcW w:w="0" w:type="dxa"/>
            <w:vAlign w:val="bottom"/>
          </w:tcPr>
          <w:p>
            <w:pPr>
              <w:spacing w:after="0"/>
              <w:rPr>
                <w:sz w:val="1"/>
                <w:szCs w:val="1"/>
                <w:color w:val="auto"/>
              </w:rPr>
            </w:pPr>
          </w:p>
        </w:tc>
      </w:tr>
      <w:tr>
        <w:trPr>
          <w:trHeight w:val="40"/>
        </w:trPr>
        <w:tc>
          <w:tcPr>
            <w:tcW w:w="3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3" w:name="page194"/>
    <w:bookmarkEnd w:id="1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OF GEMINI</w:t>
      </w:r>
    </w:p>
    <w:p>
      <w:pPr>
        <w:spacing w:after="0" w:line="7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Gemini’s financial condition and results of operations should be read in conjunction with its financial statements and related notes that appear elsewhere in this proxy statement/prospectus. In addition to historical financial information, the following discussion contains forward-looking statements that reflect Gemini’s plans, estimates and beliefs. Gemini’s actual results could differ materially from those discussed in the forward-looking statements. Factors that could cause or contribute to these differences include those discussed below and elsewhere particularly in the sections titled “Risk Factors” and “</w:t>
      </w:r>
      <w:r>
        <w:rPr>
          <w:rFonts w:ascii="Times New Roman" w:cs="Times New Roman" w:eastAsia="Times New Roman" w:hAnsi="Times New Roman"/>
          <w:sz w:val="18"/>
          <w:szCs w:val="18"/>
          <w:color w:val="auto"/>
        </w:rPr>
        <w:t>Cautionary Note Regarding Forward-Looking Statements</w:t>
      </w:r>
      <w:r>
        <w:rPr>
          <w:rFonts w:ascii="Times New Roman" w:cs="Times New Roman" w:eastAsia="Times New Roman" w:hAnsi="Times New Roman"/>
          <w:sz w:val="18"/>
          <w:szCs w:val="18"/>
          <w:i w:val="1"/>
          <w:iCs w:val="1"/>
          <w:color w:val="auto"/>
        </w:rPr>
        <w:t>” included elsewhere in this proxy statement/prospectus.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is a clinical-stage precision medicine company developing novel therapeutic compounds to treat genetically defined, age-related macular degeneration (AMD). Gemini’s lead product candidate, GEM103, is a recombinant form of the human complement factor H protein (CFH) and is designed to address complement hyperactivity and restore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9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seeking to complete a merger with FS Development, which would result in FS Development acquiring 100% of the Company’s issued and outstanding securities. Together with FS Development’s cash resources, additional funding for Gemini’s operations would be provided through a Private Investment in Public Equity (“PIPE”) offering to be completed concurrently with the merger. In the event a merger is not consummated, Gemini may be required to obtain additional funding whether through future collaboration agreements, private or public offerings, debt or a combination thereof and such additional funding may not be available on terms Gemini finds acceptable or favorable. There is inherent uncertainty associated with these fundraising activities and they are not considered probable. If Gemini is unable to obtain sufficient capital to continue to advance its programs, Gemini would be forced to delay, reduce or eliminate its research and development programs and any future commercialization efforts. Accordingly, substantial doubt is deemed to exist about Gemini’s ability to continue as a going concern within 12 months following the date its audited financial statements for December 31, 2019 were issued.</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Since inception in 2015, Gemini has devoted substantially all its efforts and financial resources to organizing and staffing its company, business planning, raising capital, discovering product candidates and securing related intellectual property rights and conducting research and development activities for its product candidates. Gemini does not have any products approved for sale and it has not generated any revenue from product sales. Gemini may never be able to develop or commercialize a marketable product.</w:t>
      </w:r>
    </w:p>
    <w:p>
      <w:pPr>
        <w:spacing w:after="0" w:line="1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lead product candidate, GEM103, is in Phase 2a clinical development and its other product candidates and its research initiatives are in preclinical or earlier stages of development. Gemini’s ability to generate revenue from product sales sufficient to achieve profitability will depend heavily on the successful development and eventual commercialization of one or more of its product candidates. Gemini has not yet successfully completed any pivotal clinical trials, nor has it obtained any regulatory approvals, manufactured a commercial-scale drug, or conducted sales and marketing activities. Through September 30, 2020, Gemini had received gross proceeds of $76.0 million from the sale of its preferred stock, gross proceeds of $16.9 million from borrowings under convertible promissory notes and $10.0 million from its term loan facility with Silicon Valley Bank, or SVB.</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expects to continue to incur net losses for the foreseeable future, and it expects its research and development expenses, and general and administrative expenses to continue to increase. Gemini has incurred significant operating losses since inception. Gemini’s net losses were $20.2 million and $41.4 million for the years ended December 31, 2018 and 2019, respectively. Gemini’s net losses were $31.7 million and $26.5 million for the nine months ended September 30, 2019 and 2020, respectively. As of December 31, 2019 and September 30, 2020, Gemini had an accumulated deficit of $72.0 million and $98.5 million, respectively. Gemini expects that its expenses and capital requirements will increase substantially in connection with its ongoing development activities, particularly if and as it:</w:t>
      </w:r>
    </w:p>
    <w:p>
      <w:pPr>
        <w:spacing w:after="0" w:line="97" w:lineRule="exact"/>
        <w:rPr>
          <w:sz w:val="20"/>
          <w:szCs w:val="20"/>
          <w:color w:val="auto"/>
        </w:rPr>
      </w:pPr>
    </w:p>
    <w:p>
      <w:pPr>
        <w:ind w:left="1320" w:right="479" w:hanging="434"/>
        <w:spacing w:after="0" w:line="282" w:lineRule="auto"/>
        <w:tabs>
          <w:tab w:leader="none" w:pos="133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continues preclinical studies and continues existing and initiates new clinical trials for GEM103, its lead product candidate being tested in AMD;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4" w:name="page195"/>
    <w:bookmarkEnd w:id="1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39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the development of its product candidate pipeline of other product candidates, including through business development efforts to invest in or in-license other technologies or product candidates;</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maintains, expands and protects its intellectual property portfolio;</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additional clinical, quality control, medical, scientific and other technical personnel to support Gemini’s clinical operations;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seeks regulatory approvals for any product candidates that successfully complete clinical trials;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5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any pre-commercialization activities to establish sales, marketing and distribution capabilities for any product candidates for which Gemini may receive regulatory approval;</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its infrastructure and facilities to accommodate its growing employee base; and</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adds operational, financial and management information systems and personnel, including personnel to support its research and development programs, any future commercialization efforts and its transition to operating as a public company following the Closing.</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Furthermore, upon the Closing, Gemini expects to incur additional costs associated with operating as a public company, including significant legal, accounting, investor relations and other expenses that it did not incur as a private company.</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a result, Gemini will need substantial additional funding to support its continuing operations and pursue its growth strategy. Until such time as it can generate significant revenue from product sales, if ever, Gemini expects to finance its operations through a combination of private and public equity offerings, debt financings or other capital sources, which may include collaborations with other companies or other strategic transactions. To the extent that Gemini raises additional capital through the sale of private or public equity or convertible debt securities, existing ownership interests will be diluted, and the terms of these securities may include liquidation or other preferences that adversely affect the rights of Gemini Equityholders. Debt financing and preferred equity financing, if available, may involve agreements that include covenants limiting or restricting Gemini’s ability to take specific actions, such as incurring additional debt, making acquisitions or capital expenditures or declaring dividends. If Gemini raises additional funds through collaborations or other strategic transactions with third parties, Gemini may have to relinquish valuable rights to its technologies, future revenue streams, research programs or drug candidates, or grant licenses on terms that may not be favorable to Gemini. Gemini may be unable to raise additional funds or enter into such other agreements or arrangements when needed on favorable terms, or at all. If it fails to raise capital or enter into such agreements as and when needed, Gemini may have to significantly delay, scale back or discontinue the development and commercialization of one or more of its product candidates or delay its pursuit of potential in-licenses or acquisitions.</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Gemini is unable to predict the timing or amount of increased expenses or when or if it will be able to achieve or maintain profitability. Even if Gemini is able to generate product sales, it may not become profitable. If it fails to become profitable or is unable to sustain profitability on a continuing basis, Gemini may be unable to continue its operations at planned levels and be forced to reduce or terminate its operations.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Gemini has incurred significant operating losses since its inception and as of September 30, 2020, had an accumulated deficit of $98.5 million and had not yet generated revenues. In addition, Gemini expects to continue to incur significant and increasing expenses and operating losses for the foreseeable future. These factors raise substantial doubt about its ability to continue as a going concern. Management believes that its cash resources will not be sufficient to allow Gemini to fund current planned operations beyond the next twelve months from the date of this proxy statement/prospectus without additional capital. Gemini believes, however, that the net proceeds from the Business Combination and the PIPE Investment, together with its available resources and existing cash and cash equivalents, will enable it to fund its operating expenses and capital expenditure requirements into 2022. Gemini has based this estimate on assumptions that may prove to be wrong, and it could exhaust its available capital resources sooner than it expects. See “—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 Gemini’s future viability beyond that point is dependent on its ability to raise additional capital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its operations.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COVID-19 pandemic</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March 2020, the WHO declared the COVID-19 outbreak a pandemic. To date, Gemini’s financial condition and operations have not been significantly impacted by the COVID-19 pandemic. However, Gemini cannot at this time predict the specific extent, duration, or full impact that the COVID-19 pandemic will have on its financial condition and operations, including ongoing and planned clinical trials and other operations required to support those clinical trials and research and development activities to advance Gemini’s pipeline. The impact of the COVID-19 pandemic on its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and cannot be predicted. If the financial markets and/or the overall economy are impacted for an extended period, Gemini’s results may be materially adversely affected.</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August 21, 2020, Gemini entered into a purchase agreement with existing investors to issue $14,000,000 in convertible promissory notes, or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Notes served as a bridge loan prior to PIPE Investment in connection with the proposed merger of Gemini and FS Development.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Proposed Business Combination Transaction</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October 15, 2020, FS Development executed a definitive merger agreement among it, Merger Sub, Gemini and the Shareholders Representative. As a result of the proposed Business Combination, FS Development will be renamed to Gemini Therapeutics, Inc., or the Combined Entity, and Gemini will become a wholly-owned subsidiary of the Combined Entity. In connection with the Business Combination, the stockholders of Gemini will exchange their interests in Gemini for shares of FS Development Class A Common Stock. In addition, Gemini’s existing equity incentive plan will be terminated; awards issued under Gemini’s existing equity incentive plan will be exchanged for awards issued under a new equity incentive plan to be adopted by the Combined Entity. Lastly, in connection with the Business Combination, certain investors have agreed to subscribe for and purchase an aggregate of $95,060,000 of FS Development Class A Common Stock. The Combined Entity is expected to receive net proceeds of approximately $191.2 million at the Closing (assuming no redemptions are effected by stockholders of FS Development) and will continue to operate under the Gemini management team, led by chief executive officer Jason Meyenburg. The boards of directors of both FS Development and Gemini have approved the proposed transaction. Completion of the transaction, which is expected by the first quarter of 2021, is subject to approval of FS Development stockholders and the satisfaction or waiver of certain other customary closing conditions.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Gemini’s Operating Results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Gemini has not generated any revenue since inception and does not expect to generate any revenue from the sale of products in the near future, if at all. If Gemini’s development efforts are successful and it commercializes it’s products, or if it enters into collaboration or license agreements with third parties, it may generate revenue in the future from product sales, as well as upfront, milestone and royalty payments from such collaboration or license agreements, or a combination thereof.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research activities, including drug discovery efforts and the development of Gemini’s product candidates. Gemini expenses research and development costs as incurred, which include:</w:t>
      </w:r>
    </w:p>
    <w:p>
      <w:pPr>
        <w:spacing w:after="0" w:line="108" w:lineRule="exact"/>
        <w:rPr>
          <w:sz w:val="20"/>
          <w:szCs w:val="20"/>
          <w:color w:val="auto"/>
        </w:rPr>
      </w:pPr>
    </w:p>
    <w:p>
      <w:pPr>
        <w:ind w:left="1320" w:right="479" w:hanging="434"/>
        <w:spacing w:after="0" w:line="282" w:lineRule="auto"/>
        <w:tabs>
          <w:tab w:leader="none" w:pos="137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preclinical studies and clinical trials required to obtain regulatory approval;</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4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CROs that are primarily engaged in the oversight and conduct of its drug discovery efforts and preclinical studies, clinical trials and CMOs that are primarily engaged to provide preclinical and clinical drug substance and product for its research and development programs;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7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related to acquiring and manufacturing materials in connection with its drug discovery efforts and preclinical studies and clinical trial materials, including manufacturing validation batches, as well as investigative sites and consultants that conduct its clinical trials, preclinical studies and other scientific development services;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cash or equity securities under third-party licensing, acquisition and option agreements;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3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benefits, travel and stock-based compensation expense for employees engaged in research and development functions;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facilities-related costs, depreciation and other expenses, which include rent and utilities.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recognizes external development costs as incurred. Any advance payments that Gemini makes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Gemini estimates and accrues for the value of goods and services received from CROs and other third parties each reporting period based on an evaluation of the progress to completion of specific tasks using information provided to it by its service providers. This process involves reviewing open contracts and purchase orders, communicating with its personnel to identify services that have been performed on its behalf and estimating the level of service performed and the associated cost incurred for the service when Gemini has not yet been invoiced or otherwise notified of actual costs.</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does not track its research and development expenses on a program-by-program basis. Its direct external research and development expenses consist primarily of external costs, such as fees paid to outside consultants, CROs, CMOs and research laboratories in connection with its preclinical development, process development, manufacturing and clinical development activities. Gemini does not allocate employee costs, costs associated with its discovery efforts, laboratory supplies, and facilities, including depreciation or other indirect costs, to specific programs because these costs are deployed across multiple programs and, as such, are not separately classified. Gemini uses internal resources primarily to conduct its research and discovery as well as for managing its preclinical development, process development, manufacturing and clinical development activities. These employees work across multiple programs and, therefore, it does not track their costs by program.</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Gemini’s business model. Product candidates in later stages of clinical development generally have higher development costs than those in earlier stages of clinical development, primarily due to the increased size and duration of later-stage clinical trials. As a result, Gemini expects that its research and development expenses will increase substantially over the next several years as it continues its existing, and commences additional, planned clinical trials for GEM103, as well as conduct other preclinical and clinical development, including submitting regulatory filings for its other product candidates. Gemini also expects its discovery research efforts and its related personnel costs will increase and, as a result, it expects its research and development expenses, including costs associated with stock-based compensation, will increase above historical levels. In addition, it may incur additional expenses related to milestone and royalty payments payable to third parties with whom it may enter into license, acquisition and option agreements to acquire the rights to future product candidates.</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7" w:name="page198"/>
    <w:bookmarkEnd w:id="1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this time, Gemini cannot reasonably estimate or know the nature, timing and costs of the efforts that will be necessary to complete the preclinical and clinical development of any of its product candidates or when, if ever, material net cash inflows may commence from any of its product candidates. The successful development and commercialization of its product candidates is highly uncertain. This uncertainty is due to the numerous risks and uncertainties associated with product development and commercialization, including the uncertainty of the following:</w:t>
      </w:r>
    </w:p>
    <w:p>
      <w:pPr>
        <w:spacing w:after="0" w:line="120" w:lineRule="exact"/>
        <w:rPr>
          <w:sz w:val="20"/>
          <w:szCs w:val="20"/>
          <w:color w:val="auto"/>
        </w:rPr>
      </w:pPr>
    </w:p>
    <w:p>
      <w:pPr>
        <w:ind w:left="1320" w:right="479" w:hanging="434"/>
        <w:spacing w:after="0" w:line="282" w:lineRule="auto"/>
        <w:tabs>
          <w:tab w:leader="none" w:pos="139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outcome and costs of its preclinical development activities, clinical trials and other research and development activities;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and efficacy profile with IND enabling studies;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and completion of clinical trials;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5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 including the FDA and non-U.S. regulators;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6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clinical and commercial manufacturing capabilities or making arrangements with third-party manufacturers in order to ensure that it or its third-party manufacturers are able to make product successfully;</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timely delivery of clinical-grade and commercial-grade drug formulations that can be used in its clinical trials and for commercial launch;</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patent claims and other intellectual property rights;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its product candidates, if and when approved, whether alone or in collaboration with others;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1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its product candidates following approval, if any, of its product candidates.</w:t>
      </w:r>
    </w:p>
    <w:p>
      <w:pPr>
        <w:spacing w:after="0" w:line="8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its product candidates in preclinical and clinical development could mean a significant change in the costs and timing associated with the development of these product candidates. For example, if the FDA or another regulatory authority were to delay its planned start of clinical trials or require it to conduct clinical trials or other testing beyond those that it currently expects or if it experiences significant delays in enrollment in any of its planned clinical trials, it could be required to expend significant additional financial resources and time on the completion of clinical development of that product candidate.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Gemini expenses general and administrative costs as incurred.</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anticipates that its general and administrative expenses will increase in the future as it increases its headcount to support the continued development of its product candidates. Gemini also anticipates that it will incur significantly increased accounting, audit, legal, regulatory, compliance and director and officer insurance costs as well as investor and public relations expenses associated with operating as a public company. Additionally, if and when it believes a regulatory approval of a product candidate appears likely, it anticipates an increase in payroll and other employee-related expenses as a result of its preparation for commercial operations, especially as it relates to the sales and marketing of that product candidate.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8" w:name="page199"/>
    <w:bookmarkEnd w:id="1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Interest expense consists of interest accrued on Gemini’s term loan entered into on February 8, 2019 and its convertible notes entered into on August 21, 2020.</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income earned on its cash, cash equivalents and restricted cash.</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February 2019, in conjunction with its term loan, Gemini issued warrants to purchase 70,000 shares of its Series A preferred stock. It accounts for, and classifies, these warrants as a liability on its balance sheet because the warrants are freestanding financial instruments. Gemini remeasured this liability to fair value at each reporting date and recognized changes in the fair value of the warrant liability in its statements of operations.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has not recorded any significant amounts related to income tax expense, it has not recognized any reserves related to uncertain tax positions, nor has Gemini recorded any income tax benefits for the majority of its net losses it has incurred to date or for its research and development tax credits.</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Gemini accounts for income taxes using the asset and liability method, which requires the recognition of deferred tax assets and liabilities for the expected future tax consequences of events that have been included in the financial statements or its tax returns. Deferred tax assets and liabilities are determined based on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its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As of December 31, 2019 and September 30, 2020, Gemini continues to maintain a full valuation allowance against all of its deferred tax assets based on its evaluation of all available evidence. Gemini files income tax returns in the U.S. federal tax jurisdiction and state jurisdictions and may become subject to income tax audit and adjustments by related tax authorities. Its tax return period for U.S. federal income taxes for the tax years since 2015 remain open to examination under the statute of limitations by the Internal Revenue Service and state jurisdictions. Gemini records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Gemini in its tax filings or positions is more likely than not to be realized following the resolution of any potential contingencies related to the tax benefit. Gemini develops its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its provision for income taxes. To date, no amounts are being presented as an uncertain tax position.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9" w:name="page200"/>
    <w:bookmarkEnd w:id="1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2020</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Gemini’s results of operations for the nine months ended September 30, 2019 and 2020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7"/>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26,673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10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(6,201)</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31,669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140" w:type="dxa"/>
            <w:vAlign w:val="bottom"/>
            <w:vMerge w:val="continue"/>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$26.7 million for the nine months ended September 30, 2019, compared to $20.5 million for the nine months ended September 30, 2020. The decrease of $6.2 million was primarily due to a decrease in external research and development costs because of Gemini’s strategic decision to focus its drug development efforts on its GEM103 product candidate. In addition, Gemini slowed its research and development spending due to the impact of COVID-19 and reduced employee headcount period over period. Gemini does not currently track expenses on a program-by-program basis.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$5.0 million for the nine months ended September 30, 2019, compared to $3.8 million for the nine months ended September 30, 2020. The decrease of $1.2 million was primarily because of a reduction in employee headcount period over period and related expenses such as travel and benefits due to the impact of COVID-19.</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Interest expense was $0.2 million for the nine months ended September 30, 2019, compared to $2.3 million for the nine months ended September 30, 2020. The increase of $2.1 million is primarily due to the interest expense recognized on the $14.0 million Notes, which includes $1.8 million from the accretion of the beneficial conversion feature discount recognized on the issuance date of the Notes.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Interest income was $0.2 million for the nine months ended September 30, 2019, compared to less than $0.1 million for the nine months ended September 30, 2020. The decrease in interest income primarily relates to lower cash balances during the nine months ended September 30, 2020 compared to the same period in the prior year.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58"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color w:val="auto"/>
        </w:rPr>
        <w:t xml:space="preserve">The change in fair value of warrant liability reflects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reduction of the fair value of the Series A preferred stock warrant.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Gemini’s results of operations for the years ended December 31, 2018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2019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46"/>
        </w:trPr>
        <w:tc>
          <w:tcPr>
            <w:tcW w:w="4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14,651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10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19,821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20,191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vMerge w:val="continue"/>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(21,233</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$14.7 million for the year ended December 31, 2018, compared to $34.5 million for the year ended December 31, 2019. The increase of $19.8 million was the result of increased external research and development costs related to the preclinical and Phase 1 clinical trial activities of its lead product candidate, GEM103, offset by reduced research and development expenses resulting from the conclusion of activities for Gemini’s CLARITY Natural History study. R&amp;D personnel costs were higher period over period due to increased headcount in our research and development function to support the advancement of GEM103 and other pipeline programs. Gemini does not currently track expenses on a program-by-program basis.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$5.5 million for the year ended December 31, 2018, compared to $6.8 million for the year ended December 31, 2019. The increase of $1.3 million was primarily a result of higher personnel-related costs in support of organizational growth, and higher legal and other professional fees incurred in connection with financing activities.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Interest expense was zero for the year ended December 31, 2018, compared to $0.4 million for the year ended December 31, 2019. The increase was due to the new term loan entered into in February 2019.</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Interest income was less than $0.1 million for the year ended December 31, 2018, compared to $0.2 million for the year ended December 31, 2019. The increase of $0.2 million was due to higher cash balances in 2019 led by Gemini’s $19.5 million Series A preferred stock issuance in November 2018 and 2019 borrowings from its term loan.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liability was zero for the year ended December 31, 2018, compared to less than $0.1 million for the year ended December 31, 2019. The warrants were issued in February 2019.</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1" w:name="page202"/>
    <w:bookmarkEnd w:id="2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 and capital</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Since inception, Gemini has not generated any revenue from any product sales or any other sources, and has incurred significant operating losses and negative cash flows from its operations. It has not yet commercialized any of its product candidates and it does not expect to generate revenue from sales of any product candidates for several years, if at all. Gemini has funded its operations to date primarily with proceeds from the sale of preferred stock, borrowings under convertible promissory notes and borrowings under loan agreements. Through September 30, 2020, Gemini had received gross cash proceeds of $76.0 million from sales of its preferred stock, gross cash proceeds of $16.9 million from borrowings under convertible promissory notes and $10.0 million of cash proceeds from its term loan with SVB.</w:t>
      </w:r>
    </w:p>
    <w:p>
      <w:pPr>
        <w:spacing w:after="0" w:line="12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As of September 30, 2020, Gemini had cash and cash equivalents of $13.2 million. Gemini has incurred operating losses and experienced negative operating cash flows since inception, and it anticipates that it will continue to incur losses for at least the foreseeable future. Its net losses totaled $31.7 million and $26.5 million for the nine months ended September 30, 2019 and 2020, respectively. Its net losses totaled $20.2 million and $41.4 million for the years ended December 31, 2018 and 2019, respectively. As of September 30, 2020, Gemini had an accumulated deficit of $98.5 million.</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Until required for use in its business, Gemini typically invests its cash in investments that are highly liquid, readily convertible to cash with original maturities of 90 days or less at the date of purchase. Gemini attempts to minimize the risks related to its cash and cash equivalents by maintaining balances in accounts only with accredited financial institutions and, consequently, it does not believe it is subject to unusual credit risk beyond the normal credit risk associated with ordinary commercial banking relationships.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Gemini’s cash flows for each of the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7"/>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7"/>
        </w:trPr>
        <w:tc>
          <w:tcPr>
            <w:tcW w:w="32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r>
      <w:tr>
        <w:trPr>
          <w:trHeight w:val="46"/>
        </w:trPr>
        <w:tc>
          <w:tcPr>
            <w:tcW w:w="3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(23,855)</w:t>
            </w: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40"/>
        </w:trPr>
        <w:tc>
          <w:tcPr>
            <w:tcW w:w="3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30,497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19,626</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34,106</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178"/>
        </w:trPr>
        <w:tc>
          <w:tcPr>
            <w:tcW w:w="32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Net increase (decrease) in cash, cash</w:t>
            </w: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55"/>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(15,542)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Pr>
          <w:p>
            <w:pPr>
              <w:spacing w:after="0"/>
              <w:rPr>
                <w:sz w:val="22"/>
                <w:szCs w:val="22"/>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40" w:type="dxa"/>
            <w:vAlign w:val="bottom"/>
          </w:tcPr>
          <w:p>
            <w:pPr>
              <w:spacing w:after="0"/>
              <w:rPr>
                <w:sz w:val="22"/>
                <w:szCs w:val="22"/>
                <w:color w:val="auto"/>
              </w:rPr>
            </w:pPr>
          </w:p>
        </w:tc>
      </w:tr>
      <w:tr>
        <w:trPr>
          <w:trHeight w:val="20"/>
        </w:trPr>
        <w:tc>
          <w:tcPr>
            <w:tcW w:w="3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Gemini used cash in operating activities of $18.3 million, primarily resulting from its net loss of $20.2 million, partially offset by an increase in accounts payable and accrued expenses.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Gemini used cash in operating activities of $38.5 million, primarily resulting from its net loss of $41.4 million, partially offset by an increase in accounts payable and accrued expenses.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Gemini used cash in operating activities of $27.2 million, primarily resulting from its net loss of $31.7 million, partially offset by increases in accounts payable and accrued expenses and other liabilities.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Gemini used cash in operating activities of $23.9 million, primarily resulting from its net loss of $26.5 million and a decrease in accounts payable, partially offset by a decrease in prepaid expenses and other assets.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Changes in accounts payable and accrued expenses in all periods were generally due to growth in its business, the advancement of its product candidates, and the timing of vendor invoicing and payments.</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2" w:name="page203"/>
    <w:bookmarkEnd w:id="2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Gemini used cash in investing activities of $0.4 million, consisting primarily of purchases of laboratory equipment.</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Gemini used cash in investing activities of $0.2 million, consisting primarily of purchases of laboratory equipment.</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2019, Gemini used cash in investing activities of $0.2 million, consisting primarily of purchases of laboratory equipment.</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2020, Gemini used cash in investing activities of less than $0.1 million, consisting of purchases of laboratory equipment.</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net cash provided by financing activities was $30.5 million, consisting primarily of proceeds from the issuance of Gemini’s Series A preferred stock.</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2019, net cash provided by financing activities was $23.2 million, consisting primarily of $13.3 million of proceeds from the issuance of Gemini’s Series B preferred stock and $10.0 million of gross proceeds from its term loan.</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2019, net cash provided by financing activities was $19.6 million, consisting primarily of $12.2 million of proceeds from the issuance of Gemini’s Series B preferred stock and $7.5 million of gross proceeds from its term loan.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net cash provided by financing activities was $34.1 million, consisting primarily of $20.1 million of proceeds from the issuance of Gemini’s Series B preferred stock and $14.0 million of proceeds from the issuance of its convertible promissory notes.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Gemini’s primary use of cash is to fund operating expenses, primarily related to its research and development activities. Cash used to fund operating expenses is impacted by the timing of when Gemini pays these expenses, as reflected in the change in its outstanding accounts payable, accrued expenses and prepaid expenses.</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Gemini expects its expenses to increase substantially in connection with its ongoing activities, particularly as it advances the preclinical activities and clinical trials of its product candidates. In addition, upon the Closing and concurrent PIPE Investment, Gemini expects to incur additional costs associated with operating as a public company, including significant legal, accounting, investor relations and other expenses that it did not incur as a private company. The timing and amount of its operating expenditures will depend largely on its ability to:</w:t>
      </w:r>
    </w:p>
    <w:p>
      <w:pPr>
        <w:spacing w:after="0" w:line="116" w:lineRule="exact"/>
        <w:rPr>
          <w:sz w:val="20"/>
          <w:szCs w:val="20"/>
          <w:color w:val="auto"/>
        </w:rPr>
      </w:pPr>
    </w:p>
    <w:p>
      <w:pPr>
        <w:ind w:left="1320" w:right="479" w:hanging="434"/>
        <w:spacing w:after="0" w:line="282" w:lineRule="auto"/>
        <w:tabs>
          <w:tab w:leader="none" w:pos="155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preclinical development of its early-stage programs and clinical trials of its product candidates;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8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on its behalf, its preclinical and clinical drug material and develop processes for late stage and commercial manufacturing;</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44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it may obtain marketing approval and intend to commercialize on its own;</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67"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its operational, financial and management systems and increase personnel, including personnel to support its clinical development, manufacturing and commercialization efforts and its operations as a public company;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00" w:hanging="414"/>
        <w:spacing w:after="0"/>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and protect its intellectual property portfolio;</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62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preparing, filing and prosecuting patent applications, maintaining and protecting its intellectual property rights, including enforcing and defending intellectual property related claims; and</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costs of operating as a public company.</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 has incurred significant operating losses since its inception and, as of September 30, 2020, had an accumulated deficit of $98.5 million and has not yet generated any revenues. In addition, as discussed above, Gemini expects to continue to incur significant and increasing expenses and operating losses for the foreseeable future. These factors raise substantial doubt about its ability to continue as a going concern. Management believes that its existing cash resources will not be sufficient to allow it to fund current planned operations beyond the next twelve months from the date of this proxy statement/prospectus without additional capital, This evaluation does not take into consideration the effect of potential mitigating plans of management that have not been fully implemented as of the date of this proxy statement/prospectus.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seeking to complete a proposed business combination transaction with FS Development and the PIPE Investment, described above and Note 16, Subsequent Events, to its financial statements included elsewhere in this proxy statement/prospectus. The completion of the proposed Business Combination is conditioned on the satisfaction of certain closing conditions. Upon the completion of the proposed Business Combination transaction, the stockholders of Gemini will exchange their equity interests in Gemini, which include the conversion prior to the Closing of the principal and interest of the outstanding Notes into Series B Preferred Stock at a per share conversion price of $1.3513, for shares of FS Development Class A Common Stock. In connection with the Business Combination, certain investors have agreed to subscribe for and purchase an aggregate of $95,060,000 of FS Development Class A Common Stock in the PIPE Investment. The Combined Company is expected to receive net proceeds of approximately $191.2 million at the closing of the transaction (assuming no redemptions are affected by stockholders of FS Development). The Combined Entity may also pursue additional cash resources through public or private equity or debt financings.</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Gemini, and Gemini may need to seek additional funds sooner than planned. If adequate funds are not available to Gemini on a timely basis, it may be required to delay, limit, reduce or terminate certain of its research, product development or future commercialization efforts, obtain funds through arrangements with collaborators on terms unfavorable to Gemini, or pursue other merger or acquisition strategies, all of which could adversely affect the holdings or the rights of the Gemini’s stockholders. If additional capital is raised through debt financing, Gemini may be subject to covenants limiting or restricting its ability to take specific actions, such as incurring additional debt, making capital expenditures or declaring dividends. Any failure to raise capital as and when needed could have a negative impact on Gemini’s financial condition and on its ability to pursue business plans and strategies. If Gemini is unable to raise capital, it may need to delay, reduce or terminate planned activities to reduce costs.</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Gemini raises additional funds through governmental funding, collaborations, strategic partnerships and alliances or marketing, distribution or licensing arrangements with third parties, it may have to relinquish valuable rights to its technologies, future revenue streams, research programs or product candidates or grant licenses on terms that may not be favorable to it. If Gemini is unable to raise additional funds through equity or debt financings or other arrangements when needed, it may be required to delay, limit, reduce or terminate its research, product development or future commercialization efforts or grant rights to develop and market product candidates that it would otherwise prefer to develop and market by itself.</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For additional information on risks associated with Gemini’s substantial capital requirements, please read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elsewhere in this proxy statement/prospectus.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4" w:name="page205"/>
    <w:bookmarkEnd w:id="2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 product candidates, Gemini is unable to estimate the exact amount of its working capital requirements. Its future funding requirements will depend on and could increase significantly as a result of many factors, including:</w:t>
      </w:r>
    </w:p>
    <w:p>
      <w:pPr>
        <w:spacing w:after="0" w:line="112" w:lineRule="exact"/>
        <w:rPr>
          <w:sz w:val="20"/>
          <w:szCs w:val="20"/>
          <w:color w:val="auto"/>
        </w:rPr>
      </w:pPr>
    </w:p>
    <w:p>
      <w:pPr>
        <w:ind w:left="1320" w:right="459" w:hanging="434"/>
        <w:spacing w:after="0" w:line="282" w:lineRule="auto"/>
        <w:tabs>
          <w:tab w:leader="none" w:pos="145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its product candidates, and conducting preclinical and clinical trials;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its product candidates;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5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ability to manufacture its product candidates to supply its clinical and preclinical development efforts and its clinical trials;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sales, medical affairs, marketing, manufacturing and distribution, for any of its product candidates for which it receives marketing approval;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7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commercial-grade product and necessary inventory to support commercial launch;</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52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its products, should any of its product candidates receive marketing approval;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expanding and enforcing its intellectual property rights and defending intellectual property-related claims;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establish and maintain collaborations on favorable terms, if at all;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it acquires or in-licenses other product candidates and technologies.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Gemini’s contractual obligations as of September 30, 2020 and the effects that such obligations are expected to have on Gemini’s liquidity and cash flows in future periods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7"/>
              </w:rPr>
              <w:t>Less than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1 to 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4 to 5</w:t>
            </w:r>
          </w:p>
        </w:tc>
        <w:tc>
          <w:tcPr>
            <w:tcW w:w="1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w:t>
            </w:r>
          </w:p>
        </w:tc>
      </w:tr>
      <w:tr>
        <w:trPr>
          <w:trHeight w:val="212"/>
        </w:trPr>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47"/>
        </w:trPr>
        <w:tc>
          <w:tcPr>
            <w:tcW w:w="22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660" w:type="dxa"/>
            <w:vAlign w:val="bottom"/>
            <w:tcBorders>
              <w:bottom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3"/>
              </w:rPr>
              <w:t>(i)</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1,733</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2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63"/>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fee obligations</w:t>
            </w:r>
          </w:p>
        </w:tc>
        <w:tc>
          <w:tcPr>
            <w:tcW w:w="860" w:type="dxa"/>
            <w:vAlign w:val="bottom"/>
            <w:tcBorders>
              <w:bottom w:val="single" w:sz="8" w:color="CCEEFF"/>
            </w:tcBorders>
            <w:gridSpan w:val="2"/>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(iii)</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57"/>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8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2"/>
              </w:rPr>
              <w:t>(iv)</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7"/>
        </w:trPr>
        <w:tc>
          <w:tcPr>
            <w:tcW w:w="2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28,184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18,504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6" w:lineRule="auto"/>
        <w:tabs>
          <w:tab w:leader="none" w:pos="871"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has borrowed $10.0 million under its term loan facility with SVB. The term loan matures on January 1, 2023 and accrues interest at a floating rate per annum equal to the greater of 3.75% or the prime rate minus 1.5%. In addition, Gemini issued $14.0 million of convertible promissory notes that mature in February 2021. Gemini accrues simple interest at 8% per annum.</w:t>
      </w:r>
    </w:p>
    <w:p>
      <w:pPr>
        <w:spacing w:after="0" w:line="2"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has an operating lease agreement for its office and laboratory space.</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902"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is required to make license fee payments to its licensors. See Financial Statements, Note 13, Commitments and Contingencies for additional details regarding its payment obligations to these licensors</w:t>
      </w:r>
    </w:p>
    <w:p>
      <w:pPr>
        <w:ind w:left="880" w:right="459" w:hanging="426"/>
        <w:spacing w:after="0" w:line="288" w:lineRule="auto"/>
        <w:tabs>
          <w:tab w:leader="none" w:pos="857"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end of the SVB loan term, Gemini is required to pay a final end of term charge to SVB in the amount of 4.0% of the aggregate original principal amount borrowed.</w:t>
      </w:r>
    </w:p>
    <w:p>
      <w:pPr>
        <w:spacing w:after="0" w:line="8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Gemini enters into contracts in the normal course of business with CMOs, CROs and other third parties for the manufacture of its product candidates and to support clinical trials and preclinical research studies and testing. These contracts are generally cancelable at any time by Gemini following a certain period after notice. Payments due upon cancellation consist only of payments for services provided or expenses incurred, including noncancelable obligations of its service providers, up to the date of cancellation. These payments are not included in the preceding table as the amount and timing of such payments are unknown or uncertain at December 31, 2019.</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5" w:name="page206"/>
    <w:bookmarkEnd w:id="2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research and manufacturing organizations</w:t>
      </w:r>
    </w:p>
    <w:p>
      <w:pPr>
        <w:spacing w:after="0" w:line="14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Gemini recorded accrued expenses of approximately $0.4 million and $1.2 million in its balance sheets for expenditures incurred by CROs and CMOs as of December 31, 2019 and September 30, 2020.</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Tax-related obligations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To date, Gemini has not recognized any reserves related to uncertain tax positions. As of December 31, 2019 and September 30, 2020, Gemini had no accrued interest or penalties related to uncertain tax positions.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financial statements are prepared in accordance with generally accepted accounting principles in the United States, or GAAP. The preparation of Gemini’s financial statements and related disclosures requires it to make estimates and judgments that affect the reported amounts of assets, liabilities, costs and expenses. Gemini bases its estimates on historical experience, known trends and events and various other factors that it believes are reasonable under the circumstances, the results of which form the basis for making judgments about the carrying values of assets and liabilities that are not readily apparent from other sources. Gemini evaluates its estimates and assumptions on an ongoing basis. Its actual results may differ from these estimates under different assumptions or conditions.</w:t>
      </w:r>
    </w:p>
    <w:p>
      <w:pPr>
        <w:spacing w:after="0" w:line="11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While Gemini’s significant accounting policies are described in more detail in Note 2 to Gemini’s financial statements appearing elsewhere in this proxy statement/prospectus, it believes that the following accounting policies are those most critical to the judgments and estimates used in the preparation of its financial statements.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its financial statements, Gemini is required to estimate its accrued research and development expenses. This process involves reviewing open contracts and purchase orders, communicating with its applicable personnel to identify services that have been performed on its behalf and estimating the level of service performed and the associated cost incurred for the service when it has not yet been invoiced or otherwise notified of actual costs. The majority of Gemini’s service providers invoice it in arrears for services performed, on a pre-determined schedule or when contractual milestones are met; however, some require advance payments. Gemini makes estimates of its accrued expenses as of each balance sheet date in the financial statements based on facts and circumstances known to it at that time. Gemini periodically confirms the accuracy of the estimates with the service providers and makes adjustments if necessary. Examples of estimated accrued research and development expenses include fees paid to:</w:t>
      </w:r>
    </w:p>
    <w:p>
      <w:pPr>
        <w:spacing w:after="0" w:line="127" w:lineRule="exact"/>
        <w:rPr>
          <w:sz w:val="20"/>
          <w:szCs w:val="20"/>
          <w:color w:val="auto"/>
        </w:rPr>
      </w:pPr>
    </w:p>
    <w:p>
      <w:pPr>
        <w:ind w:left="1300" w:hanging="41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9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Gemini bases its expenses related to preclinical studies and clinical trials on its estimates of the services received and efforts expended pursuant to quotes and contracts with multiple research institutions and CROs that supply, conduct and manage preclinical studies and clinical trials on its behalf. The financial terms of these agreements are subject to negotiation, vary from contract to contract and may result in uneven payment flows. There may be instances in which payments made to Gemini’s vendors will exceed the level of services provided and result in a prepayment of the expense. Payments under some of these contracts depend on factors such as the successful enrollment of patients and the completion of clinical trial milestones. In accruing service fees, Gemini estimates the time period over which services will be performed and the level of effort to be expended in each period. If the actual timing of the performance of services or the level of effort varies from the estimate, it adjusts the accrual or the prepaid expense accordingly. Although Gemini does not expect its estimates to be materially different from amounts actually incurred, its understanding of the status and timing of services performed relative to the actual status and timing of services performed may vary and may result in reporting amounts that are too high or too low in any particular period. To date, Gemini’s estimated accruals have not differed materially from actual costs incurred.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measures all stock-based awards granted to employees, directors and non-employees based on their fair value on the date of the grant and recognizes the corresponding compensation expense of those awards over the requisite service period, which is generally the vesting period of the respective award. Forfeitures are accounted for as they occur. Gemini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Gemini estimates the probability that certain performance criteria will be met and does not recognize compensation expense until it is probable that the performance-based vesting condition will be achieved.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 classifies stock-based compensation expense in its statements of operations in the same manner in which the award recipient’s payroll costs are classified or in which the award recipient’s service payments are classified.</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Gemini estimates the fair value of each stock option grant using the Black-Scholes option-pricing model, which uses as inputs the fair value of its common stock and assumptions it makes for the volatility of its common stock, the expected term of its stock options, the risk-free interest rate for a period that approximates the expected term of its stock options and its expected dividend yield.</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Determination of the fair value of common stock</w:t>
      </w:r>
    </w:p>
    <w:p>
      <w:pPr>
        <w:spacing w:after="0" w:line="14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As there has been no public market for Gemini’s common stock to date of this proxy statement/prospectus,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Privately-Held-Company Equity Securities Issued as Compensation</w:t>
      </w:r>
      <w:r>
        <w:rPr>
          <w:rFonts w:ascii="Times New Roman" w:cs="Times New Roman" w:eastAsia="Times New Roman" w:hAnsi="Times New Roman"/>
          <w:sz w:val="18"/>
          <w:szCs w:val="18"/>
          <w:color w:val="auto"/>
        </w:rPr>
        <w:t>. Gemini’s common stock valuations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prepared using an option 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These third-party valuations were performed at various dates, which resulted in valuations of Gemini’s common stock of $0.28 per share as of July 31, 2017, $0.31 per share as of August 28, 2018, $0.41 per share as of November 2, 2018, $0.47 per share as of September 26, 2019, $0.55 per share as of January 21, 2020, and $1.66 per share as of September 20, 2020.</w:t>
      </w:r>
    </w:p>
    <w:p>
      <w:pPr>
        <w:spacing w:after="0" w:line="13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to considering the results of these third-party valuations, Gemini’s board of directors considered various objective and subjective factors to determine the fair value of its common stock as of each grant date, including:</w:t>
      </w:r>
    </w:p>
    <w:p>
      <w:pPr>
        <w:spacing w:after="0" w:line="108" w:lineRule="exact"/>
        <w:rPr>
          <w:sz w:val="20"/>
          <w:szCs w:val="20"/>
          <w:color w:val="auto"/>
        </w:rPr>
      </w:pPr>
    </w:p>
    <w:p>
      <w:pPr>
        <w:ind w:left="1320" w:right="459" w:hanging="434"/>
        <w:spacing w:after="0" w:line="282" w:lineRule="auto"/>
        <w:tabs>
          <w:tab w:leader="none" w:pos="133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Gemini sold shares of preferred stock and the superior rights and preferences of the preferred stock relative to its common stock at the time of each grant;</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its research and development programs, including the status and results of preclinical studies and clinical trials for its product candidates;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stage of development and commercialization and its business strategy;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6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biopharmaceutical industry and trends within the biopharmaceutical industry;</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7" w:name="page208"/>
    <w:bookmarkEnd w:id="2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right="479" w:hanging="434"/>
        <w:spacing w:after="0" w:line="282" w:lineRule="auto"/>
        <w:tabs>
          <w:tab w:leader="none" w:pos="139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financial position, including cash on hand, and its historical and forecasted performance and results of operations;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its common stock and its preferred stock;</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1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or IPO, or sale of Gemini in light of prevailing market conditions;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biopharmaceutical industry.</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Gemini had used significantly different assumptions or estimates, the fair value of its common stock and its stock-based compensation expense could have been materially different.</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Once a public trading market for the Combined Entity’s common stock has been established for a sufficient period of time subsequent to the Closing, it will no longer be necessary for its board of directors to estimate the fair value of its common stock in connection with its accounting for granted stock options and other such awards Gemini may grant, as the fair value of the Combined Entity’s common stock will be determined based on the quoted market price of its common stock.</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Awards granted</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following table sets forth by grant date the number of shares subject to options and restricted stock granted from January 1, 2018 through the date of this proxy statement/prospectus, the per share purchase prices and exercise prices, the fair value of common stock per share on each grant date, and the per share estimated fair value of the awards: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 share fair</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options or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value of</w:t>
            </w:r>
          </w:p>
        </w:tc>
        <w:tc>
          <w:tcPr>
            <w:tcW w:w="100" w:type="dxa"/>
            <w:vAlign w:val="bottom"/>
          </w:tcPr>
          <w:p>
            <w:pPr>
              <w:spacing w:after="0"/>
              <w:rPr>
                <w:sz w:val="17"/>
                <w:szCs w:val="17"/>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purchase price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7"/>
                <w:szCs w:val="17"/>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estimated fair</w:t>
            </w:r>
          </w:p>
        </w:tc>
      </w:tr>
      <w:tr>
        <w:trPr>
          <w:trHeight w:val="203"/>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subject</w:t>
            </w:r>
          </w:p>
        </w:tc>
        <w:tc>
          <w:tcPr>
            <w:tcW w:w="60" w:type="dxa"/>
            <w:vAlign w:val="bottom"/>
          </w:tcPr>
          <w:p>
            <w:pPr>
              <w:spacing w:after="0"/>
              <w:rPr>
                <w:sz w:val="17"/>
                <w:szCs w:val="17"/>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of restricted</w:t>
            </w:r>
          </w:p>
        </w:tc>
        <w:tc>
          <w:tcPr>
            <w:tcW w:w="6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 on grant</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award</w:t>
            </w:r>
          </w:p>
        </w:tc>
      </w:tr>
      <w:tr>
        <w:trPr>
          <w:trHeight w:val="212"/>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Type of award</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to award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8"/>
                <w:szCs w:val="18"/>
                <w:color w:val="auto"/>
              </w:rPr>
            </w:pPr>
          </w:p>
        </w:tc>
        <w:tc>
          <w:tcPr>
            <w:tcW w:w="11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on grant date</w:t>
            </w:r>
          </w:p>
        </w:tc>
      </w:tr>
      <w:tr>
        <w:trPr>
          <w:trHeight w:val="47"/>
        </w:trPr>
        <w:tc>
          <w:tcPr>
            <w:tcW w:w="2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28, 2018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Restricted stock</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361,978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8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28, 2018</w:t>
            </w:r>
            <w:r>
              <w:rPr>
                <w:rFonts w:ascii="Times New Roman" w:cs="Times New Roman" w:eastAsia="Times New Roman" w:hAnsi="Times New Roman"/>
                <w:sz w:val="20"/>
                <w:szCs w:val="20"/>
                <w:color w:val="auto"/>
                <w:vertAlign w:val="superscript"/>
              </w:rPr>
              <w:t>(1)</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5,723,737</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83"/>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31, 2018</w:t>
            </w:r>
            <w:r>
              <w:rPr>
                <w:rFonts w:ascii="Times New Roman" w:cs="Times New Roman" w:eastAsia="Times New Roman" w:hAnsi="Times New Roman"/>
                <w:sz w:val="20"/>
                <w:szCs w:val="20"/>
                <w:color w:val="auto"/>
                <w:vertAlign w:val="superscript"/>
              </w:rPr>
              <w:t>(1)</w:t>
            </w:r>
          </w:p>
        </w:tc>
        <w:tc>
          <w:tcPr>
            <w:tcW w:w="1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731,695</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14, 2018</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356,780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492,500</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19, 2019</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411,865</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3,748,799</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8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12, 2019</w:t>
            </w:r>
            <w:r>
              <w:rPr>
                <w:rFonts w:ascii="Times New Roman" w:cs="Times New Roman" w:eastAsia="Times New Roman" w:hAnsi="Times New Roman"/>
                <w:sz w:val="20"/>
                <w:szCs w:val="20"/>
                <w:color w:val="auto"/>
                <w:vertAlign w:val="superscript"/>
              </w:rPr>
              <w:t>(2)</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63"/>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12, 2019</w:t>
            </w: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4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11, 2020</w:t>
            </w: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1,182,200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80" w:lineRule="auto"/>
        <w:tabs>
          <w:tab w:leader="none" w:pos="958"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options granted on August 28, 2018 and October 31, 2018, the board of directors determined the fair value of Gemini’s common stock was $0.28 per share as of the grant date. However, the fair value of Gemini’s common stock at the date of grant was adjusted in connection with a retrospective fair value assessment solely for accounting purposes.</w:t>
      </w:r>
    </w:p>
    <w:p>
      <w:pPr>
        <w:spacing w:after="0" w:line="173"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 option award was fully vested on the date of grant.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Gemini does not have during the periods presented, and it does not currently have, any off-balance sheet arrangements, as defined in the rules and regulations of the SEC.</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Gemini’s financial position and results of operations is disclosed in Note 2 to Gemini’s financial statements included elsewhere in this proxy statement/prospectus.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8" w:name="page209"/>
    <w:bookmarkEnd w:id="2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Gemini is exposed to market risk in the ordinary course of its business. These risks primarily relate to changes in interest rates.</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Gemini’s cash and cash equivalents as of December 31, 2019 consisted of cash and a money market fund account. Because of the short-term nature of its money market fund, a sudden change in market interest rates would not be expected to have a material impact on Gemini’s financial position or results of operations.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December 31, 2019, the principal amount of Gemini’s term loan was $10.0 million. The following table is an estimate of Gemini’s interest expense based upon its floating rate term loan that could result from hypothetical interest rate changes, based on debt levels as of December 31, 2019:</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55"/>
        </w:trPr>
        <w:tc>
          <w:tcPr>
            <w:tcW w:w="404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Hypothetical Change in Interest Rates</w:t>
            </w:r>
            <w:r>
              <w:rPr>
                <w:rFonts w:ascii="Times New Roman" w:cs="Times New Roman" w:eastAsia="Times New Roman" w:hAnsi="Times New Roman"/>
                <w:sz w:val="18"/>
                <w:szCs w:val="18"/>
                <w:b w:val="1"/>
                <w:bCs w:val="1"/>
                <w:color w:val="auto"/>
                <w:vertAlign w:val="superscript"/>
              </w:rPr>
              <w:t>(i)</w:t>
            </w:r>
          </w:p>
        </w:tc>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Annual Impact to Interest Expense</w:t>
            </w:r>
          </w:p>
        </w:tc>
      </w:tr>
      <w:tr>
        <w:trPr>
          <w:trHeight w:val="232"/>
        </w:trPr>
        <w:tc>
          <w:tcPr>
            <w:tcW w:w="394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1-percent increase</w:t>
            </w:r>
          </w:p>
        </w:tc>
        <w:tc>
          <w:tcPr>
            <w:tcW w:w="100" w:type="dxa"/>
            <w:vAlign w:val="bottom"/>
          </w:tcPr>
          <w:p>
            <w:pPr>
              <w:spacing w:after="0"/>
              <w:rPr>
                <w:sz w:val="20"/>
                <w:szCs w:val="20"/>
                <w:color w:val="auto"/>
              </w:rPr>
            </w:pPr>
          </w:p>
        </w:tc>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 increase</w:t>
            </w:r>
          </w:p>
        </w:tc>
      </w:tr>
      <w:tr>
        <w:trPr>
          <w:trHeight w:val="279"/>
        </w:trPr>
        <w:tc>
          <w:tcPr>
            <w:tcW w:w="40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1-percent decrease</w:t>
            </w: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Impact</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928"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Gemini pays a floating rate per annum equal to the greater of 3.75% or the prime rate minus 1.5%. See Note 6 to Gemini’s financial statements for further information.</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Gemini is, and the post-combination company is expected to be, an “emerging growth company,” as defined in the Jumpstart Our Business Startups Act of 2012, or the JOBS Act, and it may take advantage of certain exemptions from various reporting requirements that are applicable to other public companies that are not emerging growth companies. Gemini may take advantage of these exemptions until it is no longer an emerging growth company under Section 107 of the JOBS Act, which provides that an emerging growth company can take advantage of the extended transition period afforded by the JOBS Act for the implementation of new or revised accounting standards. Gemini has elected to avail itself of the extended transition period and, therefore, while Gemini is an emerging growth company it will not be subject to new or revised accounting standards the same time that they become applicable to other public companies that are not emerging growth companies, unless it chooses to early adopt a new or revised accounting standard.</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Additionally, Gemini is, and the post-combination company is expected be a “smaller reporting company” as defined in Item 10(f)(1) of Regulation S-K. Smaller reporting companies may take advantage of certain reduced disclosure obligations, including, among other things, providing only two years of audited financial statements. Gemini will remain a smaller reporting company until the last day of the fiscal year in which (i) the market value of Gemini’s common stock held by non-affiliates exceeds $250 million as of the prior June 30, or</w:t>
      </w:r>
    </w:p>
    <w:p>
      <w:pPr>
        <w:spacing w:after="0" w:line="3" w:lineRule="exact"/>
        <w:rPr>
          <w:sz w:val="20"/>
          <w:szCs w:val="20"/>
          <w:color w:val="auto"/>
        </w:rPr>
      </w:pPr>
    </w:p>
    <w:p>
      <w:pPr>
        <w:ind w:left="460" w:right="479" w:hanging="6"/>
        <w:spacing w:after="0" w:line="260" w:lineRule="auto"/>
        <w:tabs>
          <w:tab w:leader="none" w:pos="728"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Gemini’s annual revenues exceeded $100 million during such completed fiscal year and the market value of our common stock held by non-affiliates exceeds $700 million as of the prior June 30.</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AFTER THE BUSINESS COMBINATION</w:t>
      </w:r>
    </w:p>
    <w:p>
      <w:pPr>
        <w:spacing w:after="0" w:line="2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i w:val="1"/>
          <w:iCs w:val="1"/>
          <w:color w:val="auto"/>
        </w:rPr>
        <w:t>As a result of the Business Combination, FS Development stockholders who receive shares of FS Development Class A Common Stock will become the stockholders of the Combined Entity. Your rights as the Combined Entity stockholders will be governed by Delaware law and the Proposed Charter and the Amended By-laws. The following description of the material terms of the Combined Entity’s securities reflects the anticipated state of affairs upon completion of the Business Combination.</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 connection with the Business Combination, FS Development will amend and restate the Current Charter and the Current By-Laws. The following summary of the material terms the Combined Entity’s securities following the Business Combination is not intended to be a complete summary of the rights and preferences of such securities. The full text of the Proposed Charter and the Amended By-laws are attached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Annex C</w:t>
      </w:r>
      <w:r>
        <w:rPr>
          <w:rFonts w:ascii="Times New Roman" w:cs="Times New Roman" w:eastAsia="Times New Roman" w:hAnsi="Times New Roman"/>
          <w:sz w:val="18"/>
          <w:szCs w:val="18"/>
          <w:i w:val="1"/>
          <w:iCs w:val="1"/>
          <w:color w:val="auto"/>
        </w:rPr>
        <w:t>, respectively, to this proxy statement/prospectus. You are encouraged to read the applicable provisions of Delaware law, the Proposed Charter and the Amended By-laws in their entirety for a complete description of the rights and preferences of the Combined Entity securities following the Business Combination.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Authorized and Outstanding Stock</w:t>
      </w:r>
    </w:p>
    <w:p>
      <w:pPr>
        <w:spacing w:after="0" w:line="162" w:lineRule="exact"/>
        <w:rPr>
          <w:sz w:val="20"/>
          <w:szCs w:val="20"/>
          <w:color w:val="auto"/>
        </w:rPr>
      </w:pPr>
    </w:p>
    <w:p>
      <w:pPr>
        <w:ind w:left="460"/>
        <w:spacing w:after="0"/>
        <w:tabs>
          <w:tab w:leader="none" w:pos="4700" w:val="left"/>
          <w:tab w:leader="none" w:pos="6660" w:val="left"/>
        </w:tabs>
        <w:rPr>
          <w:sz w:val="20"/>
          <w:szCs w:val="20"/>
          <w:color w:val="auto"/>
        </w:rPr>
      </w:pPr>
      <w:r>
        <w:rPr>
          <w:rFonts w:ascii="Times New Roman" w:cs="Times New Roman" w:eastAsia="Times New Roman" w:hAnsi="Times New Roman"/>
          <w:sz w:val="18"/>
          <w:szCs w:val="18"/>
          <w:color w:val="auto"/>
        </w:rPr>
        <w:t>The Proposed Charter authorizes the issuance of</w:t>
      </w:r>
      <w:r>
        <w:rPr>
          <w:sz w:val="20"/>
          <w:szCs w:val="20"/>
          <w:color w:val="auto"/>
        </w:rPr>
        <w:tab/>
      </w:r>
      <w:r>
        <w:rPr>
          <w:rFonts w:ascii="Times New Roman" w:cs="Times New Roman" w:eastAsia="Times New Roman" w:hAnsi="Times New Roman"/>
          <w:sz w:val="18"/>
          <w:szCs w:val="18"/>
          <w:color w:val="auto"/>
        </w:rPr>
        <w:t>shares, consisting of</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$0.0001 par value per share, and 10,000,000 shares of preferred stock, $0.0001 par value. As of the Record</w:t>
      </w:r>
    </w:p>
    <w:p>
      <w:pPr>
        <w:spacing w:after="0" w:line="9"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Date, there were shares of FS Development Class A Common Stock and shares of FS Development Class B Common Stock outstanding. In connection with the Business Combination and subject to the terms of the Current Charter, all shares of outstanding Class B Common Stock shall automatically be converted into shares of Class A Common Stock. No shares of preferred stock are currently outstanding.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Proposed Charter, which FS Development will adopt if the Charter Amendment Proposal is approved, provides the following with respect to the rights, powers, preferences and privileges of the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the holders of Common Stock possess all voting power for the election of the Combined Entity’s directors and all other matters requiring stockholder action. Holders of Common Stock are entitled to one vote per share on matters to be voted on by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Holders of Common Stock will be entitled to receive such dividends, if any, as may be declared from time to time by the Combined Entity’s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event of the Combined Entity’s voluntary or involuntary liquidation, dissolution, distribution of assets or winding-up, the holders of the Common Stock will be entitled to receive an equal amount per share of all of the Combined Entity’s assets of whatever kind available for distribution to stockholders, after the rights of the holders of the preferred stock have been satisfied.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sinking fund provisions applicable to the Common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holders of the Founders Shares issued and outstanding on the date of this proxy statement/prospectus are entitled to registration rights pursuant to an agreement signed in connection with the FS Development IPO. The holders of a majority of these securities are entitled to make up to two demands that we register such securities. The holders of the majority of the Founders Shares can elect to exercise these registration rights at any time commencing three months prior to the date on which these shares of Common Stock are to be released from escrow. In addition, the holders have certain “piggy-back” registration rights with respect to registration statements filed subsequent to the Closing. The Combined Entity will bear the expenses incurred in connection with the filing of any such registration statements.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certain Gemini Equityholders will hold registration rights with respect to the Merger Consideration. Stockholders holding a majority-in-interest of such registrable securities will be entitled to make a written demand for registration under the Securities Act of all or part of their registrable securities. Subject to certain exceptions, such stockholders will also have certain “piggy-back” registration rights with respect to registration statements filed by the Combined Entity, as well additional rights to provide for registration of registrable securities on Form S-3 and any similar short-form registration statement that may be available at such time. See the section titled “</w:t>
      </w:r>
      <w:r>
        <w:rPr>
          <w:rFonts w:ascii="Times New Roman" w:cs="Times New Roman" w:eastAsia="Times New Roman" w:hAnsi="Times New Roman"/>
          <w:sz w:val="18"/>
          <w:szCs w:val="18"/>
          <w:i w:val="1"/>
          <w:iCs w:val="1"/>
          <w:color w:val="auto"/>
        </w:rPr>
        <w:t>The Business Combination Proposal — Ancillary Agreements.”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Proposed Charter and Amended By-laws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Among other things, the Proposed Charter and Amended By-laws will:</w:t>
      </w:r>
    </w:p>
    <w:p>
      <w:pPr>
        <w:spacing w:after="0" w:line="144" w:lineRule="exact"/>
        <w:rPr>
          <w:sz w:val="20"/>
          <w:szCs w:val="20"/>
          <w:color w:val="auto"/>
        </w:rPr>
      </w:pPr>
    </w:p>
    <w:p>
      <w:pPr>
        <w:jc w:val="both"/>
        <w:ind w:left="1320" w:right="459" w:hanging="434"/>
        <w:spacing w:after="0" w:line="266" w:lineRule="auto"/>
        <w:tabs>
          <w:tab w:leader="none" w:pos="132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Combined Entity’s board of directors to issue up to 10,000,000 shares of preferred stock, with any rights, preferences and privileges as they may designate, including the right to approve an acquisition or other change of control;</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Combined Entity’s board of directors;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2" w:lineRule="auto"/>
        <w:tabs>
          <w:tab w:leader="none" w:pos="132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be removed only with cause by the holders of at least 66</w:t>
      </w:r>
      <w:r>
        <w:rPr>
          <w:rFonts w:ascii="Times New Roman" w:cs="Times New Roman" w:eastAsia="Times New Roman" w:hAnsi="Times New Roman"/>
          <w:sz w:val="20"/>
          <w:szCs w:val="20"/>
          <w:color w:val="auto"/>
          <w:vertAlign w:val="superscript"/>
        </w:rPr>
        <w:t>2/3</w:t>
      </w:r>
      <w:r>
        <w:rPr>
          <w:rFonts w:ascii="Times New Roman" w:cs="Times New Roman" w:eastAsia="Times New Roman" w:hAnsi="Times New Roman"/>
          <w:sz w:val="18"/>
          <w:szCs w:val="18"/>
          <w:color w:val="auto"/>
        </w:rPr>
        <w:t>% of all of our then-outstanding shares of the capital stock entitled to vote generally at an election of directors;</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3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1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Combined Entity’s stockholders may be called the Combined Entity’s board of directors pursuant to a resolution adopted by a majority of the total number of authorized directors;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3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Combined Entity’s board of directors will be divided into three classes of directors, with the classes to be as nearly equal as possible, and with the directors serving three-year terms (see the section titled “</w:t>
      </w:r>
      <w:r>
        <w:rPr>
          <w:rFonts w:ascii="Times New Roman" w:cs="Times New Roman" w:eastAsia="Times New Roman" w:hAnsi="Times New Roman"/>
          <w:sz w:val="18"/>
          <w:szCs w:val="18"/>
          <w:i w:val="1"/>
          <w:iCs w:val="1"/>
          <w:color w:val="auto"/>
        </w:rPr>
        <w:t>Management After the Business Combination</w:t>
      </w:r>
      <w:r>
        <w:rPr>
          <w:rFonts w:ascii="Times New Roman" w:cs="Times New Roman" w:eastAsia="Times New Roman" w:hAnsi="Times New Roman"/>
          <w:sz w:val="18"/>
          <w:szCs w:val="18"/>
          <w:color w:val="auto"/>
        </w:rPr>
        <w:t>”), therefore making it more difficult for stockholders to change the composition of our board of directors; and</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6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the existing stockholders to replace the Combined Entity’s board of directors as well as for another party to obtain control of the Combined Entity by replacing the Combined Entity’s board of directors. Because the Combined Entity’s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the Combined Entity’s board of directors to issue preferred stock with voting or other rights or preferences that could impede the success of any attempt to change our control.</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Combined Entity’s board of directors and its policies and to discourage coercive takeover practices and inadequate takeover bids. These provisions are also designed to reduce the Combined Entity’s vulnerability to hostile takeovers and to discourage certain tactics that may be used in proxy fights. However, such provisions could have the effect of discouraging others from making tender offers for the Combined Entity’s shares and may have the effect of delaying changes in our control or management. As a consequence, these provisions may also inhibit fluctuations in the market price of our stock.</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Combined Entity will opt out of Section 203 of the Delaware General Corporation Law.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Business Combination Shares</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FS Development will issue up to shares of Class A Common Stock to Gemini Equityholders in connection with the Business Combination. All of the shares of Class A Common Stock issued in connection with the Business Combination will be freely transferable by persons other than by FS Development’s “affiliates” without restriction or further registration under the Securities Act, subject to any lock-up restrictions. Sales of substantial amounts of the Common Stock in the public market could adversely affect prevailing market prices of the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Provisions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Sponsor and certain existing Gemini stockholders, including all Gemini officers, directors and certain stockholders prior to the Closing, and their affiliates that hold Gemini securities, will be broadly prohibited from selling, pledging, transferring or otherwise disposing of their ownership interest in the Combined Entity’s common stock for a period 180 days after the Closing, subject to certain customary exceptions.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has agreed to give holders of certain restricted securities, including shares of Common Stock and the shares purchased in the PIPE Investment, registration rights to facilitate the resale of such restricted securities. Additional details of these rights can be found under the section titled “</w:t>
      </w:r>
      <w:r>
        <w:rPr>
          <w:rFonts w:ascii="Times New Roman" w:cs="Times New Roman" w:eastAsia="Times New Roman" w:hAnsi="Times New Roman"/>
          <w:sz w:val="18"/>
          <w:szCs w:val="18"/>
          <w:i w:val="1"/>
          <w:iCs w:val="1"/>
          <w:color w:val="auto"/>
        </w:rPr>
        <w:t>Description of Securities 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 Registration Rights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shares of Common Stock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spacing w:after="0" w:line="112" w:lineRule="exact"/>
        <w:rPr>
          <w:sz w:val="20"/>
          <w:szCs w:val="20"/>
          <w:color w:val="auto"/>
        </w:rPr>
      </w:pPr>
    </w:p>
    <w:p>
      <w:pPr>
        <w:ind w:left="1300" w:hanging="414"/>
        <w:spacing w:after="0"/>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shares of the Combined Entity’s common stock then outstanding; or</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Combined Entity’s Common Stock during the four calendar weeks preceding the filing of a notice on Form 144 with respect to the sale.</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Sales by affiliates of FS Development under Rule 144 are also subject to certain requirements relating to manner of sale, notice and the availability of current public information about FS Development.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95" w:lineRule="exact"/>
        <w:rPr>
          <w:sz w:val="20"/>
          <w:szCs w:val="20"/>
          <w:color w:val="auto"/>
        </w:rPr>
      </w:pPr>
    </w:p>
    <w:p>
      <w:pPr>
        <w:ind w:left="1300" w:hanging="414"/>
        <w:spacing w:after="0"/>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4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92"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66" w:lineRule="auto"/>
        <w:tabs>
          <w:tab w:leader="none" w:pos="140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which is expected to be filed promptly after completion of the Business Combination, reflecting its status as an entity that is not a shell company.</w:t>
      </w:r>
    </w:p>
    <w:p>
      <w:pPr>
        <w:spacing w:after="0" w:line="108"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As of the date of this proxy statement/prospectus, there are shares of Common Stock outstanding. Of these shares, the 8,622,644 shares issued in the FS Development IPO are freely tradable without restriction or further registration under the Securities Act, except for any shares purchased by one of our affiliates within the</w:t>
      </w:r>
    </w:p>
    <w:p>
      <w:pPr>
        <w:spacing w:after="0" w:line="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meaning of Rule 144 under the Securities Act. All of the remaining shares owned collectively by the Sponsor, officers and directors are restricted securities under Rule 144, in that they were issued in private transactions not involving a public offering.</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Gemini’s employees, consultants or advisors who purchases equity shares from Gemini in connection with a compensatory stock plan or other written agreement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STOCKHOLDER RIGHTS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table below summarizes the material differences between the current rights of stockholders of FS Development under the Current Charter and Current By-laws and the rights of FS Development stockholders, post-Business Combination, under the Proposed Charter and Amended By-laws, which will be in effect immediately following the Closing.</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While FS Development believes that the summary tables cover the material differences between the rights of stockholders of FS Development prior to the Business Combination and the rights of FS Development stockholders following the Business Combination, these summary tables may not contain all of the information that is important to you. You should carefully read this entire proxy statement/prospectus and the other documents referred to in this proxy statement/prospectus for a more complete understanding of the differences between being a stockholder of FS Development before and after the Business Combination, Annex B, and Exhibits 3.1, 3.2 and 3.3 to the registration statement of which this proxy statement/prospectus forms a part and will send copies of the documents referred to in this proxy statement/prospectus to you upon your request. See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in this proxy statement/prospectus.</w:t>
      </w:r>
    </w:p>
    <w:p>
      <w:pPr>
        <w:spacing w:after="0" w:line="142" w:lineRule="exact"/>
        <w:rPr>
          <w:sz w:val="20"/>
          <w:szCs w:val="20"/>
          <w:color w:val="auto"/>
        </w:rPr>
      </w:pPr>
    </w:p>
    <w:p>
      <w:pPr>
        <w:ind w:left="840"/>
        <w:spacing w:after="0"/>
        <w:tabs>
          <w:tab w:leader="none" w:pos="4940" w:val="left"/>
        </w:tabs>
        <w:rPr>
          <w:sz w:val="20"/>
          <w:szCs w:val="20"/>
          <w:color w:val="auto"/>
        </w:rPr>
      </w:pPr>
      <w:r>
        <w:rPr>
          <w:rFonts w:ascii="Times New Roman" w:cs="Times New Roman" w:eastAsia="Times New Roman" w:hAnsi="Times New Roman"/>
          <w:sz w:val="16"/>
          <w:szCs w:val="16"/>
          <w:b w:val="1"/>
          <w:bCs w:val="1"/>
          <w:color w:val="auto"/>
        </w:rPr>
        <w:t>FS Development (Pre-Business Combination)</w:t>
      </w:r>
      <w:r>
        <w:rPr>
          <w:sz w:val="20"/>
          <w:szCs w:val="20"/>
          <w:color w:val="auto"/>
        </w:rPr>
        <w:tab/>
      </w:r>
      <w:r>
        <w:rPr>
          <w:rFonts w:ascii="Times New Roman" w:cs="Times New Roman" w:eastAsia="Times New Roman" w:hAnsi="Times New Roman"/>
          <w:sz w:val="14"/>
          <w:szCs w:val="14"/>
          <w:b w:val="1"/>
          <w:bCs w:val="1"/>
          <w:color w:val="auto"/>
        </w:rPr>
        <w:t>The Combined Entity (Post-Business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78740</wp:posOffset>
            </wp:positionV>
            <wp:extent cx="51435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is currently authorized to issue The Combined Entity will be authorized to issue shares 111,000,000 shares of capital stock, consisting of of capital stock, consisting of (i) shares of common</w:t>
      </w:r>
    </w:p>
    <w:p>
      <w:pPr>
        <w:ind w:left="460" w:right="799" w:hanging="6"/>
        <w:spacing w:after="0" w:line="250" w:lineRule="auto"/>
        <w:tabs>
          <w:tab w:leader="none" w:pos="74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110,000,000 shares of common stock, including stock, and (iii) 10,000,000 shares of preferred stock 100,000,000 shares of Class A Common Stock and</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B Common Stock, and</w:t>
      </w:r>
    </w:p>
    <w:p>
      <w:pPr>
        <w:spacing w:after="0" w:line="9" w:lineRule="exact"/>
        <w:rPr>
          <w:rFonts w:ascii="Times New Roman" w:cs="Times New Roman" w:eastAsia="Times New Roman" w:hAnsi="Times New Roman"/>
          <w:sz w:val="18"/>
          <w:szCs w:val="18"/>
          <w:color w:val="auto"/>
        </w:rPr>
      </w:pPr>
    </w:p>
    <w:p>
      <w:pPr>
        <w:ind w:left="700" w:hanging="246"/>
        <w:spacing w:after="0"/>
        <w:tabs>
          <w:tab w:leader="none" w:pos="7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of Preferred Stock</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Board may fix for any series of preferred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 may fix for</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such voting powers, if any, designations, powers,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class or series of preferred stock such voting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preferences  and  relative,  participating,  optional,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powers, full or limited, or no voting powers, and such</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special and other rights, if any, as may be stated in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designations,  preferences  and  relative,  participating,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resolutions of the Board’s providing for the issuance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optional or other special rights and such qualifications,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such series.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limitations or restrictions thereof, as may be stated in</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resolutions of the Combined Entity’s board of</w:t>
            </w:r>
          </w:p>
        </w:tc>
      </w:tr>
      <w:tr>
        <w:trPr>
          <w:trHeight w:val="216"/>
        </w:trPr>
        <w:tc>
          <w:tcPr>
            <w:tcW w:w="4000" w:type="dxa"/>
            <w:vAlign w:val="bottom"/>
          </w:tcPr>
          <w:p>
            <w:pPr>
              <w:spacing w:after="0"/>
              <w:rPr>
                <w:sz w:val="18"/>
                <w:szCs w:val="18"/>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resolutions providing for the issuance of such class or</w:t>
            </w:r>
          </w:p>
        </w:tc>
      </w:tr>
      <w:tr>
        <w:trPr>
          <w:trHeight w:val="234"/>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w:t>
            </w:r>
          </w:p>
        </w:tc>
      </w:tr>
      <w:tr>
        <w:trPr>
          <w:trHeight w:val="426"/>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8100" w:type="dxa"/>
            <w:vAlign w:val="bottom"/>
            <w:tcBorders>
              <w:bottom w:val="single" w:sz="8" w:color="auto"/>
            </w:tcBorders>
            <w:gridSpan w:val="2"/>
          </w:tcPr>
          <w:p>
            <w:pPr>
              <w:spacing w:after="0"/>
              <w:rPr>
                <w:sz w:val="7"/>
                <w:szCs w:val="7"/>
                <w:color w:val="auto"/>
              </w:rPr>
            </w:pPr>
          </w:p>
        </w:tc>
      </w:tr>
      <w:tr>
        <w:trPr>
          <w:trHeight w:val="237"/>
        </w:trPr>
        <w:tc>
          <w:tcPr>
            <w:tcW w:w="810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Number and Qualification of Directors</w:t>
            </w: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number of directors of FS Development, other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Subject to any rights of holders of preferred stock to</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than those who may be elected by the holders of one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  directors  under  specified  circumstances  and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more series of preferred stock voting separately by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subject to the Registration Rights Agreement and the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or series, will be fixed from time to time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Voting Agreement, the number of directors will be fixed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exclusively by the Board pursuant to a resolution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from time to time pursuant to a resolution adopted by</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adopted by a majority of the Board.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w:t>
            </w:r>
          </w:p>
        </w:tc>
      </w:tr>
      <w:tr>
        <w:trPr>
          <w:trHeight w:val="405"/>
        </w:trPr>
        <w:tc>
          <w:tcPr>
            <w:tcW w:w="810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Classification of the Board of Directors</w:t>
            </w: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rights of the holders of one or more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Subject to the rights of the holders of one or more series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series of preferred stock of FS Development to elect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preferred stock of the Combined Entity to elect one</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one or more directors, the Board is classified into</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more directors, the Combined Entity’s board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three classes of directors with staggered terms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is classified into three classes of directors with</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staggered terms of office.</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c>
          <w:tcPr>
            <w:tcW w:w="0" w:type="dxa"/>
            <w:vAlign w:val="bottom"/>
          </w:tcPr>
          <w:p>
            <w:pPr>
              <w:spacing w:after="0"/>
              <w:rPr>
                <w:sz w:val="1"/>
                <w:szCs w:val="1"/>
                <w:color w:val="auto"/>
              </w:rPr>
            </w:pPr>
          </w:p>
        </w:tc>
      </w:tr>
      <w:tr>
        <w:trPr>
          <w:trHeight w:val="87"/>
        </w:trPr>
        <w:tc>
          <w:tcPr>
            <w:tcW w:w="81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Election of Directors; Vacancies on the Board of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FS Development’s annual meeting, stockholders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the Combined Entity’s annual meeting, stockholders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elect directors to replace the class of directors whose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 directors to replace the class of directors whose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term expires at that annual meeting, each of whom</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expires at that annual meeting, each of whom shall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shall hold office for a term of three years or until his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 office for a term of three years or until his or her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her successor is duly elected and qualified, subject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is duly elected and qualified, subject to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such  director’s  earlier  death,  resignation,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earlier death, resignation, disqualification or</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disqualification or removal.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removal.</w:t>
            </w:r>
          </w:p>
        </w:tc>
        <w:tc>
          <w:tcPr>
            <w:tcW w:w="0" w:type="dxa"/>
            <w:vAlign w:val="bottom"/>
          </w:tcPr>
          <w:p>
            <w:pPr>
              <w:spacing w:after="0"/>
              <w:rPr>
                <w:sz w:val="1"/>
                <w:szCs w:val="1"/>
                <w:color w:val="auto"/>
              </w:rPr>
            </w:pPr>
          </w:p>
        </w:tc>
      </w:tr>
      <w:tr>
        <w:trPr>
          <w:trHeight w:val="33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If the number of directors is changed, any increase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majority of the board of directors shall have the right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decrease is apportioned among the classes to maintain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fill any vacancies on of the Combined Entity’s board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 equal number of directors in each class as nearly as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directors, whether caused by increase in size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possible,  and  any  additional  director  of  any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Board or resignation or removal of a director, and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elected to fill a vacancy will hold office for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board of directors shall have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of that class, but in no case will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to determine the class that any additional director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the number of directors remove or shorten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will fill, and any additional director of any class elected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term of any incumbent director.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 fill a vacancy will hold office for the remaining term</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Subject to the rights of the holders of one or more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that class, but in no case will a decrease in the</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number of directors remove or shorten the term of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series of preferred stock, the election of directors shall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incumbent director.</w:t>
            </w:r>
          </w:p>
        </w:tc>
        <w:tc>
          <w:tcPr>
            <w:tcW w:w="0" w:type="dxa"/>
            <w:vAlign w:val="bottom"/>
          </w:tcPr>
          <w:p>
            <w:pPr>
              <w:spacing w:after="0"/>
              <w:rPr>
                <w:sz w:val="1"/>
                <w:szCs w:val="1"/>
                <w:color w:val="auto"/>
              </w:rPr>
            </w:pPr>
          </w:p>
        </w:tc>
      </w:tr>
      <w:tr>
        <w:trPr>
          <w:trHeight w:val="184"/>
        </w:trPr>
        <w:tc>
          <w:tcPr>
            <w:tcW w:w="40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be determined by a plurality of the votes cast by the</w:t>
            </w:r>
          </w:p>
        </w:tc>
        <w:tc>
          <w:tcPr>
            <w:tcW w:w="4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present in person or represented by proxy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Subject to the rights of the holders of one or more series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the meeting and entitled to vote on the election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preferred stock, the election of directors shall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determined by a plurality of the votes cast by the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present in person or represented by proxy</w:t>
            </w:r>
          </w:p>
        </w:tc>
        <w:tc>
          <w:tcPr>
            <w:tcW w:w="0" w:type="dxa"/>
            <w:vAlign w:val="bottom"/>
          </w:tcPr>
          <w:p>
            <w:pPr>
              <w:spacing w:after="0"/>
              <w:rPr>
                <w:sz w:val="1"/>
                <w:szCs w:val="1"/>
                <w:color w:val="auto"/>
              </w:rPr>
            </w:pPr>
          </w:p>
        </w:tc>
      </w:tr>
    </w:tbl>
    <w:p>
      <w:pPr>
        <w:ind w:left="4500"/>
        <w:spacing w:after="0"/>
        <w:rPr>
          <w:sz w:val="20"/>
          <w:szCs w:val="20"/>
          <w:color w:val="auto"/>
        </w:rPr>
      </w:pPr>
      <w:r>
        <w:rPr>
          <w:rFonts w:ascii="Times New Roman" w:cs="Times New Roman" w:eastAsia="Times New Roman" w:hAnsi="Times New Roman"/>
          <w:sz w:val="18"/>
          <w:szCs w:val="18"/>
          <w:color w:val="auto"/>
        </w:rPr>
        <w:t>at the meeting and entitled to vote on the election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02" w:lineRule="exact"/>
        <w:rPr>
          <w:sz w:val="20"/>
          <w:szCs w:val="20"/>
          <w:color w:val="auto"/>
        </w:rPr>
      </w:pPr>
    </w:p>
    <w:p>
      <w:pPr>
        <w:jc w:val="both"/>
        <w:ind w:left="460" w:right="459"/>
        <w:spacing w:after="0" w:line="249" w:lineRule="auto"/>
        <w:rPr>
          <w:sz w:val="20"/>
          <w:szCs w:val="20"/>
          <w:color w:val="auto"/>
        </w:rPr>
      </w:pPr>
      <w:r>
        <w:rPr>
          <w:rFonts w:ascii="Times New Roman" w:cs="Times New Roman" w:eastAsia="Times New Roman" w:hAnsi="Times New Roman"/>
          <w:sz w:val="18"/>
          <w:szCs w:val="18"/>
          <w:color w:val="auto"/>
        </w:rPr>
        <w:t>Subject to the rights of the holders of any series of Subject to the rights of the holders of any series of preferred stock, any director or the entire board may preferred stock, as well as the Registration Rights be removed from office at any time, but only for cause Agreement and Voting Agreement, any director or the and only by the affirmative vote of holders of a entire board may be removed from office at any time, majority of the voting power of all then outstanding but only for cause and only by the affirmative vote of shares of capital stock of FS Development entitled to holders of at least 2/3</w:t>
      </w:r>
      <w:r>
        <w:rPr>
          <w:rFonts w:ascii="Times New Roman" w:cs="Times New Roman" w:eastAsia="Times New Roman" w:hAnsi="Times New Roman"/>
          <w:sz w:val="20"/>
          <w:szCs w:val="20"/>
          <w:color w:val="auto"/>
          <w:vertAlign w:val="superscript"/>
        </w:rPr>
        <w:t>rds</w:t>
      </w:r>
      <w:r>
        <w:rPr>
          <w:rFonts w:ascii="Times New Roman" w:cs="Times New Roman" w:eastAsia="Times New Roman" w:hAnsi="Times New Roman"/>
          <w:sz w:val="18"/>
          <w:szCs w:val="18"/>
          <w:color w:val="auto"/>
        </w:rPr>
        <w:t xml:space="preserve"> of the voting power of all then vote generally in the election of directors, voting outstanding shares of capital stock of the Combined</w:t>
      </w:r>
    </w:p>
    <w:p>
      <w:pPr>
        <w:spacing w:after="0" w:line="3"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Times New Roman" w:cs="Times New Roman" w:eastAsia="Times New Roman" w:hAnsi="Times New Roman"/>
          <w:sz w:val="18"/>
          <w:szCs w:val="18"/>
          <w:color w:val="auto"/>
        </w:rPr>
        <w:t>together as a single class.</w:t>
      </w:r>
      <w:r>
        <w:rPr>
          <w:sz w:val="20"/>
          <w:szCs w:val="20"/>
          <w:color w:val="auto"/>
        </w:rPr>
        <w:tab/>
      </w:r>
      <w:r>
        <w:rPr>
          <w:rFonts w:ascii="Times New Roman" w:cs="Times New Roman" w:eastAsia="Times New Roman" w:hAnsi="Times New Roman"/>
          <w:sz w:val="18"/>
          <w:szCs w:val="18"/>
          <w:color w:val="auto"/>
        </w:rPr>
        <w:t>Entity entitled to vote generally in the election of directors, voting together as a single class.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Except as otherwise required by law or the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Holders of the common stock will be entitled to cast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Charter, holders of the FS Development Class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one vote per share.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and the FS Development Class B</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Except as otherwise required by applicable law, holders</w:t>
            </w:r>
          </w:p>
        </w:tc>
        <w:tc>
          <w:tcPr>
            <w:tcW w:w="0" w:type="dxa"/>
            <w:vAlign w:val="bottom"/>
          </w:tcPr>
          <w:p>
            <w:pPr>
              <w:spacing w:after="0"/>
              <w:rPr>
                <w:sz w:val="1"/>
                <w:szCs w:val="1"/>
                <w:color w:val="auto"/>
              </w:rPr>
            </w:pPr>
          </w:p>
        </w:tc>
      </w:tr>
      <w:tr>
        <w:trPr>
          <w:trHeight w:val="180"/>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Common Stock exclusively possess all voting power</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 respect to FS Development. Except as otherwise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Combined Entity’s common stock will not be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required by law or the Current Charter, the holders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entitled to vote on any amendment to the Proposed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shares shall be entitled to one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that relates solely to the terms of one or more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 each such share on each matter properly submitted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series of the Combined Entity’s preferred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FS  Development’s  stockholders  on  which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if the holders of such affected series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holders of FS Development shares are entitled to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preferred  stock  are  exclusively</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4100" w:type="dxa"/>
            <w:vAlign w:val="bottom"/>
          </w:tcPr>
          <w:p>
            <w:pPr>
              <w:ind w:left="40"/>
              <w:spacing w:after="0" w:line="170" w:lineRule="exact"/>
              <w:rPr>
                <w:sz w:val="20"/>
                <w:szCs w:val="20"/>
                <w:color w:val="auto"/>
              </w:rPr>
            </w:pPr>
            <w:r>
              <w:rPr>
                <w:rFonts w:ascii="Times New Roman" w:cs="Times New Roman" w:eastAsia="Times New Roman" w:hAnsi="Times New Roman"/>
                <w:sz w:val="18"/>
                <w:szCs w:val="18"/>
                <w:color w:val="auto"/>
              </w:rPr>
              <w:t>entitled  to  vote  thereon  pursuant  to  the  Proposed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Except as otherwise required by law or the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or applicable law.</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Charter, for so long as any shares of FS Development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remain  outstanding,  FS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may not, without first obtaining the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written consent of the holders of at least a majority of</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then  outstanding  shares  of  FS  Development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 voting separately as a single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amend, alter or repeal any provision of the</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Current Charter, if such amendment, alteration or</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repeal would alter or change the powers, preferences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or relative, participating, optional or other or special</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rights of the FS Development Class B Common Stock.</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96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960" w:gutter="0" w:footer="0" w:header="0"/>
          <w:type w:val="continuous"/>
        </w:sectPr>
      </w:pPr>
    </w:p>
    <w:bookmarkStart w:id="216" w:name="page217"/>
    <w:bookmarkEnd w:id="2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Cumulative Voting</w:t>
      </w:r>
    </w:p>
    <w:p>
      <w:pPr>
        <w:spacing w:after="0" w:line="2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Delaware law allows for cumulative voting only if Delaware law allows for cumulative voting only if provided for in the Current Charter; however, the provided for in the Proposed Charter; however, the Current Charter does not authorize cumulative voting. Proposed Charter does not authorize cumulative voting.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the Board of Directors</w:t>
      </w:r>
    </w:p>
    <w:p>
      <w:pPr>
        <w:spacing w:after="0" w:line="202"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Special meetings of the Board may be called by the Special meetings of the Combined Entity’s board of Chairman of the Board or Chief Executive Officer or directors may be called by the affirmative vote of a upon the written request of at least a majority of majority of the directors then in office, or by one</w:t>
      </w:r>
    </w:p>
    <w:p>
      <w:pPr>
        <w:spacing w:after="0" w:line="1" w:lineRule="exact"/>
        <w:rPr>
          <w:sz w:val="20"/>
          <w:szCs w:val="20"/>
          <w:color w:val="auto"/>
        </w:rPr>
      </w:pPr>
    </w:p>
    <w:p>
      <w:pPr>
        <w:jc w:val="both"/>
        <w:ind w:left="4500" w:right="479" w:hanging="4049"/>
        <w:spacing w:after="0" w:line="260" w:lineRule="auto"/>
        <w:tabs>
          <w:tab w:leader="none" w:pos="4480" w:val="left"/>
        </w:tabs>
        <w:rPr>
          <w:sz w:val="20"/>
          <w:szCs w:val="20"/>
          <w:color w:val="auto"/>
        </w:rPr>
      </w:pPr>
      <w:r>
        <w:rPr>
          <w:rFonts w:ascii="Times New Roman" w:cs="Times New Roman" w:eastAsia="Times New Roman" w:hAnsi="Times New Roman"/>
          <w:sz w:val="18"/>
          <w:szCs w:val="18"/>
          <w:color w:val="auto"/>
        </w:rPr>
        <w:t>directors then in office or the sole director.</w:t>
      </w:r>
      <w:r>
        <w:rPr>
          <w:sz w:val="20"/>
          <w:szCs w:val="20"/>
          <w:color w:val="auto"/>
        </w:rPr>
        <w:tab/>
      </w:r>
      <w:r>
        <w:rPr>
          <w:rFonts w:ascii="Times New Roman" w:cs="Times New Roman" w:eastAsia="Times New Roman" w:hAnsi="Times New Roman"/>
          <w:sz w:val="18"/>
          <w:szCs w:val="18"/>
          <w:color w:val="auto"/>
        </w:rPr>
        <w:t>director in the event there is only a single director in office, or by the Chairman or the President.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Current Charter, any action required or Subject to the terms of any series of preferred stock, permitted to be taken by the stockholders of FS any action required or permitted to be taken by the Development must be effected by a duly called annual stockholders of Combined Entity must be effected at an or special meeting of such stockholders and may not annual or special meeting of the stockholders and may be effected by written consent of the stockholders, not be effected by written consent. other than with respect to the FS Development Class B</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Common Stock with respect to which action may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taken by written consent, and other than what may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be provided for pursuant to the Current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Charter relating to the rights of the holders of any</w:t>
      </w:r>
    </w:p>
    <w:p>
      <w:pPr>
        <w:spacing w:after="0" w:line="9" w:lineRule="exact"/>
        <w:rPr>
          <w:sz w:val="20"/>
          <w:szCs w:val="20"/>
          <w:color w:val="auto"/>
        </w:rPr>
      </w:pPr>
    </w:p>
    <w:p>
      <w:pPr>
        <w:ind w:left="460"/>
        <w:spacing w:after="0"/>
        <w:tabs>
          <w:tab w:leader="none" w:pos="1460" w:val="left"/>
          <w:tab w:leader="none" w:pos="2080" w:val="left"/>
          <w:tab w:leader="none" w:pos="2420" w:val="left"/>
          <w:tab w:leader="none" w:pos="3260" w:val="left"/>
          <w:tab w:leader="none" w:pos="3840" w:val="left"/>
          <w:tab w:leader="none" w:pos="4180" w:val="left"/>
        </w:tabs>
        <w:rPr>
          <w:sz w:val="20"/>
          <w:szCs w:val="20"/>
          <w:color w:val="auto"/>
        </w:rPr>
      </w:pPr>
      <w:r>
        <w:rPr>
          <w:rFonts w:ascii="Times New Roman" w:cs="Times New Roman" w:eastAsia="Times New Roman" w:hAnsi="Times New Roman"/>
          <w:sz w:val="18"/>
          <w:szCs w:val="18"/>
          <w:color w:val="auto"/>
        </w:rPr>
        <w:t>outstanding</w:t>
        <w:tab/>
        <w:t>series</w:t>
        <w:tab/>
        <w:t>of</w:t>
        <w:tab/>
        <w:t>preferred</w:t>
        <w:tab/>
        <w:t>stock</w:t>
        <w:tab/>
        <w:t>of</w:t>
      </w:r>
      <w:r>
        <w:rPr>
          <w:sz w:val="20"/>
          <w:szCs w:val="20"/>
          <w:color w:val="auto"/>
        </w:rPr>
        <w:tab/>
      </w:r>
      <w:r>
        <w:rPr>
          <w:rFonts w:ascii="Times New Roman" w:cs="Times New Roman" w:eastAsia="Times New Roman" w:hAnsi="Times New Roman"/>
          <w:sz w:val="17"/>
          <w:szCs w:val="17"/>
          <w:color w:val="auto"/>
        </w:rPr>
        <w:t>FS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Under Delaware law, an amendment to a charter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Proposed Charter any will require the affirmative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generally requires the approval of a company’s board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vote of the majority of the outstanding shares of capital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directors and a majority of the combined voting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entitled to vote on such amendment, provided that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power of the then-outstanding shares of voting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provisions  in  the  Proposed  Charter  in  Article  V</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voting together as a single class.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(covering stockholder actions), Article VI, Section 3</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Article IX of the Current Charter relating to business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(covering classified Board of directors), Article VI,</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Section 5 (removal of directors), Article VII, Section 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combination requirements may not be amended prior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on  director  liability)  and  Article  VIII</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  the  consummation  of  the  initial  business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of by-laws) will require approval of the</w:t>
            </w:r>
          </w:p>
        </w:tc>
        <w:tc>
          <w:tcPr>
            <w:tcW w:w="0" w:type="dxa"/>
            <w:vAlign w:val="bottom"/>
          </w:tcPr>
          <w:p>
            <w:pPr>
              <w:spacing w:after="0"/>
              <w:rPr>
                <w:sz w:val="1"/>
                <w:szCs w:val="1"/>
                <w:color w:val="auto"/>
              </w:rPr>
            </w:pPr>
          </w:p>
        </w:tc>
      </w:tr>
      <w:tr>
        <w:trPr>
          <w:trHeight w:val="171"/>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combination unless approved by the affirmative vote</w:t>
            </w:r>
          </w:p>
        </w:tc>
        <w:tc>
          <w:tcPr>
            <w:tcW w:w="4100" w:type="dxa"/>
            <w:vAlign w:val="bottom"/>
            <w:vMerge w:val="restart"/>
          </w:tcPr>
          <w:p>
            <w:pPr>
              <w:ind w:left="40"/>
              <w:spacing w:after="0" w:line="351" w:lineRule="exact"/>
              <w:rPr>
                <w:sz w:val="20"/>
                <w:szCs w:val="20"/>
                <w:color w:val="auto"/>
              </w:rPr>
            </w:pPr>
            <w:r>
              <w:rPr>
                <w:rFonts w:ascii="Times New Roman" w:cs="Times New Roman" w:eastAsia="Times New Roman" w:hAnsi="Times New Roman"/>
                <w:sz w:val="18"/>
                <w:szCs w:val="18"/>
                <w:color w:val="auto"/>
              </w:rPr>
              <w:t>holders of at least 66</w:t>
            </w:r>
            <w:r>
              <w:rPr>
                <w:rFonts w:ascii="Times New Roman" w:cs="Times New Roman" w:eastAsia="Times New Roman" w:hAnsi="Times New Roman"/>
                <w:sz w:val="35"/>
                <w:szCs w:val="35"/>
                <w:color w:val="auto"/>
                <w:vertAlign w:val="superscript"/>
              </w:rPr>
              <w:t>⅔</w:t>
            </w:r>
            <w:r>
              <w:rPr>
                <w:rFonts w:ascii="Times New Roman" w:cs="Times New Roman" w:eastAsia="Times New Roman" w:hAnsi="Times New Roman"/>
                <w:sz w:val="18"/>
                <w:szCs w:val="18"/>
                <w:color w:val="auto"/>
              </w:rPr>
              <w:t>% of the Combined Entity’s</w:t>
            </w:r>
          </w:p>
        </w:tc>
        <w:tc>
          <w:tcPr>
            <w:tcW w:w="0" w:type="dxa"/>
            <w:vAlign w:val="bottom"/>
          </w:tcPr>
          <w:p>
            <w:pPr>
              <w:spacing w:after="0"/>
              <w:rPr>
                <w:sz w:val="1"/>
                <w:szCs w:val="1"/>
                <w:color w:val="auto"/>
              </w:rPr>
            </w:pPr>
          </w:p>
        </w:tc>
      </w:tr>
      <w:tr>
        <w:trPr>
          <w:trHeight w:val="180"/>
        </w:trPr>
        <w:tc>
          <w:tcPr>
            <w:tcW w:w="4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of the holders of at least 65% of all then outstanding</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and the rights, preferences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then-outstanding shares of capital stock entitled to vote</w:t>
            </w:r>
          </w:p>
        </w:tc>
        <w:tc>
          <w:tcPr>
            <w:tcW w:w="0" w:type="dxa"/>
            <w:vAlign w:val="bottom"/>
          </w:tcPr>
          <w:p>
            <w:pPr>
              <w:spacing w:after="0"/>
              <w:rPr>
                <w:sz w:val="1"/>
                <w:szCs w:val="1"/>
                <w:color w:val="auto"/>
              </w:rPr>
            </w:pPr>
          </w:p>
        </w:tc>
      </w:tr>
      <w:tr>
        <w:trPr>
          <w:trHeight w:val="25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 privileges of the Class B Common Stock may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generally at an election of directors.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only be amended with the approval of the holders of at</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least a majority of the then-outstanding shares of</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the By-laws</w:t>
      </w:r>
    </w:p>
    <w:p>
      <w:pPr>
        <w:spacing w:after="0" w:line="202" w:lineRule="exact"/>
        <w:rPr>
          <w:sz w:val="20"/>
          <w:szCs w:val="20"/>
          <w:color w:val="auto"/>
        </w:rPr>
      </w:pPr>
    </w:p>
    <w:p>
      <w:pPr>
        <w:ind w:left="460" w:right="479"/>
        <w:spacing w:after="0"/>
        <w:rPr>
          <w:sz w:val="20"/>
          <w:szCs w:val="20"/>
          <w:color w:val="auto"/>
        </w:rPr>
      </w:pPr>
      <w:r>
        <w:rPr>
          <w:rFonts w:ascii="Times New Roman" w:cs="Times New Roman" w:eastAsia="Times New Roman" w:hAnsi="Times New Roman"/>
          <w:sz w:val="18"/>
          <w:szCs w:val="18"/>
          <w:color w:val="auto"/>
        </w:rPr>
        <w:t>The Board is expressly authorized to make, alter, The Combined Entity’s board of directors is expressly amend or repeal the Current By-laws. The Current By- authorized to make, alter, amend or repeal the Amended laws may also be adopted, amended, altered or By-laws by the affirmative vote of a majority of the repealed by the FS Development stockholders directors. representing a majority of the voting power of all of</w:t>
      </w:r>
    </w:p>
    <w:p>
      <w:pPr>
        <w:spacing w:after="0" w:line="191" w:lineRule="exact"/>
        <w:rPr>
          <w:sz w:val="20"/>
          <w:szCs w:val="20"/>
          <w:color w:val="auto"/>
        </w:rPr>
      </w:pPr>
    </w:p>
    <w:p>
      <w:pPr>
        <w:jc w:val="both"/>
        <w:ind w:left="460" w:right="479"/>
        <w:spacing w:after="0" w:line="228" w:lineRule="auto"/>
        <w:rPr>
          <w:sz w:val="20"/>
          <w:szCs w:val="20"/>
          <w:color w:val="auto"/>
        </w:rPr>
      </w:pPr>
      <w:r>
        <w:rPr>
          <w:rFonts w:ascii="Times New Roman" w:cs="Times New Roman" w:eastAsia="Times New Roman" w:hAnsi="Times New Roman"/>
          <w:sz w:val="28"/>
          <w:szCs w:val="28"/>
          <w:color w:val="auto"/>
          <w:vertAlign w:val="subscript"/>
        </w:rPr>
        <w:t>the then-outstanding shares of capital stock of FS</w:t>
      </w:r>
      <w:r>
        <w:rPr>
          <w:rFonts w:ascii="Times New Roman" w:cs="Times New Roman" w:eastAsia="Times New Roman" w:hAnsi="Times New Roman"/>
          <w:sz w:val="15"/>
          <w:szCs w:val="15"/>
          <w:color w:val="auto"/>
        </w:rPr>
        <w:t xml:space="preserve"> Any amendments to the Amended By-Laws will require Development entitled to vote generally in the election approval of the holders of at least 66</w:t>
      </w:r>
      <w:r>
        <w:rPr>
          <w:rFonts w:ascii="Times New Roman" w:cs="Times New Roman" w:eastAsia="Times New Roman" w:hAnsi="Times New Roman"/>
          <w:sz w:val="28"/>
          <w:szCs w:val="28"/>
          <w:color w:val="auto"/>
          <w:vertAlign w:val="superscript"/>
        </w:rPr>
        <w:t>⅔</w:t>
      </w:r>
      <w:r>
        <w:rPr>
          <w:rFonts w:ascii="Times New Roman" w:cs="Times New Roman" w:eastAsia="Times New Roman" w:hAnsi="Times New Roman"/>
          <w:sz w:val="15"/>
          <w:szCs w:val="15"/>
          <w:color w:val="auto"/>
        </w:rPr>
        <w:t xml:space="preserve">% of the of directors, provided that the approval of at least Combined Entity’s then-outstanding shares of capital </w:t>
      </w:r>
      <w:r>
        <w:rPr>
          <w:rFonts w:ascii="Times New Roman" w:cs="Times New Roman" w:eastAsia="Times New Roman" w:hAnsi="Times New Roman"/>
          <w:sz w:val="28"/>
          <w:szCs w:val="28"/>
          <w:color w:val="auto"/>
          <w:vertAlign w:val="subscript"/>
        </w:rPr>
        <w:t>66</w:t>
      </w:r>
      <w:r>
        <w:rPr>
          <w:rFonts w:ascii="Times New Roman" w:cs="Times New Roman" w:eastAsia="Times New Roman" w:hAnsi="Times New Roman"/>
          <w:sz w:val="15"/>
          <w:szCs w:val="15"/>
          <w:color w:val="auto"/>
        </w:rPr>
        <w:t>⅔</w:t>
      </w:r>
      <w:r>
        <w:rPr>
          <w:rFonts w:ascii="Times New Roman" w:cs="Times New Roman" w:eastAsia="Times New Roman" w:hAnsi="Times New Roman"/>
          <w:sz w:val="28"/>
          <w:szCs w:val="28"/>
          <w:color w:val="auto"/>
          <w:vertAlign w:val="subscript"/>
        </w:rPr>
        <w:t>% of the Combined Entity’s then-outstanding</w:t>
      </w:r>
      <w:r>
        <w:rPr>
          <w:rFonts w:ascii="Times New Roman" w:cs="Times New Roman" w:eastAsia="Times New Roman" w:hAnsi="Times New Roman"/>
          <w:sz w:val="15"/>
          <w:szCs w:val="15"/>
          <w:color w:val="auto"/>
        </w:rPr>
        <w:t xml:space="preserve"> stock entitled to vote generally at an election of shares of capital stock entitled to vote generally at an </w:t>
      </w:r>
      <w:r>
        <w:rPr>
          <w:rFonts w:ascii="Times New Roman" w:cs="Times New Roman" w:eastAsia="Times New Roman" w:hAnsi="Times New Roman"/>
          <w:sz w:val="28"/>
          <w:szCs w:val="28"/>
          <w:color w:val="auto"/>
          <w:vertAlign w:val="superscript"/>
        </w:rPr>
        <w:t>directors.</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election of directors is required to amend Article VIII,</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which relates to indemnification matters.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7" w:name="page218"/>
    <w:bookmarkEnd w:id="2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gridSpan w:val="2"/>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5700" w:type="dxa"/>
            <w:vAlign w:val="bottom"/>
            <w:tcBorders>
              <w:bottom w:val="single" w:sz="8" w:color="auto"/>
            </w:tcBorders>
            <w:gridSpan w:val="2"/>
          </w:tcPr>
          <w:p>
            <w:pPr>
              <w:spacing w:after="0"/>
              <w:rPr>
                <w:sz w:val="7"/>
                <w:szCs w:val="7"/>
                <w:color w:val="auto"/>
              </w:rPr>
            </w:pPr>
          </w:p>
        </w:tc>
        <w:tc>
          <w:tcPr>
            <w:tcW w:w="2400" w:type="dxa"/>
            <w:vAlign w:val="bottom"/>
            <w:tcBorders>
              <w:bottom w:val="single" w:sz="8" w:color="auto"/>
            </w:tcBorders>
          </w:tcPr>
          <w:p>
            <w:pPr>
              <w:spacing w:after="0"/>
              <w:rPr>
                <w:sz w:val="7"/>
                <w:szCs w:val="7"/>
                <w:color w:val="auto"/>
              </w:rPr>
            </w:pPr>
          </w:p>
        </w:tc>
      </w:tr>
      <w:tr>
        <w:trPr>
          <w:trHeight w:val="250"/>
        </w:trPr>
        <w:tc>
          <w:tcPr>
            <w:tcW w:w="5700" w:type="dxa"/>
            <w:vAlign w:val="bottom"/>
            <w:gridSpan w:val="2"/>
          </w:tcPr>
          <w:p>
            <w:pPr>
              <w:ind w:left="3720"/>
              <w:spacing w:after="0"/>
              <w:rPr>
                <w:sz w:val="20"/>
                <w:szCs w:val="20"/>
                <w:color w:val="auto"/>
              </w:rPr>
            </w:pPr>
            <w:r>
              <w:rPr>
                <w:rFonts w:ascii="Times New Roman" w:cs="Times New Roman" w:eastAsia="Times New Roman" w:hAnsi="Times New Roman"/>
                <w:sz w:val="18"/>
                <w:szCs w:val="18"/>
                <w:b w:val="1"/>
                <w:bCs w:val="1"/>
                <w:color w:val="auto"/>
              </w:rPr>
              <w:t>Quorum</w:t>
            </w:r>
          </w:p>
        </w:tc>
        <w:tc>
          <w:tcPr>
            <w:tcW w:w="2400" w:type="dxa"/>
            <w:vAlign w:val="bottom"/>
          </w:tcPr>
          <w:p>
            <w:pPr>
              <w:spacing w:after="0"/>
              <w:rPr>
                <w:sz w:val="21"/>
                <w:szCs w:val="2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A majority the Board constitutes</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Board of Directors.</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majority of the Combined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 quorum at any meeting of the Board.</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Entity’s board of directors constitutes a quorum at any</w:t>
            </w:r>
          </w:p>
        </w:tc>
      </w:tr>
      <w:tr>
        <w:trPr>
          <w:trHeight w:val="349"/>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The presence, in person or by proxy, at</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meeting of the Combined Entity’s board of directors.</w:t>
            </w: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 stockholders meeting of the holders of shares of</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 xml:space="preserve">Stockholders.   </w:t>
            </w:r>
            <w:r>
              <w:rPr>
                <w:rFonts w:ascii="Times New Roman" w:cs="Times New Roman" w:eastAsia="Times New Roman" w:hAnsi="Times New Roman"/>
                <w:sz w:val="18"/>
                <w:szCs w:val="18"/>
                <w:color w:val="auto"/>
              </w:rPr>
              <w:t>The presence, in person or by proxy, at</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capital stock representing a majority of</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stockholders meeting of the holders of shares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voting power of all outstanding shares of capital</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and  outstanding  capital  stock  of  Combined</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 entitled to vote at such meeting constitutes a</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Entity representing a majority of the voting power of all</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quorum; expect that when specified business is to be</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issued  and  outstanding  shares  of  capital  stock  of</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voted on by a class or series of stock voting together</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Combined  Entity entitled  to  vote at such meeting</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 a single class, the holders of shares representing a</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constitutes a quorum; provided, however, that where a</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voting power of the outstanding shares</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separate vote by a class or classes of capital stock is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such class or series will constitute a quorum.</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required, the holders of a majority in voting power of</w:t>
            </w:r>
          </w:p>
        </w:tc>
      </w:tr>
      <w:tr>
        <w:trPr>
          <w:trHeight w:val="216"/>
        </w:trPr>
        <w:tc>
          <w:tcPr>
            <w:tcW w:w="4000" w:type="dxa"/>
            <w:vAlign w:val="bottom"/>
          </w:tcPr>
          <w:p>
            <w:pPr>
              <w:spacing w:after="0"/>
              <w:rPr>
                <w:sz w:val="18"/>
                <w:szCs w:val="18"/>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shares of such class and entitled to vote on such</w:t>
            </w:r>
          </w:p>
        </w:tc>
      </w:tr>
      <w:tr>
        <w:trPr>
          <w:trHeight w:val="216"/>
        </w:trPr>
        <w:tc>
          <w:tcPr>
            <w:tcW w:w="4000" w:type="dxa"/>
            <w:vAlign w:val="bottom"/>
          </w:tcPr>
          <w:p>
            <w:pPr>
              <w:spacing w:after="0"/>
              <w:rPr>
                <w:sz w:val="18"/>
                <w:szCs w:val="18"/>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matter, present in person or represented by proxy, shall</w:t>
            </w:r>
          </w:p>
        </w:tc>
      </w:tr>
      <w:tr>
        <w:trPr>
          <w:trHeight w:val="234"/>
        </w:trPr>
        <w:tc>
          <w:tcPr>
            <w:tcW w:w="4000" w:type="dxa"/>
            <w:vAlign w:val="bottom"/>
          </w:tcPr>
          <w:p>
            <w:pPr>
              <w:spacing w:after="0"/>
              <w:rPr>
                <w:sz w:val="20"/>
                <w:szCs w:val="20"/>
                <w:color w:val="auto"/>
              </w:rPr>
            </w:pP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constitute a quorum.</w:t>
            </w:r>
          </w:p>
        </w:tc>
        <w:tc>
          <w:tcPr>
            <w:tcW w:w="2400" w:type="dxa"/>
            <w:vAlign w:val="bottom"/>
          </w:tcPr>
          <w:p>
            <w:pPr>
              <w:spacing w:after="0"/>
              <w:rPr>
                <w:sz w:val="20"/>
                <w:szCs w:val="20"/>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Interested Directors</w:t>
      </w:r>
    </w:p>
    <w:p>
      <w:pPr>
        <w:spacing w:after="0" w:line="202" w:lineRule="exact"/>
        <w:rPr>
          <w:sz w:val="20"/>
          <w:szCs w:val="20"/>
          <w:color w:val="auto"/>
        </w:rPr>
      </w:pPr>
    </w:p>
    <w:p>
      <w:pPr>
        <w:ind w:left="460"/>
        <w:spacing w:after="0"/>
        <w:tabs>
          <w:tab w:leader="none" w:pos="4920" w:val="left"/>
          <w:tab w:leader="none" w:pos="5820" w:val="left"/>
          <w:tab w:leader="none" w:pos="6400" w:val="left"/>
          <w:tab w:leader="none" w:pos="7280" w:val="left"/>
          <w:tab w:leader="none" w:pos="7700" w:val="left"/>
          <w:tab w:leader="none" w:pos="8380" w:val="left"/>
        </w:tabs>
        <w:rPr>
          <w:sz w:val="20"/>
          <w:szCs w:val="20"/>
          <w:color w:val="auto"/>
        </w:rPr>
      </w:pPr>
      <w:r>
        <w:rPr>
          <w:rFonts w:ascii="Times New Roman" w:cs="Times New Roman" w:eastAsia="Times New Roman" w:hAnsi="Times New Roman"/>
          <w:sz w:val="18"/>
          <w:szCs w:val="18"/>
          <w:color w:val="auto"/>
        </w:rPr>
        <w:t>To the extent permitted by law, FS Development The</w:t>
        <w:tab/>
        <w:t>Combined</w:t>
        <w:tab/>
        <w:t>Entity</w:t>
        <w:tab/>
        <w:t>renounces</w:t>
        <w:tab/>
        <w:t>any</w:t>
        <w:tab/>
        <w:t>interest</w:t>
      </w:r>
      <w:r>
        <w:rPr>
          <w:sz w:val="20"/>
          <w:szCs w:val="20"/>
          <w:color w:val="auto"/>
        </w:rPr>
        <w:tab/>
      </w:r>
      <w:r>
        <w:rPr>
          <w:rFonts w:ascii="Times New Roman" w:cs="Times New Roman" w:eastAsia="Times New Roman" w:hAnsi="Times New Roman"/>
          <w:sz w:val="16"/>
          <w:szCs w:val="16"/>
          <w:color w:val="auto"/>
        </w:rPr>
        <w:t>or</w:t>
      </w:r>
    </w:p>
    <w:p>
      <w:pPr>
        <w:spacing w:after="0" w:line="27" w:lineRule="exact"/>
        <w:rPr>
          <w:sz w:val="20"/>
          <w:szCs w:val="20"/>
          <w:color w:val="auto"/>
        </w:rPr>
      </w:pPr>
    </w:p>
    <w:p>
      <w:pPr>
        <w:ind w:left="460"/>
        <w:spacing w:after="0"/>
        <w:tabs>
          <w:tab w:leader="none" w:pos="1320" w:val="left"/>
          <w:tab w:leader="none" w:pos="1720" w:val="left"/>
          <w:tab w:leader="none" w:pos="2680" w:val="left"/>
          <w:tab w:leader="none" w:pos="3100" w:val="left"/>
          <w:tab w:leader="none" w:pos="3520" w:val="left"/>
          <w:tab w:leader="none" w:pos="3820" w:val="left"/>
          <w:tab w:leader="none" w:pos="4180" w:val="left"/>
        </w:tabs>
        <w:rPr>
          <w:sz w:val="20"/>
          <w:szCs w:val="20"/>
          <w:color w:val="auto"/>
        </w:rPr>
      </w:pPr>
      <w:r>
        <w:rPr>
          <w:rFonts w:ascii="Times New Roman" w:cs="Times New Roman" w:eastAsia="Times New Roman" w:hAnsi="Times New Roman"/>
          <w:sz w:val="18"/>
          <w:szCs w:val="18"/>
          <w:color w:val="auto"/>
        </w:rPr>
        <w:t>renounces</w:t>
        <w:tab/>
        <w:t>any</w:t>
        <w:tab/>
        <w:t>expectancy</w:t>
        <w:tab/>
        <w:t>that</w:t>
        <w:tab/>
        <w:t>any</w:t>
        <w:tab/>
        <w:t>of</w:t>
        <w:tab/>
        <w:t>the</w:t>
        <w:tab/>
        <w:t>FS expectancy of Combined Entity in, or in being offered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Development  directors  or  officers  will  offer  any an opportunity to participate in, any matter, transaction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corporate opportunity in which he or she may become or interest that is presented to, or acquired, created 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aware to FS Development, except with respect to any developed by any director of Combined Entity who is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the directors or officers of FS Development with not an employee or officer of Combined Entity or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respect to a corporate opportunity that was offered to of its subsidiaries, unless such matter, transaction or</w:t>
      </w:r>
    </w:p>
    <w:p>
      <w:pPr>
        <w:spacing w:after="0" w:line="9" w:lineRule="exact"/>
        <w:rPr>
          <w:sz w:val="20"/>
          <w:szCs w:val="20"/>
          <w:color w:val="auto"/>
        </w:rPr>
      </w:pPr>
    </w:p>
    <w:p>
      <w:pPr>
        <w:ind w:left="460"/>
        <w:spacing w:after="0"/>
        <w:tabs>
          <w:tab w:leader="none" w:pos="5160" w:val="left"/>
          <w:tab w:leader="none" w:pos="5420" w:val="left"/>
          <w:tab w:leader="none" w:pos="6260" w:val="left"/>
          <w:tab w:leader="none" w:pos="6600" w:val="left"/>
          <w:tab w:leader="none" w:pos="6900" w:val="left"/>
          <w:tab w:leader="none" w:pos="7700" w:val="left"/>
          <w:tab w:leader="none" w:pos="8380" w:val="left"/>
        </w:tabs>
        <w:rPr>
          <w:sz w:val="20"/>
          <w:szCs w:val="20"/>
          <w:color w:val="auto"/>
        </w:rPr>
      </w:pPr>
      <w:r>
        <w:rPr>
          <w:rFonts w:ascii="Times New Roman" w:cs="Times New Roman" w:eastAsia="Times New Roman" w:hAnsi="Times New Roman"/>
          <w:sz w:val="18"/>
          <w:szCs w:val="18"/>
          <w:color w:val="auto"/>
        </w:rPr>
        <w:t>such person solely in his or her capacity as a director interest</w:t>
        <w:tab/>
        <w:t>is</w:t>
        <w:tab/>
        <w:t>presented</w:t>
        <w:tab/>
        <w:t>to,</w:t>
        <w:tab/>
        <w:t>or</w:t>
        <w:tab/>
        <w:t>acquired,</w:t>
        <w:tab/>
        <w:t>created</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officer of FS Development and (i) such opportunity developed by, or otherwise comes into the possession</w:t>
      </w:r>
    </w:p>
    <w:p>
      <w:pPr>
        <w:spacing w:after="0" w:line="9" w:lineRule="exact"/>
        <w:rPr>
          <w:sz w:val="20"/>
          <w:szCs w:val="20"/>
          <w:color w:val="auto"/>
        </w:rPr>
      </w:pPr>
    </w:p>
    <w:p>
      <w:pPr>
        <w:ind w:left="460"/>
        <w:spacing w:after="0"/>
        <w:tabs>
          <w:tab w:leader="none" w:pos="740" w:val="left"/>
          <w:tab w:leader="none" w:pos="1180" w:val="left"/>
          <w:tab w:leader="none" w:pos="1620" w:val="left"/>
          <w:tab w:leader="none" w:pos="2000" w:val="left"/>
          <w:tab w:leader="none" w:pos="3160" w:val="left"/>
          <w:tab w:leader="none" w:pos="3460" w:val="left"/>
          <w:tab w:leader="none" w:pos="4120" w:val="left"/>
        </w:tabs>
        <w:rPr>
          <w:sz w:val="20"/>
          <w:szCs w:val="20"/>
          <w:color w:val="auto"/>
        </w:rPr>
      </w:pPr>
      <w:r>
        <w:rPr>
          <w:rFonts w:ascii="Times New Roman" w:cs="Times New Roman" w:eastAsia="Times New Roman" w:hAnsi="Times New Roman"/>
          <w:sz w:val="18"/>
          <w:szCs w:val="18"/>
          <w:color w:val="auto"/>
        </w:rPr>
        <w:t>is</w:t>
        <w:tab/>
        <w:t>one</w:t>
        <w:tab/>
        <w:t>that</w:t>
        <w:tab/>
        <w:t>FS</w:t>
        <w:tab/>
        <w:t>Development</w:t>
        <w:tab/>
        <w:t>is</w:t>
        <w:tab/>
        <w:t>legally</w:t>
        <w:tab/>
        <w:t>and of, such person expressly and solely in such person’s</w:t>
      </w:r>
    </w:p>
    <w:p>
      <w:pPr>
        <w:spacing w:after="0" w:line="9" w:lineRule="exact"/>
        <w:rPr>
          <w:sz w:val="20"/>
          <w:szCs w:val="20"/>
          <w:color w:val="auto"/>
        </w:rPr>
      </w:pPr>
    </w:p>
    <w:p>
      <w:pPr>
        <w:ind w:left="460"/>
        <w:spacing w:after="0"/>
        <w:tabs>
          <w:tab w:leader="none" w:pos="1520" w:val="left"/>
          <w:tab w:leader="none" w:pos="2360" w:val="left"/>
          <w:tab w:leader="none" w:pos="2660" w:val="left"/>
          <w:tab w:leader="none" w:pos="3520" w:val="left"/>
          <w:tab w:leader="none" w:pos="3940" w:val="left"/>
        </w:tabs>
        <w:rPr>
          <w:sz w:val="20"/>
          <w:szCs w:val="20"/>
          <w:color w:val="auto"/>
        </w:rPr>
      </w:pPr>
      <w:r>
        <w:rPr>
          <w:rFonts w:ascii="Times New Roman" w:cs="Times New Roman" w:eastAsia="Times New Roman" w:hAnsi="Times New Roman"/>
          <w:sz w:val="18"/>
          <w:szCs w:val="18"/>
          <w:color w:val="auto"/>
        </w:rPr>
        <w:t>contractually</w:t>
        <w:tab/>
        <w:t>permitted</w:t>
        <w:tab/>
        <w:t>to</w:t>
        <w:tab/>
        <w:t>undertake</w:t>
        <w:tab/>
        <w:t>and</w:t>
        <w:tab/>
        <w:t>would capacity as a director of the Combined Entity.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be reasonable for FS Development to pursue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(ii) the director or officer is permitted to refer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opportunity to FS Development without violating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legal obligation.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By-laws provide that a special meeting of Subject to the rights of any series of preferred stock,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may be called by the Chairman of the special meetings of the Combined Entity’s stockholders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Chief Executive Officer of FS Development, or may be called by the Combined Entity’s board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pursuant to a resolution adopted by a directors pursuant to a resolution adopted by a majority</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majority of the Board.</w:t>
      </w:r>
      <w:r>
        <w:rPr>
          <w:sz w:val="20"/>
          <w:szCs w:val="20"/>
          <w:color w:val="auto"/>
        </w:rPr>
        <w:tab/>
      </w:r>
      <w:r>
        <w:rPr>
          <w:rFonts w:ascii="Times New Roman" w:cs="Times New Roman" w:eastAsia="Times New Roman" w:hAnsi="Times New Roman"/>
          <w:sz w:val="17"/>
          <w:szCs w:val="17"/>
          <w:color w:val="auto"/>
        </w:rPr>
        <w:t>of the Combined Entity’s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Stockholder Meetings</w:t>
      </w:r>
    </w:p>
    <w:p>
      <w:pPr>
        <w:spacing w:after="0" w:line="202" w:lineRule="exact"/>
        <w:rPr>
          <w:sz w:val="20"/>
          <w:szCs w:val="20"/>
          <w:color w:val="auto"/>
        </w:rPr>
      </w:pPr>
    </w:p>
    <w:p>
      <w:pPr>
        <w:ind w:left="460" w:right="459"/>
        <w:spacing w:after="0" w:line="254" w:lineRule="auto"/>
        <w:rPr>
          <w:sz w:val="20"/>
          <w:szCs w:val="20"/>
          <w:color w:val="auto"/>
        </w:rPr>
      </w:pPr>
      <w:r>
        <w:rPr>
          <w:rFonts w:ascii="Times New Roman" w:cs="Times New Roman" w:eastAsia="Times New Roman" w:hAnsi="Times New Roman"/>
          <w:sz w:val="18"/>
          <w:szCs w:val="18"/>
          <w:color w:val="auto"/>
        </w:rPr>
        <w:t>Written notice stating the place, if any, date and hour Except as otherwise provided by law or the Proposed of each meeting of FS Development’s stockholders, Charter or the Amended By-laws, notice of each the means of remote communications, if any, by which meeting of the Combined Entity’s stockholders, stockholders and proxy holders may be deemed to be whether annual or special, shall be given not less than present in person and vote at such meeting, the record ten (10) nor more than sixty (60) days before the date of date for determining the stockholders entitled to vote the meeting to each stockholder entitled to vote at such at the meeting (if such date is different from the record meeting as of the record date for determining the date for stockholders entitled to notice of the meeting) Combined Entity’s stockholders entitled to notice of the must be delivered not less than ten (10) nor more than meeting. sixty (60) days before the date of the meeting, unless</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otherwise required by law.</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8" w:name="page219"/>
    <w:bookmarkEnd w:id="2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3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Whenever notice is required to be given to any FS Without limiting the manner by which notice otherwise Development stockholder, such notice may be given may be given to the Combined Entity’s stockholders,</w:t>
      </w:r>
    </w:p>
    <w:p>
      <w:pPr>
        <w:jc w:val="both"/>
        <w:ind w:left="460" w:right="459" w:hanging="6"/>
        <w:spacing w:after="0" w:line="250" w:lineRule="auto"/>
        <w:tabs>
          <w:tab w:leader="none" w:pos="67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writing and sent either by hand delivery, through any notice to the Combined Entity’s stockholders given the United States mail, or by a nationally recognized by Combined Entity shall be effective if given by overnight delivery service for next day delivery, or electronic transmission in accordance with Section 232</w:t>
      </w:r>
    </w:p>
    <w:p>
      <w:pPr>
        <w:spacing w:after="0" w:line="1" w:lineRule="exact"/>
        <w:rPr>
          <w:rFonts w:ascii="Times New Roman" w:cs="Times New Roman" w:eastAsia="Times New Roman" w:hAnsi="Times New Roman"/>
          <w:sz w:val="18"/>
          <w:szCs w:val="18"/>
          <w:color w:val="auto"/>
        </w:rPr>
      </w:pPr>
    </w:p>
    <w:p>
      <w:pPr>
        <w:ind w:left="760" w:hanging="306"/>
        <w:spacing w:after="0"/>
        <w:tabs>
          <w:tab w:leader="none" w:pos="7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form of electronic transmission of the DGCL. The notices of all meetings shall state the</w:t>
      </w:r>
    </w:p>
    <w:p>
      <w:pPr>
        <w:spacing w:after="0" w:line="9"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consented to by the stockholder, to the extent place, if any, date and time of the meeting, the means of permitted by, and subject to the conditions set forth in remote communications, if any, by which stockholders</w:t>
      </w:r>
    </w:p>
    <w:p>
      <w:pPr>
        <w:spacing w:after="0" w:line="1"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Section 232 of the DGCL.</w:t>
      </w:r>
      <w:r>
        <w:rPr>
          <w:sz w:val="20"/>
          <w:szCs w:val="20"/>
          <w:color w:val="auto"/>
        </w:rPr>
        <w:tab/>
      </w:r>
      <w:r>
        <w:rPr>
          <w:rFonts w:ascii="Times New Roman" w:cs="Times New Roman" w:eastAsia="Times New Roman" w:hAnsi="Times New Roman"/>
          <w:sz w:val="18"/>
          <w:szCs w:val="18"/>
          <w:color w:val="auto"/>
        </w:rPr>
        <w:t>and proxyholders may be deemed to be present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person and vote at such meeting, and the record date for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determining the stockholders entitled to vote at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meeting (if such date is different from the record date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for stockholders entitled to notice of the meeting).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notice of a special meeting shall state, in addition,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purpose or purposes for which the meeting is called.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(Other than Nomination of Persons for Election as Directors)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 business may be transacted at an annual meeting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 business may be conducted at an annual meeting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stockholders, other than business that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the Combined Entity’s stockholders, other than business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is either (i) specified in FS Development’s notice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that is either (i) specified in Combined Entity’s notice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meeting  (or  any  supplement  thereto)  delivered</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meeting</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delivered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pursuant  to  the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pursuant  to  the  By-laws,  (ii)  otherwise  properly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(ii)  otherwise  properly  brought  before  the  annual</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brought  before  the  annual  meeting  by  or  at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meeting by or at the direction of the board (or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direction of the Board or (iii) otherwise properly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committee thereof) or (iii) otherwise properly brought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brought  before  the  annual  meeting  by  any  FS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before the annual meeting by any stockholder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stockholder who is entitled to vote at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Combined Entity who is entitled to vote at the meeting,</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meeting, who complies with the notice procedures set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who complies with the notice procedures set forth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forth in the Current By-laws.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Amended By-laws and who is a stockholder of record</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FS Development stockholder must (i) give timely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at the time such notice is delivered to the Secretary of</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190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the Combined Entity.</w:t>
            </w: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notice thereof in proper written form to the Secretary</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FS Development, and (ii) the business must be a</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Combined Entity stockholder must (i) give timely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proper matter for stockholder action. To be timely, a</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notice thereof in proper written form to the Secretary of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FS  Development  stockholder’s  notice  must  be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Combined Entity and (ii) the business must be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received by the Secretary at the principal executive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proper matter for stockholder action. To be timely, a</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offices of FS Development not later than the close of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stockholder’s notice must be received at the principal</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executive offices of Combined Entity not less than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opening of business on the one-hundred twentieth</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ninety  (90)</w:t>
            </w:r>
          </w:p>
        </w:tc>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  more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than  one-hundred  twenty</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before  the  anniversary  date  of  the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(120) days prior to the one-year anniversary of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immediately  preceding  annual  meeting;  provided,</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preceding year’s annual meeting; provided however if</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however, that in the event that the annual meeting is</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date of the annual meeting is more than thirty (30)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more than 30 days before or more than 60 days after</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days before or more than sixty (60) days after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such anniversary date, notice must be delivered not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anniversary date, the notice must be delivered not later</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410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18"/>
                <w:szCs w:val="18"/>
                <w:color w:val="auto"/>
              </w:rPr>
              <w:t>than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annual</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before the meeting and not later than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meeting or, if later, the tenth day following the day on</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before the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public</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9"/>
              </w:rPr>
              <w:t>which public disclosure of such meeting was first made.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the date of the annual meeting, if</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public  announcement  of  an  adjournment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later. The public announcement of an adjournment or</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postponement of an annual meeting will not commence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postponement  of  an  annual  meeting  shall  not</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 new time period (or extend any time period) for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commence a new time period (or extend any time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giving  of  a  stockholder’s  notice.  Additionally,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period)  for  the  giving  of  a  stockholder’s  notice.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stockholder must provide information pursuant to the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Additionally,   the   stockholder   must   provide</w:t>
            </w:r>
          </w:p>
        </w:tc>
        <w:tc>
          <w:tcPr>
            <w:tcW w:w="4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advance notice provisions in the Amended By-laws.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pursuant to the advance notice provisions</w:t>
            </w: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 the Current By-laws.</w:t>
            </w: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tcBorders>
              <w:bottom w:val="single" w:sz="8" w:color="auto"/>
            </w:tcBorders>
            <w:gridSpan w:val="2"/>
          </w:tcPr>
          <w:p>
            <w:pPr>
              <w:ind w:left="3900"/>
              <w:spacing w:after="0"/>
              <w:rPr>
                <w:sz w:val="20"/>
                <w:szCs w:val="20"/>
                <w:color w:val="auto"/>
              </w:rPr>
            </w:pPr>
            <w:r>
              <w:rPr>
                <w:rFonts w:ascii="Times New Roman" w:cs="Times New Roman" w:eastAsia="Times New Roman" w:hAnsi="Times New Roman"/>
                <w:sz w:val="18"/>
                <w:szCs w:val="18"/>
                <w:color w:val="auto"/>
              </w:rPr>
              <w:t>207</w:t>
            </w:r>
          </w:p>
        </w:tc>
        <w:tc>
          <w:tcPr>
            <w:tcW w:w="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19" w:name="page220"/>
    <w:bookmarkEnd w:id="2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c>
          <w:tcPr>
            <w:tcW w:w="0" w:type="dxa"/>
            <w:vAlign w:val="bottom"/>
          </w:tcPr>
          <w:p>
            <w:pPr>
              <w:spacing w:after="0"/>
              <w:rPr>
                <w:sz w:val="1"/>
                <w:szCs w:val="1"/>
                <w:color w:val="auto"/>
              </w:rPr>
            </w:pPr>
          </w:p>
        </w:tc>
      </w:tr>
      <w:tr>
        <w:trPr>
          <w:trHeight w:val="87"/>
        </w:trPr>
        <w:tc>
          <w:tcPr>
            <w:tcW w:w="81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810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Stockholder Nominations of Persons for Election as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Nominations of persons for election to Board may be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Nominations of persons for election to the Combined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made by any stockholder of FS Development who is a</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Entity’s  board  of  directors  may  be  made  by  any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of record entitled to vote in the election of</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of Combined Entity who provides a timely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on the date of the giving of the notice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(i.e. provides notice which must be received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required (as described below) and on the record date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writing  by  the  secretary  of  Combined  Entity  at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 the determination of stockholders entitled to vote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Entity’s principal executive officer either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at such meeting and who gives proper notice.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 in the case of an election of directors at an annual</w:t>
            </w:r>
          </w:p>
        </w:tc>
        <w:tc>
          <w:tcPr>
            <w:tcW w:w="0" w:type="dxa"/>
            <w:vAlign w:val="bottom"/>
          </w:tcPr>
          <w:p>
            <w:pPr>
              <w:spacing w:after="0"/>
              <w:rPr>
                <w:sz w:val="1"/>
                <w:szCs w:val="1"/>
                <w:color w:val="auto"/>
              </w:rPr>
            </w:pPr>
          </w:p>
        </w:tc>
      </w:tr>
      <w:tr>
        <w:trPr>
          <w:trHeight w:val="216"/>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 give timely notice, a stockholder’s notice must be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 not less than ninety (90) days nor more than</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one  hundred  twenty  (120)  days  prior  to  the  first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given to the Secretary of FS Development at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anniversary of the preceding year’s annual meeting (in</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offices of FS Development either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most cases) or (ii) in the case of an election of directors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 in the case of an annual meeting, not later than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a special meeting, not earlier than one hundred</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close of business on the ninetieth (90</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4"/>
                <w:szCs w:val="14"/>
                <w:color w:val="auto"/>
              </w:rPr>
              <w:t>) day nor earlier</w:t>
            </w:r>
          </w:p>
        </w:tc>
        <w:tc>
          <w:tcPr>
            <w:tcW w:w="410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th</w:t>
            </w:r>
          </w:p>
        </w:tc>
        <w:tc>
          <w:tcPr>
            <w:tcW w:w="0" w:type="dxa"/>
            <w:vAlign w:val="bottom"/>
          </w:tcPr>
          <w:p>
            <w:pPr>
              <w:spacing w:after="0"/>
              <w:rPr>
                <w:sz w:val="1"/>
                <w:szCs w:val="1"/>
                <w:color w:val="auto"/>
              </w:rPr>
            </w:pPr>
          </w:p>
        </w:tc>
      </w:tr>
      <w:tr>
        <w:trPr>
          <w:trHeight w:val="117"/>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than  the  close  of  business  on  the  one  hundred</w:t>
            </w:r>
          </w:p>
        </w:tc>
        <w:tc>
          <w:tcPr>
            <w:tcW w:w="410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twentieth (120 ) day prior to such special meeting and</w:t>
            </w:r>
          </w:p>
        </w:tc>
        <w:tc>
          <w:tcPr>
            <w:tcW w:w="0" w:type="dxa"/>
            <w:vAlign w:val="bottom"/>
          </w:tcPr>
          <w:p>
            <w:pPr>
              <w:spacing w:after="0"/>
              <w:rPr>
                <w:sz w:val="1"/>
                <w:szCs w:val="1"/>
                <w:color w:val="auto"/>
              </w:rPr>
            </w:pPr>
          </w:p>
        </w:tc>
      </w:tr>
      <w:tr>
        <w:trPr>
          <w:trHeight w:val="180"/>
        </w:trPr>
        <w:tc>
          <w:tcPr>
            <w:tcW w:w="4000" w:type="dxa"/>
            <w:vAlign w:val="bottom"/>
            <w:vMerge w:val="continue"/>
          </w:tcPr>
          <w:p>
            <w:pPr>
              <w:spacing w:after="0"/>
              <w:rPr>
                <w:sz w:val="15"/>
                <w:szCs w:val="15"/>
                <w:color w:val="auto"/>
              </w:rPr>
            </w:pPr>
          </w:p>
        </w:tc>
        <w:tc>
          <w:tcPr>
            <w:tcW w:w="41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not later than the close of business on the later of (a) the</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before the anniversary date of the</w:t>
            </w:r>
          </w:p>
        </w:tc>
        <w:tc>
          <w:tcPr>
            <w:tcW w:w="410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such special meeting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immediately preceding annual meeting of stockholders</w:t>
            </w:r>
          </w:p>
        </w:tc>
        <w:tc>
          <w:tcPr>
            <w:tcW w:w="410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(b)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 most cases) and (ii) in the case of a special meeting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 disclosure of the date of such special meeting for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of stockholders called for the purpose of electing</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election of directors is first made), is a stockholder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not later than the close of business on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record on the date of giving such notices and on the</w:t>
            </w:r>
          </w:p>
        </w:tc>
        <w:tc>
          <w:tcPr>
            <w:tcW w:w="0" w:type="dxa"/>
            <w:vAlign w:val="bottom"/>
          </w:tcPr>
          <w:p>
            <w:pPr>
              <w:spacing w:after="0"/>
              <w:rPr>
                <w:sz w:val="1"/>
                <w:szCs w:val="1"/>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record  date  for  the  determination  of  stockholders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the date of the special meeting is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entitled to vote at such a meeting, and is entitled to vote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first made.</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at such meeting and on such election.</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4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 and Officers</w:t>
      </w:r>
    </w:p>
    <w:p>
      <w:pPr>
        <w:spacing w:after="0" w:line="202" w:lineRule="exact"/>
        <w:rPr>
          <w:sz w:val="20"/>
          <w:szCs w:val="20"/>
          <w:color w:val="auto"/>
        </w:rPr>
      </w:pPr>
    </w:p>
    <w:p>
      <w:pPr>
        <w:ind w:left="460" w:right="459"/>
        <w:spacing w:after="0"/>
        <w:rPr>
          <w:sz w:val="20"/>
          <w:szCs w:val="20"/>
          <w:color w:val="auto"/>
        </w:rPr>
      </w:pPr>
      <w:r>
        <w:rPr>
          <w:rFonts w:ascii="Times New Roman" w:cs="Times New Roman" w:eastAsia="Times New Roman" w:hAnsi="Times New Roman"/>
          <w:sz w:val="18"/>
          <w:szCs w:val="18"/>
          <w:color w:val="auto"/>
        </w:rPr>
        <w:t>The DGCL permits limiting or eliminating the The DGCL permits limiting or eliminating the monetary liability of a director to a corporation or its monetary liability of a director to a corporation or its stockholders, except with regard to breaches of the stockholders, except with regard to breaches of the duty duty of loyalty, intentional misconduct, unlawful of loyalty, intentional misconduct, unlawful repurchases repurchases or dividends, or improper personal or dividends, or improper personal benefit. benefit.</w:t>
      </w:r>
    </w:p>
    <w:p>
      <w:pPr>
        <w:spacing w:after="0" w:line="2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Proposed Charter provides that no director will be</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Charter provides that no director will be personally liable, except to the extent an exemption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personally liable, except to the extent an exemption from liability or limitation is not permitted under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liability or limitation is not permitted under the DGCL, unless a director breached his or her duty of</w:t>
      </w:r>
    </w:p>
    <w:p>
      <w:pPr>
        <w:spacing w:after="0" w:line="9" w:lineRule="exact"/>
        <w:rPr>
          <w:sz w:val="20"/>
          <w:szCs w:val="20"/>
          <w:color w:val="auto"/>
        </w:rPr>
      </w:pPr>
    </w:p>
    <w:p>
      <w:pPr>
        <w:ind w:left="460"/>
        <w:spacing w:after="0"/>
        <w:tabs>
          <w:tab w:leader="none" w:pos="5140" w:val="left"/>
          <w:tab w:leader="none" w:pos="5440" w:val="left"/>
          <w:tab w:leader="none" w:pos="6340" w:val="left"/>
          <w:tab w:leader="none" w:pos="6940" w:val="left"/>
          <w:tab w:leader="none" w:pos="7260" w:val="left"/>
          <w:tab w:leader="none" w:pos="7580" w:val="left"/>
        </w:tabs>
        <w:rPr>
          <w:sz w:val="20"/>
          <w:szCs w:val="20"/>
          <w:color w:val="auto"/>
        </w:rPr>
      </w:pPr>
      <w:r>
        <w:rPr>
          <w:rFonts w:ascii="Times New Roman" w:cs="Times New Roman" w:eastAsia="Times New Roman" w:hAnsi="Times New Roman"/>
          <w:sz w:val="18"/>
          <w:szCs w:val="18"/>
          <w:color w:val="auto"/>
        </w:rPr>
        <w:t>DGCL, unless a director violated his or her duty of loyalty</w:t>
        <w:tab/>
        <w:t>to</w:t>
        <w:tab/>
        <w:t>Combined</w:t>
        <w:tab/>
        <w:t>Entity</w:t>
        <w:tab/>
        <w:t>or</w:t>
        <w:tab/>
        <w:t>its</w:t>
        <w:tab/>
        <w:t>stockholders,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loyalty to the FS Development or its stockholders, performed acts or omissions not in good faith or which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acted in bad faith, knowingly or intentionally violated involve intentional misconduct or a knowing violation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law, authorized unlawful payments of dividends, of law, pursuant to Section 174 of the DGCL, or for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unlawful stock purchases or unlawful redemptions, or transaction from which the director derived an improper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derived improper personal benefit from his or her personal benefit.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actions as a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Officers</w:t>
      </w:r>
    </w:p>
    <w:p>
      <w:pPr>
        <w:spacing w:after="0" w:line="202" w:lineRule="exact"/>
        <w:rPr>
          <w:sz w:val="20"/>
          <w:szCs w:val="20"/>
          <w:color w:val="auto"/>
        </w:rPr>
      </w:pPr>
    </w:p>
    <w:p>
      <w:pPr>
        <w:ind w:left="460"/>
        <w:spacing w:after="0"/>
        <w:tabs>
          <w:tab w:leader="none" w:pos="860" w:val="left"/>
          <w:tab w:leader="none" w:pos="1500" w:val="left"/>
          <w:tab w:leader="none" w:pos="2340" w:val="left"/>
          <w:tab w:leader="none" w:pos="3020" w:val="left"/>
          <w:tab w:leader="none" w:pos="3260" w:val="left"/>
          <w:tab w:leader="none" w:pos="4240" w:val="left"/>
          <w:tab w:leader="none" w:pos="4940" w:val="left"/>
          <w:tab w:leader="none" w:pos="5600" w:val="left"/>
          <w:tab w:leader="none" w:pos="6420" w:val="left"/>
          <w:tab w:leader="none" w:pos="7140" w:val="left"/>
          <w:tab w:leader="none" w:pos="7380" w:val="left"/>
          <w:tab w:leader="none" w:pos="8380" w:val="left"/>
        </w:tabs>
        <w:rPr>
          <w:sz w:val="20"/>
          <w:szCs w:val="20"/>
          <w:color w:val="auto"/>
        </w:rPr>
      </w:pPr>
      <w:r>
        <w:rPr>
          <w:rFonts w:ascii="Times New Roman" w:cs="Times New Roman" w:eastAsia="Times New Roman" w:hAnsi="Times New Roman"/>
          <w:sz w:val="18"/>
          <w:szCs w:val="18"/>
          <w:color w:val="auto"/>
        </w:rPr>
        <w:t>The</w:t>
        <w:tab/>
        <w:t>DGCL</w:t>
        <w:tab/>
        <w:t>generally</w:t>
        <w:tab/>
        <w:t>permits</w:t>
        <w:tab/>
        <w:t>a</w:t>
        <w:tab/>
        <w:t>corporation</w:t>
        <w:tab/>
        <w:t>to The</w:t>
        <w:tab/>
        <w:t>DGCL</w:t>
        <w:tab/>
        <w:t>generally</w:t>
        <w:tab/>
        <w:t>permits</w:t>
        <w:tab/>
        <w:t>a</w:t>
        <w:tab/>
        <w:t>corporation</w:t>
      </w:r>
      <w:r>
        <w:rPr>
          <w:sz w:val="20"/>
          <w:szCs w:val="20"/>
          <w:color w:val="auto"/>
        </w:rPr>
        <w:tab/>
      </w:r>
      <w:r>
        <w:rPr>
          <w:rFonts w:ascii="Times New Roman" w:cs="Times New Roman" w:eastAsia="Times New Roman" w:hAnsi="Times New Roman"/>
          <w:sz w:val="17"/>
          <w:szCs w:val="17"/>
          <w:color w:val="auto"/>
        </w:rPr>
        <w:t>to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indemnify its directors and officers acting in good indemnify its directors and officers acting in good faith.</w:t>
      </w:r>
    </w:p>
    <w:p>
      <w:pPr>
        <w:spacing w:after="0" w:line="9" w:lineRule="exact"/>
        <w:rPr>
          <w:sz w:val="20"/>
          <w:szCs w:val="20"/>
          <w:color w:val="auto"/>
        </w:rPr>
      </w:pPr>
    </w:p>
    <w:p>
      <w:pPr>
        <w:ind w:left="460"/>
        <w:spacing w:after="0"/>
        <w:tabs>
          <w:tab w:leader="none" w:pos="5120" w:val="left"/>
          <w:tab w:leader="none" w:pos="5500" w:val="left"/>
          <w:tab w:leader="none" w:pos="6220" w:val="left"/>
          <w:tab w:leader="none" w:pos="6620" w:val="left"/>
          <w:tab w:leader="none" w:pos="7620" w:val="left"/>
          <w:tab w:leader="none" w:pos="8360" w:val="left"/>
        </w:tabs>
        <w:rPr>
          <w:sz w:val="20"/>
          <w:szCs w:val="20"/>
          <w:color w:val="auto"/>
        </w:rPr>
      </w:pPr>
      <w:r>
        <w:rPr>
          <w:rFonts w:ascii="Times New Roman" w:cs="Times New Roman" w:eastAsia="Times New Roman" w:hAnsi="Times New Roman"/>
          <w:sz w:val="18"/>
          <w:szCs w:val="18"/>
          <w:color w:val="auto"/>
        </w:rPr>
        <w:t>faith. Under the DGCL, the corporation through its Under</w:t>
        <w:tab/>
        <w:t>the</w:t>
        <w:tab/>
        <w:t>DGCL,</w:t>
        <w:tab/>
        <w:t>the</w:t>
        <w:tab/>
        <w:t>corporation</w:t>
        <w:tab/>
        <w:t>through</w:t>
        <w:tab/>
        <w:t>its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stockholders, directors or independent legal counsel, stockholders, directors or independent legal counsel,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determine that the conduct of the person seeking will determine that the conduct of the person seeking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indemnity conformed with the statutory provisions indemnity  conformed  with  the  statutory  provisions</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governing indemnity.</w:t>
      </w:r>
      <w:r>
        <w:rPr>
          <w:sz w:val="20"/>
          <w:szCs w:val="20"/>
          <w:color w:val="auto"/>
        </w:rPr>
        <w:tab/>
      </w:r>
      <w:r>
        <w:rPr>
          <w:rFonts w:ascii="Times New Roman" w:cs="Times New Roman" w:eastAsia="Times New Roman" w:hAnsi="Times New Roman"/>
          <w:sz w:val="17"/>
          <w:szCs w:val="17"/>
          <w:color w:val="auto"/>
        </w:rPr>
        <w:t>governing indemnity.</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Current Charter provides that FS Development The Amended By-laws provide that Combined Entity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 indemnify each director and officer to the fullest will indemnify each director and officer to the fullest</w:t>
      </w:r>
    </w:p>
    <w:p>
      <w:pPr>
        <w:spacing w:after="0" w:line="9"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extent permitted by applicable law.</w:t>
      </w:r>
      <w:r>
        <w:rPr>
          <w:sz w:val="20"/>
          <w:szCs w:val="20"/>
          <w:color w:val="auto"/>
        </w:rPr>
        <w:tab/>
      </w:r>
      <w:r>
        <w:rPr>
          <w:rFonts w:ascii="Times New Roman" w:cs="Times New Roman" w:eastAsia="Times New Roman" w:hAnsi="Times New Roman"/>
          <w:sz w:val="17"/>
          <w:szCs w:val="17"/>
          <w:color w:val="auto"/>
        </w:rPr>
        <w:t>extent permitted by applicable law.</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0" w:name="page221"/>
    <w:bookmarkEnd w:id="2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Unless further restricted in the certificate of Unless further restricted in the certificate of incorporation, the DGCL permits a corporation to incorporation, the DGCL permits a corporation to declare and pay dividends out of either (i) surplus, or declare and pay dividends out of either (i) surplus, or</w:t>
      </w:r>
    </w:p>
    <w:p>
      <w:pPr>
        <w:spacing w:after="0" w:line="1" w:lineRule="exact"/>
        <w:rPr>
          <w:sz w:val="20"/>
          <w:szCs w:val="20"/>
          <w:color w:val="auto"/>
        </w:rPr>
      </w:pPr>
    </w:p>
    <w:p>
      <w:pPr>
        <w:jc w:val="both"/>
        <w:ind w:left="460" w:right="459" w:hanging="6"/>
        <w:spacing w:after="0" w:line="250" w:lineRule="auto"/>
        <w:tabs>
          <w:tab w:leader="none" w:pos="73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surplus exists, out of net profits for the fiscal (ii) if no surplus exists, out of net profits for the fiscal year in which the dividend is declared and/or the year in which the dividend is declared and/or the preceding fiscal year (provided that the amount of preceding fiscal year (provided that the amount of capital of the corporation is not less than the aggregate capital of the corporation is not less than the aggregate amount of the capital represented by the issued and amount of the capital represented by the issued and outstanding stock of all classes having a preference outstanding stock of all classes having a preference upon the distribution of assets). The DGCL defines upon the distribution of assets). The DGCL defines surplus as the excess, at any time, of the net assets of a surplus as the excess, at any time, of the net assets of a corporation over its stated capital. In addition, the corporation over its stated capital. In addition, the DGCL provides that a corporation may redeem or DGCL provides that a corporation may redeem or repurchase its shares only when the capital of the repurchase its shares only when the capital of the corporation is not impaired and only if such corporation is not impaired and only if such redemption redemption or repurchase would not cause any or repurchase would not cause any impairment of the</w:t>
      </w:r>
    </w:p>
    <w:p>
      <w:pPr>
        <w:spacing w:after="0" w:line="5"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impairment of the capital of a corporation.</w:t>
      </w:r>
      <w:r>
        <w:rPr>
          <w:sz w:val="20"/>
          <w:szCs w:val="20"/>
          <w:color w:val="auto"/>
        </w:rPr>
        <w:tab/>
      </w:r>
      <w:r>
        <w:rPr>
          <w:rFonts w:ascii="Times New Roman" w:cs="Times New Roman" w:eastAsia="Times New Roman" w:hAnsi="Times New Roman"/>
          <w:sz w:val="17"/>
          <w:szCs w:val="17"/>
          <w:color w:val="auto"/>
        </w:rPr>
        <w:t>capital of a corporation.</w:t>
      </w:r>
    </w:p>
    <w:p>
      <w:pPr>
        <w:spacing w:after="0" w:line="126" w:lineRule="exact"/>
        <w:rPr>
          <w:sz w:val="20"/>
          <w:szCs w:val="20"/>
          <w:color w:val="auto"/>
        </w:rPr>
      </w:pPr>
    </w:p>
    <w:p>
      <w:pPr>
        <w:ind w:left="460" w:right="479"/>
        <w:spacing w:after="0" w:line="257" w:lineRule="auto"/>
        <w:rPr>
          <w:sz w:val="20"/>
          <w:szCs w:val="20"/>
          <w:color w:val="auto"/>
        </w:rPr>
      </w:pPr>
      <w:r>
        <w:rPr>
          <w:rFonts w:ascii="Times New Roman" w:cs="Times New Roman" w:eastAsia="Times New Roman" w:hAnsi="Times New Roman"/>
          <w:sz w:val="18"/>
          <w:szCs w:val="18"/>
          <w:color w:val="auto"/>
        </w:rPr>
        <w:t>The Current Charter provides that, subject to The Proposed Charter provides dividends may be applicable law and the rights, if any, of outstanding declared only when and as declared by the board of shares of preferred stock, the holders of FS directors of the Combined Entity or any authorized Development common stock will be entitled to receive committee thereof out of any assets of Combined Entity dividends (payable in cash, property, or capital stock legally available for dividends. of FS Development) when, as, and if declared by the</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board of directors from time to time out of any assets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 FS Development legally available for dividends.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Subject to applicable law and the rights, if any, of the Subject to applicable law and the preferential or other holders of outstanding shares of preferred stock, the rights of any holders of preferred stock then Current Charter provides that following the payment outstanding, the Proposed Charter provides that upon or provision for payment of the debts and other the voluntary or involuntary liquidation, dissolution or liabilities of FS Development in the event of an winding up of the Combined Entity, the net assets of the voluntary or involuntary liquidation, dissolution, or Combined Entity shall be distributed pro rata to the winding up of FS Development, the holders of FS holders of Combined Entity common stock. Development common stock shall be entitled to</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receive all the remaining assets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available for distribution to its stockholders, ratably in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proportion to the number of shares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held by them.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Supermajority Voting Provisions</w:t>
      </w:r>
    </w:p>
    <w:p>
      <w:pPr>
        <w:spacing w:after="0" w:line="202" w:lineRule="exact"/>
        <w:rPr>
          <w:sz w:val="20"/>
          <w:szCs w:val="20"/>
          <w:color w:val="auto"/>
        </w:rPr>
      </w:pPr>
    </w:p>
    <w:p>
      <w:pPr>
        <w:jc w:val="both"/>
        <w:ind w:left="460" w:right="459"/>
        <w:spacing w:after="0" w:line="248" w:lineRule="auto"/>
        <w:rPr>
          <w:sz w:val="20"/>
          <w:szCs w:val="20"/>
          <w:color w:val="auto"/>
        </w:rPr>
      </w:pPr>
      <w:r>
        <w:rPr>
          <w:rFonts w:ascii="Times New Roman" w:cs="Times New Roman" w:eastAsia="Times New Roman" w:hAnsi="Times New Roman"/>
          <w:sz w:val="18"/>
          <w:szCs w:val="18"/>
          <w:color w:val="auto"/>
        </w:rPr>
        <w:t>The blank shell company provisions the Current The affirmative vote of two-thirds (2/3</w:t>
      </w:r>
      <w:r>
        <w:rPr>
          <w:rFonts w:ascii="Times New Roman" w:cs="Times New Roman" w:eastAsia="Times New Roman" w:hAnsi="Times New Roman"/>
          <w:sz w:val="20"/>
          <w:szCs w:val="20"/>
          <w:color w:val="auto"/>
          <w:vertAlign w:val="superscript"/>
        </w:rPr>
        <w:t>rds</w:t>
      </w:r>
      <w:r>
        <w:rPr>
          <w:rFonts w:ascii="Times New Roman" w:cs="Times New Roman" w:eastAsia="Times New Roman" w:hAnsi="Times New Roman"/>
          <w:sz w:val="18"/>
          <w:szCs w:val="18"/>
          <w:color w:val="auto"/>
        </w:rPr>
        <w:t>) of the voting Charter (Article XI) and Article VIII regarding power of the shares of capital stock of Combined Entity indemnification require the affirmative vote of a that would then be entitled to vote in the election of supermajority of the voting power of all outstanding directors at an annual meeting of stockholders will be</w:t>
      </w:r>
    </w:p>
    <w:p>
      <w:pPr>
        <w:spacing w:after="0" w:line="3"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color w:val="auto"/>
        </w:rPr>
        <w:t>shares of capital stock of FS Development.</w:t>
      </w:r>
      <w:r>
        <w:rPr>
          <w:sz w:val="20"/>
          <w:szCs w:val="20"/>
          <w:color w:val="auto"/>
        </w:rPr>
        <w:tab/>
      </w:r>
      <w:r>
        <w:rPr>
          <w:rFonts w:ascii="Times New Roman" w:cs="Times New Roman" w:eastAsia="Times New Roman" w:hAnsi="Times New Roman"/>
          <w:sz w:val="18"/>
          <w:szCs w:val="18"/>
          <w:color w:val="auto"/>
        </w:rPr>
        <w:t>required in order for the stockholders of Combined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Entity  to  amend  the  Proposed  Charter  in  certain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circumstances, including provides in the Charter related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to  amending  the  Amended  By-laws,  increasing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decreasing the number of directors, filling vacancies 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board of directors, removing a director from office,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 calling a special meeting of stockholders.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1" w:name="page222"/>
    <w:bookmarkEnd w:id="2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FS Development</w:t>
            </w:r>
          </w:p>
        </w:tc>
        <w:tc>
          <w:tcPr>
            <w:tcW w:w="4100" w:type="dxa"/>
            <w:vAlign w:val="bottom"/>
          </w:tcPr>
          <w:p>
            <w:pPr>
              <w:ind w:left="1480"/>
              <w:spacing w:after="0"/>
              <w:rPr>
                <w:sz w:val="20"/>
                <w:szCs w:val="20"/>
                <w:color w:val="auto"/>
              </w:rPr>
            </w:pPr>
            <w:r>
              <w:rPr>
                <w:rFonts w:ascii="Times New Roman" w:cs="Times New Roman" w:eastAsia="Times New Roman" w:hAnsi="Times New Roman"/>
                <w:sz w:val="16"/>
                <w:szCs w:val="16"/>
                <w:b w:val="1"/>
                <w:bCs w:val="1"/>
                <w:color w:val="auto"/>
              </w:rPr>
              <w:t>Combined Entity</w:t>
            </w:r>
          </w:p>
        </w:tc>
      </w:tr>
      <w:tr>
        <w:trPr>
          <w:trHeight w:val="87"/>
        </w:trPr>
        <w:tc>
          <w:tcPr>
            <w:tcW w:w="8100" w:type="dxa"/>
            <w:vAlign w:val="bottom"/>
            <w:tcBorders>
              <w:bottom w:val="single" w:sz="8" w:color="auto"/>
            </w:tcBorders>
            <w:gridSpan w:val="3"/>
          </w:tcPr>
          <w:p>
            <w:pPr>
              <w:spacing w:after="0"/>
              <w:rPr>
                <w:sz w:val="7"/>
                <w:szCs w:val="7"/>
                <w:color w:val="auto"/>
              </w:rPr>
            </w:pPr>
          </w:p>
        </w:tc>
      </w:tr>
      <w:tr>
        <w:trPr>
          <w:trHeight w:val="250"/>
        </w:trPr>
        <w:tc>
          <w:tcPr>
            <w:tcW w:w="8100" w:type="dxa"/>
            <w:vAlign w:val="bottom"/>
            <w:gridSpan w:val="3"/>
          </w:tcPr>
          <w:p>
            <w:pPr>
              <w:ind w:left="1700"/>
              <w:spacing w:after="0"/>
              <w:rPr>
                <w:sz w:val="20"/>
                <w:szCs w:val="20"/>
                <w:color w:val="auto"/>
              </w:rPr>
            </w:pPr>
            <w:r>
              <w:rPr>
                <w:rFonts w:ascii="Times New Roman" w:cs="Times New Roman" w:eastAsia="Times New Roman" w:hAnsi="Times New Roman"/>
                <w:sz w:val="18"/>
                <w:szCs w:val="18"/>
                <w:b w:val="1"/>
                <w:bCs w:val="1"/>
                <w:color w:val="auto"/>
              </w:rPr>
              <w:t>Anti-Takeover Provisions and Other Stockholder Protections</w:t>
            </w:r>
          </w:p>
        </w:tc>
      </w:tr>
      <w:tr>
        <w:trPr>
          <w:trHeight w:val="38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anti-takeover provisions and other stockholder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anti-takeover  provisions  and  other  stockholder</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protections  in  the  Current</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Charter  include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protections included in the Proposed Charter include a</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staggered board, a prohibition</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stockholder action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staggered board, a prohibition on stockholder action by</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by written consent other than</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 relates to Class B</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written consent and blank check preferred stock. The</w:t>
            </w: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and blank check preferred stock.</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Combined Entity opts out of Section 203 of the DGCL.</w:t>
            </w:r>
          </w:p>
        </w:tc>
      </w:tr>
    </w:tbl>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203  of  the  DGCL  prohibit  a  Delaware</w:t>
      </w:r>
    </w:p>
    <w:p>
      <w:pPr>
        <w:spacing w:after="0" w:line="27" w:lineRule="exact"/>
        <w:rPr>
          <w:sz w:val="20"/>
          <w:szCs w:val="20"/>
          <w:color w:val="auto"/>
        </w:rPr>
      </w:pPr>
    </w:p>
    <w:p>
      <w:pPr>
        <w:ind w:left="460"/>
        <w:spacing w:after="0"/>
        <w:tabs>
          <w:tab w:leader="none" w:pos="1500" w:val="left"/>
          <w:tab w:leader="none" w:pos="2100" w:val="left"/>
          <w:tab w:leader="none" w:pos="3000" w:val="left"/>
          <w:tab w:leader="none" w:pos="3380" w:val="left"/>
          <w:tab w:leader="none" w:pos="3680" w:val="left"/>
        </w:tabs>
        <w:rPr>
          <w:sz w:val="20"/>
          <w:szCs w:val="20"/>
          <w:color w:val="auto"/>
        </w:rPr>
      </w:pPr>
      <w:r>
        <w:rPr>
          <w:rFonts w:ascii="Times New Roman" w:cs="Times New Roman" w:eastAsia="Times New Roman" w:hAnsi="Times New Roman"/>
          <w:sz w:val="18"/>
          <w:szCs w:val="18"/>
          <w:color w:val="auto"/>
        </w:rPr>
        <w:t>corporation</w:t>
        <w:tab/>
        <w:t>from</w:t>
        <w:tab/>
        <w:t>engaging</w:t>
        <w:tab/>
        <w:t>in</w:t>
        <w:tab/>
        <w:t>a</w:t>
        <w:tab/>
        <w:t>“business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combination” with an “interested stockholder” (i.e. a</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stockholder owning 15% or more of FS Development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voting stock) for three years following the time that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“interested stockholder” becomes such, subject to</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exceptions.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Preemptive Rights</w:t>
      </w: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There are no preemptive rights relating to the capital</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 are no preemptive rights relating to the capital</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stock of FS.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of the Combined Entity.</w:t>
            </w:r>
          </w:p>
        </w:tc>
        <w:tc>
          <w:tcPr>
            <w:tcW w:w="0" w:type="dxa"/>
            <w:vAlign w:val="bottom"/>
          </w:tcPr>
          <w:p>
            <w:pPr>
              <w:spacing w:after="0"/>
              <w:rPr>
                <w:sz w:val="1"/>
                <w:szCs w:val="1"/>
                <w:color w:val="auto"/>
              </w:rPr>
            </w:pPr>
          </w:p>
        </w:tc>
      </w:tr>
      <w:tr>
        <w:trPr>
          <w:trHeight w:val="405"/>
        </w:trPr>
        <w:tc>
          <w:tcPr>
            <w:tcW w:w="8100" w:type="dxa"/>
            <w:vAlign w:val="bottom"/>
            <w:gridSpan w:val="2"/>
          </w:tcPr>
          <w:p>
            <w:pPr>
              <w:ind w:left="2920"/>
              <w:spacing w:after="0"/>
              <w:rPr>
                <w:sz w:val="20"/>
                <w:szCs w:val="20"/>
                <w:color w:val="auto"/>
              </w:rPr>
            </w:pPr>
            <w:r>
              <w:rPr>
                <w:rFonts w:ascii="Times New Roman" w:cs="Times New Roman" w:eastAsia="Times New Roman" w:hAnsi="Times New Roman"/>
                <w:sz w:val="18"/>
                <w:szCs w:val="18"/>
                <w:b w:val="1"/>
                <w:bCs w:val="1"/>
                <w:color w:val="auto"/>
              </w:rPr>
              <w:t>Fiduciary Duties of Directors</w:t>
            </w:r>
          </w:p>
        </w:tc>
        <w:tc>
          <w:tcPr>
            <w:tcW w:w="0" w:type="dxa"/>
            <w:vAlign w:val="bottom"/>
          </w:tcPr>
          <w:p>
            <w:pPr>
              <w:spacing w:after="0"/>
              <w:rPr>
                <w:sz w:val="1"/>
                <w:szCs w:val="1"/>
                <w:color w:val="auto"/>
              </w:rPr>
            </w:pPr>
          </w:p>
        </w:tc>
      </w:tr>
      <w:tr>
        <w:trPr>
          <w:trHeight w:val="38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Under Delaware law, the standards of conduct for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Delaware law, the standards of conduct for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directors have developed through Delaware court case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have developed through Delaware court case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law. Generally, directors must exercise a duty of care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law. Generally, directors must exercise a duty of care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 duty of loyalty and good faith to the company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duty of loyalty and good faith to the company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its stockholders. Members of the board of directors or</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its stockholders. Members of the board of directors or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any committee designated by the board of directors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committee designated by the board of directors are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are similarly entitled to rely in good faith upon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similarly entitled to rely in good faith upon the records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records of the corporation and upon such information,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corporation and upon such information, opinions,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opinions,  reports  and  statements  presented  to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reports and statements presented to the corporation by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by   corporate   officers,   employees,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officers, employees, committees of the board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committees of the board of directors or other persons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directors or other persons as to matters such member</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as to matters such member reasonably believes are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reasonably believes are within such other person’s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within  such  other  person’s  professional  or  expert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or expert competence, provided that such</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competence, provided that such other person has been</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person has been selected with reasonable care by</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selected with reasonable care by or on behalf of the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on  behalf  of  the  corporation.  Such  appropriate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Such appropriate reliance on records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on  records  and  other  information  protects</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  protects  directors  from  liability</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from liability related to decisions made based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related to decisions made based on such records and</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such records and other information.</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Combined Entity’s board of directors may exercise</w:t>
            </w: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Board  may  exercise  all  such  powers  of  FS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such authority and powers of Combined Entity and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and do all such lawful acts and things as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 all such lawful acts and things as are not by statute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are not by statute or the Current Charter or Current</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the Proposed Charter or Amended By-laws directed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By-laws directed or required to be exercised or done</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required to be exercised or done solely by the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solely by stockholders.</w:t>
            </w:r>
          </w:p>
        </w:tc>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202" w:lineRule="exact"/>
        <w:rPr>
          <w:sz w:val="20"/>
          <w:szCs w:val="20"/>
          <w:color w:val="auto"/>
        </w:rPr>
      </w:pPr>
    </w:p>
    <w:p>
      <w:pPr>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DGCL, any stockholder or beneficial owner Under the DGCL, any stockholder or beneficial owner has the right, upon written demand under oath stating has the right, upon written demand under oath stating the proper purpose thereof, either in person or by the proper purpose thereof, either in person or by attorney or other agent, to inspect and make copies attorney or other agent, to inspect and make copies and and extracts from the corporation’s stock ledger, list of extracts from the corporation’s stock ledger, list of stockholders and its other books and records for a stockholders and its other books and records for a proper purpose during the usual hours for business. proper purpose during the usual hours for business. The Current Charter permits FS Development’s books</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records to be kept within or outside Delaware.</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2" w:name="page223"/>
    <w:bookmarkEnd w:id="2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p>
      <w:pPr>
        <w:ind w:left="1840"/>
        <w:spacing w:after="0"/>
        <w:tabs>
          <w:tab w:leader="none" w:pos="5920" w:val="left"/>
        </w:tabs>
        <w:rPr>
          <w:sz w:val="20"/>
          <w:szCs w:val="20"/>
          <w:color w:val="auto"/>
        </w:rPr>
      </w:pPr>
      <w:r>
        <w:rPr>
          <w:rFonts w:ascii="Times New Roman" w:cs="Times New Roman" w:eastAsia="Times New Roman" w:hAnsi="Times New Roman"/>
          <w:sz w:val="16"/>
          <w:szCs w:val="16"/>
          <w:b w:val="1"/>
          <w:bCs w:val="1"/>
          <w:color w:val="auto"/>
        </w:rPr>
        <w:t>FS Development</w:t>
      </w:r>
      <w:r>
        <w:rPr>
          <w:sz w:val="20"/>
          <w:szCs w:val="20"/>
          <w:color w:val="auto"/>
        </w:rPr>
        <w:tab/>
      </w:r>
      <w:r>
        <w:rPr>
          <w:rFonts w:ascii="Times New Roman" w:cs="Times New Roman" w:eastAsia="Times New Roman" w:hAnsi="Times New Roman"/>
          <w:sz w:val="16"/>
          <w:szCs w:val="16"/>
          <w:b w:val="1"/>
          <w:bCs w:val="1"/>
          <w:color w:val="auto"/>
        </w:rPr>
        <w:t>Combined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73025</wp:posOffset>
            </wp:positionV>
            <wp:extent cx="51435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Current Charter generally designates the Court of The Amended By-laws generally designates Court of Chancery of the State of Delaware as the sole and Chancery of the State of Delaware as the sole and exclusive forum for any stockholder (including a exclusive forum for: (i) any derivative action or beneficial owner) to: (i) any derivative action or proceeding brought on behalf of Combined Entity, proceeding brought on behalf of FS Development, (ii) any action asserting a claim of breach of a fiduciary</w:t>
      </w:r>
    </w:p>
    <w:p>
      <w:pPr>
        <w:spacing w:after="0" w:line="3" w:lineRule="exact"/>
        <w:rPr>
          <w:sz w:val="20"/>
          <w:szCs w:val="20"/>
          <w:color w:val="auto"/>
        </w:rPr>
      </w:pPr>
    </w:p>
    <w:p>
      <w:pPr>
        <w:jc w:val="both"/>
        <w:ind w:left="460" w:right="459" w:hanging="6"/>
        <w:spacing w:after="0" w:line="251" w:lineRule="auto"/>
        <w:tabs>
          <w:tab w:leader="none" w:pos="79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duty owed by, or any other wrongdoing by, any director fiduciary duty owed by any director, officer, or other officer, employee, or stockholder of Combined Entity, employee of FS Development to FS Development or (iii) any action asserting a claim against Combined FS Development’s stockholders, (iii) any action Entity arising pursuant to any provision of the DCGL, asserting a claim against FS Development, its the Combined Entity Chart, or Combined Entity’s By-directors, officers, or employees arising pursuant to laws, (iv) any action to interpret, apply, enforce, or any provision of the DGCL or the Current Charter or determine the validity of any provisions in the Proposed Current By-laws, (iv) any action asserting a claim Charter or Amended By-laws, or (v) any action against FS Development, its directors, officers, or asserting a claim governed by the internal affairs employees governed by the internal affairs doctrine, doctrine and if brought outside of Delaware in the name and, if brought outside of Delaware, the stockholder of any stockholder, the stockholder bringing the suit bringing the suit will be deemed to have consented to will be deemed to have consented to (a) the personal service of process on such stockholder’s counsel, jurisdiction of the state and federal courts within subject to certain exceptions. In addition, Delaware and (b) service of process on such notwithstanding anything to the contrary in the stockholder’s counsel, subject to certain exceptions. In foregoing, the federal district courts of the addition, notwithstanding anything to the contrary in United States are the exclusive forum for the the foregoing, the federal district courts of the District resolution of any action, suit or proceeding asserting a of Massachusetts are the exclusive forum for the cause of action under the Securities Act. The exclusive resolution of any action, suit or proceeding asserting a forum provision does not apply to suits brought to cause of action under the Securities Act. The exclusive enforce any liability or duty created by the Exchange forum provision does not apply to suits brought to</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Act.</w:t>
            </w:r>
          </w:p>
        </w:tc>
        <w:tc>
          <w:tcPr>
            <w:tcW w:w="60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enforce any liability or duty created by the Exchange</w:t>
            </w:r>
          </w:p>
        </w:tc>
      </w:tr>
      <w:tr>
        <w:trPr>
          <w:trHeight w:val="234"/>
        </w:trPr>
        <w:tc>
          <w:tcPr>
            <w:tcW w:w="2100" w:type="dxa"/>
            <w:vAlign w:val="bottom"/>
          </w:tcPr>
          <w:p>
            <w:pPr>
              <w:spacing w:after="0"/>
              <w:rPr>
                <w:sz w:val="20"/>
                <w:szCs w:val="20"/>
                <w:color w:val="auto"/>
              </w:rPr>
            </w:pPr>
          </w:p>
        </w:tc>
        <w:tc>
          <w:tcPr>
            <w:tcW w:w="60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Act.</w:t>
            </w:r>
          </w:p>
        </w:tc>
      </w:tr>
      <w:tr>
        <w:trPr>
          <w:trHeight w:val="432"/>
        </w:trPr>
        <w:tc>
          <w:tcPr>
            <w:tcW w:w="2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jc w:val="right"/>
              <w:ind w:right="3830"/>
              <w:spacing w:after="0"/>
              <w:rPr>
                <w:sz w:val="20"/>
                <w:szCs w:val="20"/>
                <w:color w:val="auto"/>
              </w:rPr>
            </w:pPr>
            <w:r>
              <w:rPr>
                <w:rFonts w:ascii="Times New Roman" w:cs="Times New Roman" w:eastAsia="Times New Roman" w:hAnsi="Times New Roman"/>
                <w:sz w:val="18"/>
                <w:szCs w:val="18"/>
                <w:color w:val="auto"/>
              </w:rPr>
              <w:t>211</w:t>
            </w:r>
          </w:p>
        </w:tc>
      </w:tr>
    </w:tbl>
    <w:p>
      <w:pPr>
        <w:sectPr>
          <w:pgSz w:w="11900" w:h="16838" w:orient="portrait"/>
          <w:cols w:equalWidth="0" w:num="1">
            <w:col w:w="9019"/>
          </w:cols>
          <w:pgMar w:left="1440" w:top="270" w:right="1440" w:bottom="1440" w:gutter="0" w:footer="0" w:header="0"/>
        </w:sectPr>
      </w:pPr>
    </w:p>
    <w:bookmarkStart w:id="223" w:name="page224"/>
    <w:bookmarkEnd w:id="2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TICKER SYMBOL, MARKET PRICE AND DIVIDEND POLICY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Ticker Symbol and Market Price</w:t>
      </w:r>
    </w:p>
    <w:p>
      <w:pPr>
        <w:spacing w:after="0" w:line="148" w:lineRule="exact"/>
        <w:rPr>
          <w:sz w:val="20"/>
          <w:szCs w:val="20"/>
          <w:color w:val="auto"/>
        </w:rPr>
      </w:pPr>
    </w:p>
    <w:p>
      <w:pPr>
        <w:ind w:left="460" w:right="459"/>
        <w:spacing w:after="0" w:line="261" w:lineRule="auto"/>
        <w:rPr>
          <w:sz w:val="20"/>
          <w:szCs w:val="20"/>
          <w:color w:val="auto"/>
        </w:rPr>
      </w:pPr>
      <w:r>
        <w:rPr>
          <w:rFonts w:ascii="Times New Roman" w:cs="Times New Roman" w:eastAsia="Times New Roman" w:hAnsi="Times New Roman"/>
          <w:sz w:val="18"/>
          <w:szCs w:val="18"/>
          <w:color w:val="auto"/>
        </w:rPr>
        <w:t>FS Development Class A Common Stock is currently listed on the Nasdaq Capital Market under the symbol “FSDC.” The closing price of the FS Development Class A Common Stock on October 14, 2020, the last</w:t>
      </w:r>
    </w:p>
    <w:p>
      <w:pPr>
        <w:ind w:left="460" w:right="459"/>
        <w:spacing w:after="0" w:line="250" w:lineRule="auto"/>
        <w:rPr>
          <w:sz w:val="20"/>
          <w:szCs w:val="20"/>
          <w:color w:val="auto"/>
        </w:rPr>
      </w:pPr>
      <w:r>
        <w:rPr>
          <w:rFonts w:ascii="Times New Roman" w:cs="Times New Roman" w:eastAsia="Times New Roman" w:hAnsi="Times New Roman"/>
          <w:sz w:val="18"/>
          <w:szCs w:val="18"/>
          <w:color w:val="auto"/>
        </w:rPr>
        <w:t>trading day before announcement of the execution of the Merger Agreement, was $11.14. As of , 2021, the record date for the special meeting, the closing price for the FS Development Class A Common Stock, was</w:t>
      </w:r>
    </w:p>
    <w:p>
      <w:pPr>
        <w:spacing w:after="0" w:line="1" w:lineRule="exact"/>
        <w:rPr>
          <w:sz w:val="20"/>
          <w:szCs w:val="20"/>
          <w:color w:val="auto"/>
        </w:rPr>
      </w:pPr>
    </w:p>
    <w:p>
      <w:pPr>
        <w:ind w:left="1180" w:hanging="726"/>
        <w:spacing w:after="0"/>
        <w:tabs>
          <w:tab w:leader="none" w:pos="11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We have not paid any cash dividends on shares of FS Development Common Stock to date and do not intend to pay cash dividends prior to the completion of the Business Combination. The payment of cash dividends in the future will be dependent upon our revenues and earnings, if any, capital requirements and general financial condition subsequent to the completion of the Business Combination. The payment of any dividends subsequent to Business Combination will be within the discretion of our then board of directors. It is the present intention of our board of directors to retain all earnings, if any, for use in our business operations and, accordingly, our board of directors does not anticipate declaring any dividends in the foreseeable future. Further, if we incur any indebtedness, our ability to declare dividends may be limited by restrictive covenants we may agree to in connection therewith.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regarding (i) the actual beneficial ownership of FS Development Common Stock as of October 15, 2020 (the “</w:t>
      </w:r>
      <w:r>
        <w:rPr>
          <w:rFonts w:ascii="Times New Roman" w:cs="Times New Roman" w:eastAsia="Times New Roman" w:hAnsi="Times New Roman"/>
          <w:sz w:val="18"/>
          <w:szCs w:val="18"/>
          <w:b w:val="1"/>
          <w:bCs w:val="1"/>
          <w:color w:val="auto"/>
        </w:rPr>
        <w:t>Ownership Date</w:t>
      </w:r>
      <w:r>
        <w:rPr>
          <w:rFonts w:ascii="Times New Roman" w:cs="Times New Roman" w:eastAsia="Times New Roman" w:hAnsi="Times New Roman"/>
          <w:sz w:val="18"/>
          <w:szCs w:val="18"/>
          <w:color w:val="auto"/>
        </w:rPr>
        <w:t>”), which is prior to the Closing (pre-Business Combination) and (ii) expected beneficial ownership of the Combined Entity’s common stock immediately following the Closing (post-Business Combination), assuming that no Public Shares are redeemed, and alternatively that the maximum number of Public Shares are redeemed, by:</w:t>
      </w:r>
    </w:p>
    <w:p>
      <w:pPr>
        <w:spacing w:after="0" w:line="116" w:lineRule="exact"/>
        <w:rPr>
          <w:sz w:val="20"/>
          <w:szCs w:val="20"/>
          <w:color w:val="auto"/>
        </w:rPr>
      </w:pPr>
    </w:p>
    <w:p>
      <w:pPr>
        <w:jc w:val="both"/>
        <w:ind w:left="1320" w:right="479" w:hanging="434"/>
        <w:spacing w:after="0" w:line="282" w:lineRule="auto"/>
        <w:tabs>
          <w:tab w:leader="none" w:pos="148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is expected to be, the beneficial owner of more than 5% of issued and outstanding shares of FS Development Common Stock or of the Combined Entity’s common stock;</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executive officers and directors;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7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will (or is expected to) become an executive officer or director of the Combined Entity following the Closing;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FS Development as a group pre-Business Combination and all executive officers and directors of the Combined Entity post-Business Combination.</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9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beneficial ownership of shares of FS Development Common Stock pre-Business Combination is based on 15,535,250 issued and outstanding shares of FS Development Common Stock as of October 15, 2020. The beneficial ownership of shares of FS Development Common Stock immediately following Closing is based on 46,541,250 shares (assuming no redemption) and 35,388,875 shares (assuming maximum redemption) to be outstanding and assumes (i) the issuance of up to 21,500,000 shares as Merger Consideration, which amount will be determined as described in more detail under the heading titled </w:t>
      </w:r>
      <w:r>
        <w:rPr>
          <w:rFonts w:ascii="Times New Roman" w:cs="Times New Roman" w:eastAsia="Times New Roman" w:hAnsi="Times New Roman"/>
          <w:sz w:val="18"/>
          <w:szCs w:val="18"/>
          <w:i w:val="1"/>
          <w:iCs w:val="1"/>
          <w:color w:val="auto"/>
        </w:rPr>
        <w:t>“The Business Combination Proposal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 of Gemini; Merger Consideration”</w:t>
      </w:r>
      <w:r>
        <w:rPr>
          <w:rFonts w:ascii="Times New Roman" w:cs="Times New Roman" w:eastAsia="Times New Roman" w:hAnsi="Times New Roman"/>
          <w:sz w:val="18"/>
          <w:szCs w:val="18"/>
          <w:color w:val="auto"/>
        </w:rPr>
        <w:t>, (ii) the issuance of 9,506,000 shares of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PIPE Investment. If the actual facts are different than these assumptions (which they are likely to be), the percentage ownership retained by FS Development’s existing stockholders in FS Development will be different.</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Unless otherwise indicated, FS Development believes that all persons named in the table have sole voting and investment power with respect to all FS Development Common Stock beneficially owned by them.</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Pre-Business Combination</w:t>
            </w:r>
          </w:p>
        </w:tc>
        <w:tc>
          <w:tcPr>
            <w:tcW w:w="3220" w:type="dxa"/>
            <w:vAlign w:val="bottom"/>
            <w:gridSpan w:val="7"/>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Successor Post-Business Combination</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gridSpan w:val="4"/>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FS Development</w:t>
            </w:r>
          </w:p>
        </w:tc>
        <w:tc>
          <w:tcPr>
            <w:tcW w:w="100" w:type="dxa"/>
            <w:vAlign w:val="bottom"/>
            <w:vMerge w:val="continue"/>
          </w:tcPr>
          <w:p>
            <w:pPr>
              <w:spacing w:after="0"/>
              <w:rPr>
                <w:sz w:val="15"/>
                <w:szCs w:val="15"/>
                <w:color w:val="auto"/>
              </w:rPr>
            </w:pPr>
          </w:p>
        </w:tc>
        <w:tc>
          <w:tcPr>
            <w:tcW w:w="16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Assuming No</w:t>
            </w:r>
          </w:p>
        </w:tc>
        <w:tc>
          <w:tcPr>
            <w:tcW w:w="1620" w:type="dxa"/>
            <w:vAlign w:val="bottom"/>
            <w:gridSpan w:val="3"/>
          </w:tcPr>
          <w:p>
            <w:pPr>
              <w:jc w:val="right"/>
              <w:ind w:right="172"/>
              <w:spacing w:after="0" w:line="181" w:lineRule="exact"/>
              <w:rPr>
                <w:sz w:val="20"/>
                <w:szCs w:val="20"/>
                <w:color w:val="auto"/>
              </w:rPr>
            </w:pPr>
            <w:r>
              <w:rPr>
                <w:rFonts w:ascii="Times New Roman" w:cs="Times New Roman" w:eastAsia="Times New Roman" w:hAnsi="Times New Roman"/>
                <w:sz w:val="16"/>
                <w:szCs w:val="16"/>
                <w:b w:val="1"/>
                <w:bCs w:val="1"/>
                <w:color w:val="auto"/>
              </w:rPr>
              <w:t>Assuming 100%</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620" w:type="dxa"/>
            <w:vAlign w:val="bottom"/>
            <w:gridSpan w:val="3"/>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 of FS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Owner</w:t>
            </w:r>
            <w:r>
              <w:rPr>
                <w:rFonts w:ascii="Times New Roman" w:cs="Times New Roman" w:eastAsia="Times New Roman" w:hAnsi="Times New Roman"/>
                <w:sz w:val="18"/>
                <w:szCs w:val="18"/>
                <w:b w:val="1"/>
                <w:bCs w:val="1"/>
                <w:color w:val="auto"/>
                <w:vertAlign w:val="superscript"/>
              </w:rPr>
              <w:t>(1)</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 FS Development:</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Ryan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Rome</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Vikram Bajaj</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Dubin</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6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of FS Development as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 Group (7 Individuals</w:t>
            </w: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3,460,250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25" w:name="page226"/>
    <w:bookmarkEnd w:id="2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Pre-Business Combination</w:t>
            </w:r>
          </w:p>
        </w:tc>
        <w:tc>
          <w:tcPr>
            <w:tcW w:w="3220" w:type="dxa"/>
            <w:vAlign w:val="bottom"/>
            <w:gridSpan w:val="7"/>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Successor Post-Business Combination</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8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gridSpan w:val="4"/>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FS Development</w:t>
            </w:r>
          </w:p>
        </w:tc>
        <w:tc>
          <w:tcPr>
            <w:tcW w:w="100" w:type="dxa"/>
            <w:vAlign w:val="bottom"/>
            <w:vMerge w:val="continue"/>
          </w:tcPr>
          <w:p>
            <w:pPr>
              <w:spacing w:after="0"/>
              <w:rPr>
                <w:sz w:val="15"/>
                <w:szCs w:val="15"/>
                <w:color w:val="auto"/>
              </w:rPr>
            </w:pPr>
          </w:p>
        </w:tc>
        <w:tc>
          <w:tcPr>
            <w:tcW w:w="1600" w:type="dxa"/>
            <w:vAlign w:val="bottom"/>
            <w:gridSpan w:val="4"/>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Assuming No</w:t>
            </w:r>
          </w:p>
        </w:tc>
        <w:tc>
          <w:tcPr>
            <w:tcW w:w="1620" w:type="dxa"/>
            <w:vAlign w:val="bottom"/>
            <w:gridSpan w:val="3"/>
          </w:tcPr>
          <w:p>
            <w:pPr>
              <w:jc w:val="right"/>
              <w:ind w:right="171"/>
              <w:spacing w:after="0" w:line="181" w:lineRule="exact"/>
              <w:rPr>
                <w:sz w:val="20"/>
                <w:szCs w:val="20"/>
                <w:color w:val="auto"/>
              </w:rPr>
            </w:pPr>
            <w:r>
              <w:rPr>
                <w:rFonts w:ascii="Times New Roman" w:cs="Times New Roman" w:eastAsia="Times New Roman" w:hAnsi="Times New Roman"/>
                <w:sz w:val="16"/>
                <w:szCs w:val="16"/>
                <w:b w:val="1"/>
                <w:bCs w:val="1"/>
                <w:color w:val="auto"/>
              </w:rPr>
              <w:t>Assuming 100%</w:t>
            </w:r>
          </w:p>
        </w:tc>
        <w:tc>
          <w:tcPr>
            <w:tcW w:w="0" w:type="dxa"/>
            <w:vAlign w:val="bottom"/>
          </w:tcPr>
          <w:p>
            <w:pPr>
              <w:spacing w:after="0"/>
              <w:rPr>
                <w:sz w:val="1"/>
                <w:szCs w:val="1"/>
                <w:color w:val="auto"/>
              </w:rPr>
            </w:pPr>
          </w:p>
        </w:tc>
      </w:tr>
      <w:tr>
        <w:trPr>
          <w:trHeight w:val="212"/>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1620" w:type="dxa"/>
            <w:vAlign w:val="bottom"/>
            <w:gridSpan w:val="3"/>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Redemption</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 of FS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Beneficially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Development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Owner</w:t>
            </w:r>
            <w:r>
              <w:rPr>
                <w:rFonts w:ascii="Times New Roman" w:cs="Times New Roman" w:eastAsia="Times New Roman" w:hAnsi="Times New Roman"/>
                <w:sz w:val="18"/>
                <w:szCs w:val="18"/>
                <w:b w:val="1"/>
                <w:bCs w:val="1"/>
                <w:color w:val="auto"/>
                <w:vertAlign w:val="superscript"/>
              </w:rPr>
              <w:t>(1)</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6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1"/>
        </w:trPr>
        <w:tc>
          <w:tcPr>
            <w:tcW w:w="2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of Combined Entity After</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Consummation of the Business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Combination: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Meyenburg</w:t>
            </w:r>
            <w:r>
              <w:rPr>
                <w:rFonts w:ascii="Times New Roman" w:cs="Times New Roman" w:eastAsia="Times New Roman" w:hAnsi="Times New Roman"/>
                <w:sz w:val="20"/>
                <w:szCs w:val="20"/>
                <w:color w:val="auto"/>
                <w:vertAlign w:val="superscript"/>
              </w:rPr>
              <w:t>(2)</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112,092</w:t>
            </w: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112,092</w:t>
            </w: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Lauder</w:t>
            </w:r>
            <w:r>
              <w:rPr>
                <w:rFonts w:ascii="Times New Roman" w:cs="Times New Roman" w:eastAsia="Times New Roman" w:hAnsi="Times New Roman"/>
                <w:sz w:val="20"/>
                <w:szCs w:val="20"/>
                <w:color w:val="auto"/>
                <w:vertAlign w:val="superscript"/>
              </w:rPr>
              <w:t>(3)</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499,600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Uknis</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George</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Gordon</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Rhodes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Tananbaum</w:t>
            </w:r>
            <w:r>
              <w:rPr>
                <w:rFonts w:ascii="Times New Roman" w:cs="Times New Roman" w:eastAsia="Times New Roman" w:hAnsi="Times New Roman"/>
                <w:sz w:val="20"/>
                <w:szCs w:val="20"/>
                <w:color w:val="auto"/>
                <w:vertAlign w:val="superscript"/>
              </w:rPr>
              <w:t>(1)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6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w:t>
            </w: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of Combined Entity</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 a Group (10 Individuals)</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5,481,942</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5,481,942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84"/>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 Development Holdings, LLC</w:t>
            </w:r>
            <w:r>
              <w:rPr>
                <w:rFonts w:ascii="Times New Roman" w:cs="Times New Roman" w:eastAsia="Times New Roman" w:hAnsi="Times New Roman"/>
                <w:sz w:val="20"/>
                <w:szCs w:val="20"/>
                <w:color w:val="auto"/>
                <w:vertAlign w:val="superscript"/>
              </w:rPr>
              <w:t>(1)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3,370,250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4,870,250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Wellington</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Co LLP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629,300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1,329,200</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1,329,200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Suvretta</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Management, LLC</w:t>
            </w:r>
            <w:r>
              <w:rPr>
                <w:rFonts w:ascii="Times New Roman" w:cs="Times New Roman" w:eastAsia="Times New Roman" w:hAnsi="Times New Roman"/>
                <w:sz w:val="20"/>
                <w:szCs w:val="20"/>
                <w:color w:val="auto"/>
                <w:vertAlign w:val="superscript"/>
              </w:rPr>
              <w:t>(5)</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899,457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1,349,457</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1,349,457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Adage Capital Management LP</w:t>
            </w:r>
            <w:r>
              <w:rPr>
                <w:rFonts w:ascii="Times New Roman" w:cs="Times New Roman" w:eastAsia="Times New Roman" w:hAnsi="Times New Roman"/>
                <w:sz w:val="20"/>
                <w:szCs w:val="20"/>
                <w:color w:val="auto"/>
                <w:vertAlign w:val="superscript"/>
              </w:rPr>
              <w:t>(6)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Orbimed Private Investments VI,</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ind w:left="180"/>
              <w:spacing w:after="0" w:line="275"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0"/>
                <w:szCs w:val="10"/>
                <w:color w:val="auto"/>
              </w:rPr>
              <w:t>(7)</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6,064,613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6,064,613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98"/>
        </w:trPr>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Atlas</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(8)</w:t>
            </w: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5,467,111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5,467,111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8"/>
        </w:trPr>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(9)</w:t>
            </w: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5,039,585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5,036,585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8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Fidelity</w:t>
            </w:r>
            <w:r>
              <w:rPr>
                <w:rFonts w:ascii="Times New Roman" w:cs="Times New Roman" w:eastAsia="Times New Roman" w:hAnsi="Times New Roman"/>
                <w:sz w:val="20"/>
                <w:szCs w:val="20"/>
                <w:color w:val="auto"/>
                <w:vertAlign w:val="superscript"/>
              </w:rPr>
              <w:t>(10)</w:t>
            </w:r>
          </w:p>
        </w:tc>
        <w:tc>
          <w:tcPr>
            <w:tcW w:w="9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6" w:lineRule="exact"/>
        <w:rPr>
          <w:sz w:val="20"/>
          <w:szCs w:val="20"/>
          <w:color w:val="auto"/>
        </w:rPr>
      </w:pPr>
    </w:p>
    <w:p>
      <w:pPr>
        <w:jc w:val="both"/>
        <w:ind w:left="880" w:right="459" w:hanging="426"/>
        <w:spacing w:after="0" w:line="267" w:lineRule="auto"/>
        <w:tabs>
          <w:tab w:leader="none" w:pos="95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FS Development Holdings, LLC is the record holder of 1,870,250 shares reported herein. Foresite Capital Fund V, L.P. (“FCM V LP”) is the record holder of 1,500,000 shares reported herein. Foresite Capital Management V, LLC (“FCM V”), is the general partner of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sole voting and investment discretion over these shares. Each of FCM V, FCOM V, each of their respective members and Dr. Tananbaum disclaim beneficial ownership of these shares except to the extent of any pecuniary interest therein.</w:t>
      </w:r>
    </w:p>
    <w:p>
      <w:pPr>
        <w:spacing w:after="0" w:line="182"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issuable upon options exercisable upon 60 days of October 15, 2020.</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Common Stock issuable upon options exercisable upon 60 days of October 15, 2020.</w:t>
      </w:r>
    </w:p>
    <w:p>
      <w:pPr>
        <w:sectPr>
          <w:pgSz w:w="11900" w:h="16838" w:orient="portrait"/>
          <w:cols w:equalWidth="0" w:num="1">
            <w:col w:w="9019"/>
          </w:cols>
          <w:pgMar w:left="1440" w:top="270" w:right="1440"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6" w:name="page227"/>
    <w:bookmarkEnd w:id="2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both"/>
        <w:ind w:left="880" w:right="459" w:hanging="426"/>
        <w:spacing w:after="0" w:line="263" w:lineRule="auto"/>
        <w:tabs>
          <w:tab w:leader="none" w:pos="928"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November 2, 2020. Wellington Management Company LLP, a registered investment company under the Investment Company Act of 1940, as amended, is the investment advisor to certain funds associated with Wellington, and Wellington Alternative Investments LLC is its general partner. Wellington Management Investment, Inc. is the managing member of Wellington Alternative Investments LLC. Wellington Management Company LLP is an indirect subsidiary of Wellington Management Group LLP. Wellington Management Group LLP and Wellington Management Company LLP may be deemed beneficial owners with shared voting and investment power over such shares.</w:t>
      </w:r>
    </w:p>
    <w:p>
      <w:pPr>
        <w:spacing w:after="0" w:line="1"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928"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October 26, 2020. Suvretta Capital Management, LLC has shared voting and dispositive power over the shares held by funds associated with it. and Aaron Cowen is a control person of Suvretta Capital Management, LLC and as such may be deemed to beneficially own these shares with shared voting and investment power over such shares.</w:t>
      </w:r>
    </w:p>
    <w:p>
      <w:pPr>
        <w:jc w:val="both"/>
        <w:ind w:left="880" w:right="459" w:hanging="426"/>
        <w:spacing w:after="0" w:line="264" w:lineRule="auto"/>
        <w:tabs>
          <w:tab w:leader="none" w:pos="928"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held pre-Business Combination based solely on review of Schedule 13G filed with the Securities and Exchange Commission on August 24, 2020. Adage Captial Partners GP, LLC (“ACPGP”) serves as the general partner of the fund and as such has discretion over the portfolio of securities beneficially owned by the fund. Adage Capital Advisors, LLC, a Delaware limited liability company (“ACA”), is managing member of ACPGP and directs ACPGP’s operations. Robert Atchinson and Phillip Gross are the managing members of ACPGP and ACA and general partners of the Fund. Robert Atchinson and Phillip Gross disclaim beneficial ownership of the reported securities except to the extent of their pecuniary interest therein.</w:t>
      </w:r>
    </w:p>
    <w:p>
      <w:pPr>
        <w:jc w:val="both"/>
        <w:ind w:left="880" w:right="459" w:hanging="426"/>
        <w:spacing w:after="0" w:line="264" w:lineRule="auto"/>
        <w:tabs>
          <w:tab w:leader="none" w:pos="1007"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5,554,613 shares issued as Merger Consideration and 510,000 shares issued in the PIPE Investment. OrbiMed Capital GP VI LLC, or GP VI, is the general partner of OrbiMed Private Investments VI, LP, or OrbiMed VI. OrbiMed Advisors LLC, or OrbiMed Advisors, is the managing member of GP VI. OrbiMed Advisors exercises investment and voting power through a management committee comprised of Carl Gordon, Ph.D., C.F.A., Sven H. Borho and Jonathan T. Silverstein. By virtue of such relationships, GP VI, OrbiMed Advisors and Dr. Gordon may be deemed to have voting and investment power with respect to the shares held by OrbiMed VI and as a result may be deemed to have beneficial ownership of these shares. Each of GP VI, OrbiMed Advisors, Messrs. Borho and Silverstein and Dr. Gordon disclaims beneficial ownership of the shares held by OrbiMed VI, except to the extent of its or his pecuniary interest therein, if any.</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91"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4,957,111 shares issued as Merger Consideration and 510,000 shares issued in the PIPE Investment. Atlas Venture Associates XI, L.P. is the general partner of Atlas Fund XI, and Atlas Venture Associates XI, LLC is the general partner of Atlas Venture Associates XI, L.P. Bruce Booth, Jean- Francois Formela, David Grayzel, Jason Rhodes and Kevin Bitterman are the members of Atlas Venture Associates XI, LLC and collectively make investment decisions on behalf of Atlas Venture Fund XI, LLC. Each of Atlas Fund XI, Atlas Venture Associates XI, L.P., and Atlas Venture Associates XI, LLC may be deemed to beneficially own the shares held by Atlas Fund XI. Atlas Venture Associates Opportunity I, L.P. is the general partner of Atlas Fund I, and Atlas Venture Associates Opportunity I, LLC, or AVAO, LLC, is the general partner of Atlas Venture Associates Opportunity I, L.P. Bruce Booth, Jean-Francois Formela, David Grayzel, Jason Rhodes and Kevin Bitterman are the members of AVAO, LLC and collectively make investment decisions on behalf of AVAO, LLC. Each of Atlas Fund I, Atlas Venture Associates Opportunity I, L.P. and AVAO, LLC may be deemed to beneficially own the shares held by Atlas Fund I. Jason Rhodes is also a member of our board of directors. Mr. Rhodes disclaims beneficial ownership of the shares listed, except to the extent of his pecuniary interest therein, if any.</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903"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4,639,585 shares issued as Merger Consideration and 400,000 shares issued in the PIPE Investment.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w:t>
      </w:r>
    </w:p>
    <w:p>
      <w:pPr>
        <w:jc w:val="both"/>
        <w:ind w:left="880" w:right="459" w:hanging="426"/>
        <w:spacing w:after="0" w:line="265" w:lineRule="auto"/>
        <w:tabs>
          <w:tab w:leader="none" w:pos="988"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7" w:name="page228"/>
    <w:bookmarkEnd w:id="2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June 30, 2020 the Sponsor purchased an aggregate 2,928,750 Founders Shares for a total purchase price of $25,000, or approximately $0.009 per share. In July 2020, the Sponsor transferred 30,000 Founders Shares to each of Mr. Carey, Dr. Dubin and Dr. Pakianathan. On August 11, 2020, we effected a 1:1.05 stock split of our Class B Common Stock, resulting in the Sponsor holding 2,928,750 Founders Shares and there being an aggregate of 3,018,750 Founders Shares outstanding. The number of Founders Shares outstanding was determined based on the expectation that the total size of the FS Development IPO would be a maximum of 12,075,000 Class A shares if the underwriters’ over-allotment option is exercised in full, and therefore that such Founders Shares would represent 20% of the issued and outstanding shares of common stock (excluding the Private Placement Shares) after such offering.</w:t>
      </w:r>
    </w:p>
    <w:p>
      <w:pPr>
        <w:spacing w:after="0" w:line="12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Sponsor purchased 441,500 Private Placement Shares at a price of $10.00 per share, or $4,415,000 in the aggregate, in a private placement that closed simultaneously with the FS Development IPO. The Private Placement Shares may not, subject to certain limited exceptions, be transferred, assigned or sold until 30 days after the completion of our initial business combination.</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We currently utilize office space at 600 Montgomery Street, Suite 4500, San Francisco, California 94111 from the Sponsor. Following the closing of the FS Development IPO, we pay the Sponsor $10,000 per month for office space, secretarial and administrative services provided to members of our management team pursuant to the terms of an administrative services agreement between us and the Sponsor. Upon completion of our initial business combination or our liquidation, we will cease paying these monthly fees.</w:t>
      </w:r>
    </w:p>
    <w:p>
      <w:pPr>
        <w:spacing w:after="0" w:line="1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 compensation of any kind, including finder’s and consulting fees, will be paid by the Company to the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the Sponsor, officers, directors or our or their affiliates.</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Sponsor loaned us $200,000 to be used for a portion of the expenses of the FS Development IPO. These loans were non-interest bearing, unsecured and were due at the earlier of December 31, 2020 or the closing of the FS Development IPO. These loans were fully repaid on August 14, 2020.</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the Sponsor or an affiliate of the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private placement shares of the post business combination entity at a price of $10.00 per shares at the option of the lender. Except as set forth above, the terms of such loans, if any, have not been determined and no written agreements exist with respect to such loans. Prior to the completion of our initial business combination, we do not expect to seek loans from parties other than the Sponsor or an affiliate of the Sponsor as we do not believe third parties will be willing to loan such funds and provide a waiver against any and all rights to seek access to funds in our trust account. As of October 28, 2020, there are no loans outstanding. Following the Closing, our Sponsor would be entitled to the repayment of any working capital loan and advances that have been made to FS Development and remain outstanding.</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Any of the foregoing payments to the Sponsor, repayments of loans from the Sponsor or repayments of working capital loans prior to our initial business combination will be made using funds held outside the trust account.</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After our initial business combination, members of our management team who remain with us may be paid consulting, management or other fees from the combined company. The directors of the post-combination business will determine executive and director compensation.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as part of the PIPE Investment, an affiliate of our Sponsor has entered into a subscription agreement to purchase 1,500,000 shares of our Class A Common Stock at a purchase price of $10 per share in a private placement that would occur concurrently with the consummation of our initial business combination. The affiliate of our Sponsor has assigned to the Sponsor its obligation to purchase its shares under the subscription agreement so that the Sponsor will purchase such shares. At the time of the FS Development IPO, the Sponsor had originally indicated an interest to purchase up to $25 million of shares in connection with FSDC’s initial business combination. This purchase of 1,500,000 shares represents the Sponsor’s allocation of shares in the PIPE Investment. The funds from such private placement would be used as part of the consideration to the sellers in our initial business combination, and any excess funds from such private placement would be used for working capital in the post-transaction company. Consummation of the subscriptions are conditioned upon, among other things, closing conditions and the Closing</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We have entered into a registration rights agreement with respect to the Founders Shares and Private Placement Shares. Pursuant to such agreement, we will be obligated to register up to 3,520,250 shares of Class A Common Stock. The number of shares of Class A Common Stock includes (i) 2,928,750 shares of Class A Common Stock to be issued upon conversion of the Founders Shares, (ii) 441,500 Private Placement Shares and (iii) 150,000 shares of Class A Common Stock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 As part of the registration rights agreement, certain holders of registrable securities agreed to a lock-up period of one year from the Closing of the Business Combination.</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Initial Stockholders and certain other stockholders will enter into the Registration Rights Agreement with FS Development and Gemini that will replace the existing registration rights agreement. Pursuant to such agreement, certain stockholders of FS Development and Gemini can each demand that the Combined Entity register their registrable securities under certain circumstances and will each also have piggyback registration rights for these securities. In addition, following the Closing,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The presence of these additional shares of common stock trading in the public market may have an adverse effect on the market price of the Combined Entity’s securities.</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Initial Stockholders entered into support agreements with FS Development, Gemini and Sponsor. Under such support agreements, each such stockholder agreed to vote, at any meeting of the stockholders of the Company, and in any action by written consent of the stockholders of the Company, all of such stockholder’s Class B Common Stock of FS Development (i) in favor of (A) the Merger Agreement, (B) certain proposals requiring approval by the stockholders of the Company in connection with Business Combination, and (C) the transactions contemplated by the Merger Agreement and the Company Support Agreement, and (ii) in favor of any other matter reasonably necessary to the consummation of the transactions contemplated by the Merger Agreement and the approval of such stockholder proposals. In addition, such support agreements prohibit each such stockholder from, among other things, selling, assigning or transferring any Class B Common Stock of FS Development held by such stockholder or taking any action that would prevent or disable such stockholder from performing its obligations under the support agreement.</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Closing of the Merger, the Sponsor and certain other stockholders will enter into a Voting Agreement with the Combined Entity. Please see the section titled “</w:t>
      </w:r>
      <w:r>
        <w:rPr>
          <w:rFonts w:ascii="Times New Roman" w:cs="Times New Roman" w:eastAsia="Times New Roman" w:hAnsi="Times New Roman"/>
          <w:sz w:val="18"/>
          <w:szCs w:val="18"/>
          <w:i w:val="1"/>
          <w:iCs w:val="1"/>
          <w:color w:val="auto"/>
        </w:rPr>
        <w:t>Ancillary Agreements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Voting 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Gemini</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is a summary of transactions since September 30, 2017 to which Gemini has been a participant, in which:</w:t>
      </w:r>
    </w:p>
    <w:p>
      <w:pPr>
        <w:spacing w:after="0" w:line="81" w:lineRule="exact"/>
        <w:rPr>
          <w:sz w:val="20"/>
          <w:szCs w:val="20"/>
          <w:color w:val="auto"/>
        </w:rPr>
      </w:pPr>
    </w:p>
    <w:p>
      <w:pPr>
        <w:ind w:left="1300" w:hanging="414"/>
        <w:spacing w:after="0"/>
        <w:tabs>
          <w:tab w:leader="none" w:pos="13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8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its directors, executive officers, or holders of more than 5% of its capital stock, or any member of the immediate family of the foregoing persons, had or will have a direct or indirect material interest, other than compensation and other arrangements that are described in the section titled “Executive Compensation of Gemini” or that were approved by its compensation committee.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9" w:name="page230"/>
    <w:bookmarkEnd w:id="2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believes the terms obtained or consideration that it paid or received, as applicable, in connection with the transactions described below were comparable to terms available or the amounts that would be paid or received, as applicable in arm’s-length transactions.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Series A Preferred Stock Financing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March 30, 2018, Gemini held the second closing of its Series A Preferred Stock financing, pursuant to its Series A Preferred Stock Purchase Agreement, as amended (the “Series A Purchase Agreement”), at which Gemini issued 9,243,696 shares of its Series A Preferred Stock for a per share price of $1.19, for aggregate gross proceeds in the amount of $11.0 million. On November 2, 2018, Gemini held the third closing of its Series A Preferred Stock financing, pursuant to the Series A Purchase Agreement, at which Gemini issued 16,386,555 shares of its Series A Preferred Stock for a per share price of $1.19, for aggregate gross proceeds in the amount of $19.5 million. The following holders of more than 5% of Gemini’s capital stock participated in the second closing and third closing of the Series A Preferred Stock financing.</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140" w:type="dxa"/>
            <w:vAlign w:val="bottom"/>
          </w:tcPr>
          <w:p>
            <w:pPr>
              <w:spacing w:after="0"/>
              <w:rPr>
                <w:sz w:val="17"/>
                <w:szCs w:val="17"/>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Series A</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 Second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Price – Third</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Second Closing</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Third Closing</w:t>
            </w:r>
          </w:p>
        </w:tc>
        <w:tc>
          <w:tcPr>
            <w:tcW w:w="120" w:type="dxa"/>
            <w:vAlign w:val="bottom"/>
          </w:tcPr>
          <w:p>
            <w:pPr>
              <w:spacing w:after="0"/>
              <w:rPr>
                <w:sz w:val="18"/>
                <w:szCs w:val="18"/>
                <w:color w:val="auto"/>
              </w:rPr>
            </w:pP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Closing</w:t>
            </w: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91"/>
        </w:trPr>
        <w:tc>
          <w:tcPr>
            <w:tcW w:w="3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3,081,232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3,666,666.08</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5,462,185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6,500,000.15</w:t>
            </w:r>
          </w:p>
        </w:tc>
      </w:tr>
      <w:tr>
        <w:trPr>
          <w:trHeight w:val="40"/>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1" w:lineRule="auto"/>
        <w:tabs>
          <w:tab w:leader="none" w:pos="927"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Lightstone Ventures, L.P., which purchased 2,711,792 shares at the second closing and 4,807,269 shares at the third closing and Lightstone Ventures (A), L.P., which purchased 369,440 shares at the second closing and 654,916 shares at the third closing.</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Series B Preferred Stock Financing</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September 26, 2019, Gemini held the initial closing of its Series B Preferred Stock financing, pursuant to its Series B Preferred Stock Purchase Agreement (the “Series B Purchase Agreement”), at which Gemini issued 9,916,375 shares of its Series B Preferred Stock for a per share price of $1.3513, for aggregate gross proceeds in the amount of $13.4 million. On January 21, 2020, Gemini held the second closing of its Series B Preferred Stock financing, pursuant to the Series B Purchase Agreement, at which Gemini issued 14,874,563 shares of its Series B Preferred Stock for a per share price of $1.3513, for aggregate gross proceeds in the amount of $20.1 million. The following holders of more than 5% of Gemini’s capital stock participated in the initial closing and second closing of the Series B Preferred Stock financing.</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Purchase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Price – Initial</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Purchased –</w:t>
            </w:r>
          </w:p>
        </w:tc>
        <w:tc>
          <w:tcPr>
            <w:tcW w:w="100" w:type="dxa"/>
            <w:vAlign w:val="bottom"/>
          </w:tcPr>
          <w:p>
            <w:pPr>
              <w:spacing w:after="0"/>
              <w:rPr>
                <w:sz w:val="17"/>
                <w:szCs w:val="17"/>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Price – Second</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Initial Closing</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Closing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Second Closing</w:t>
            </w:r>
          </w:p>
        </w:tc>
        <w:tc>
          <w:tcPr>
            <w:tcW w:w="100" w:type="dxa"/>
            <w:vAlign w:val="bottom"/>
          </w:tcPr>
          <w:p>
            <w:pPr>
              <w:spacing w:after="0"/>
              <w:rPr>
                <w:sz w:val="18"/>
                <w:szCs w:val="18"/>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Closing</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191"/>
        </w:trPr>
        <w:tc>
          <w:tcPr>
            <w:tcW w:w="3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Entities affiliated with Lightstone</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75"/>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r>
              <w:rPr>
                <w:rFonts w:ascii="Times New Roman" w:cs="Times New Roman" w:eastAsia="Times New Roman" w:hAnsi="Times New Roman"/>
                <w:sz w:val="20"/>
                <w:szCs w:val="20"/>
                <w:color w:val="auto"/>
                <w:vertAlign w:val="superscript"/>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2,600,000</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2,886,109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3,899,999.09</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2,960,112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3,999,999.35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4,440,168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5,999,999.02</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2,072,078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2,799,999.00</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3,108,118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4,199,999.85</w:t>
            </w:r>
          </w:p>
        </w:tc>
      </w:tr>
      <w:tr>
        <w:trPr>
          <w:trHeight w:val="291"/>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r>
              <w:rPr>
                <w:rFonts w:ascii="Times New Roman" w:cs="Times New Roman" w:eastAsia="Times New Roman" w:hAnsi="Times New Roman"/>
                <w:sz w:val="20"/>
                <w:szCs w:val="20"/>
                <w:color w:val="auto"/>
                <w:vertAlign w:val="superscript"/>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2,960,112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3,999,999.35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4,440,168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5,999,999.02</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7" w:lineRule="auto"/>
        <w:tabs>
          <w:tab w:leader="none" w:pos="954"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Lightstone Ventures, L.P., which purchased 976,931 shares at the initial closing, Lightstone Ventures (A), L.P., which purchased 133,112 shares at the initial closing and Lightstone Singapore L.P., which purchased 814,030 shares at the initial closing and all of the shares at the second closing.</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initially purchased by Wu Capital LLC and subsequently transferred to Wu Capital Investment LLC.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 Financing</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On August 21, 2020, Gemini issued convertible promissory notes for aggregate gross proceeds of $14,000,000 (the “</w:t>
      </w:r>
      <w:r>
        <w:rPr>
          <w:rFonts w:ascii="Times New Roman" w:cs="Times New Roman" w:eastAsia="Times New Roman" w:hAnsi="Times New Roman"/>
          <w:sz w:val="18"/>
          <w:szCs w:val="18"/>
          <w:b w:val="1"/>
          <w:bCs w:val="1"/>
          <w:color w:val="auto"/>
        </w:rPr>
        <w:t>Convertible Notes</w:t>
      </w:r>
      <w:r>
        <w:rPr>
          <w:rFonts w:ascii="Times New Roman" w:cs="Times New Roman" w:eastAsia="Times New Roman" w:hAnsi="Times New Roman"/>
          <w:sz w:val="18"/>
          <w:szCs w:val="18"/>
          <w:color w:val="auto"/>
        </w:rPr>
        <w:t>”), at a closing held pursuant to a convertible note purchase agreement among Gemini and certain investors. The following holders of more than 5% of Gemini’s capital stock participated in note financing. The Notes accrue simple interest at 8% per annum and mature on February 21, 2021. Prior to the Closing, all principal and accrued interest under the Notes shall convert into shares of Gemini’s Series B Preferred Stock.</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 Note</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5% Gemini Stockholder</w:t>
            </w:r>
          </w:p>
        </w:tc>
        <w:tc>
          <w:tcPr>
            <w:tcW w:w="160" w:type="dxa"/>
            <w:vAlign w:val="bottom"/>
          </w:tcPr>
          <w:p>
            <w:pPr>
              <w:spacing w:after="0"/>
              <w:rPr>
                <w:sz w:val="18"/>
                <w:szCs w:val="18"/>
                <w:color w:val="auto"/>
              </w:rPr>
            </w:pPr>
          </w:p>
        </w:tc>
        <w:tc>
          <w:tcPr>
            <w:tcW w:w="10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Purchased</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4,887,000</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Opportunity Fund I, L.P.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1,752,000</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148"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In connection with the initial closing of the Series B Preferred Stock financing, Gemini entered into an Amended and Restated Investors Rights Agreement (the “</w:t>
      </w:r>
      <w:r>
        <w:rPr>
          <w:rFonts w:ascii="Times New Roman" w:cs="Times New Roman" w:eastAsia="Times New Roman" w:hAnsi="Times New Roman"/>
          <w:sz w:val="18"/>
          <w:szCs w:val="18"/>
          <w:b w:val="1"/>
          <w:bCs w:val="1"/>
          <w:color w:val="auto"/>
        </w:rPr>
        <w:t>Investors Rights Agreement</w:t>
      </w:r>
      <w:r>
        <w:rPr>
          <w:rFonts w:ascii="Times New Roman" w:cs="Times New Roman" w:eastAsia="Times New Roman" w:hAnsi="Times New Roman"/>
          <w:sz w:val="18"/>
          <w:szCs w:val="18"/>
          <w:color w:val="auto"/>
        </w:rPr>
        <w:t>”) with certain of its investors, including its 5% stockholders. Pursuant to the Investors Agreement, the investors were granted certain demand and registration rights as well as certain information rights. Pursuant to the Merger Agreement and the Gemini Support Agreements, Gemini and its investors have agreed to terminate the Investors Rights Agreement at the Closing.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initial closing of the Series B Preferred Stock financing, Gemini entered into an Amended and Restated Voting Agreement (the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with certain of its investors, including its 5% stockholders. Pursuant to the Investors Agreement, certain investors were given the right to designate certain members of Gemini’s board of directors. Pursuant to the Merger Agreement and the Gemini Support Agreements, Gemini and its investors have agreed to terminate the Voting Agreement at the Closing.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Services</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 2021, Gemini engaged Danforth Advisors, an accounting and finance advisory company managed by Gregg Beloff, Gemini’s Interim Chief Financial Officer. Through September 30, 2020, Gemini has paid</w:t>
      </w: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to Danforth Advisors in exchange for professional services related to accounting, finance and other administrative functions.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Policies for Approval of Related Party Transactions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Gemini’s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Gemini’s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Policies and Procedures for Related Person Transactions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Upon the Closing, the Combined Entity will adopt a written related person transaction policy that sets forth the following policies and procedures for the review and approval or ratification of related person transactions.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Combined Entity or any of its subsidiaries was, is or will be a participant, the amount of which involved exceeds $120,000, and in which any related person had, has or will have a direct or indirect material interest. A “Related Person” means:</w:t>
      </w:r>
    </w:p>
    <w:p>
      <w:pPr>
        <w:spacing w:after="0" w:line="108" w:lineRule="exact"/>
        <w:rPr>
          <w:sz w:val="20"/>
          <w:szCs w:val="20"/>
          <w:color w:val="auto"/>
        </w:rPr>
      </w:pPr>
    </w:p>
    <w:p>
      <w:pPr>
        <w:ind w:left="1320" w:right="479" w:hanging="434"/>
        <w:spacing w:after="0" w:line="282" w:lineRule="auto"/>
        <w:tabs>
          <w:tab w:leader="none" w:pos="1473"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Combined Entity’s officers or one of Combined Entity’s directors;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3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Combined Entity to be the beneficial owner of more than five percent (5%) of its voting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7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audit committee of the Combined Entity’s board of directors will have the responsibility for reviewing and approving any related person transactions. In reviewing any related person transaction, the audit committee will take into account, among other factors that it deems appropriate, whether the related person transaction is on terms no less favorable to the Combined Entity than terms generally available in a transaction with an unaffiliated third-party under the same or similar circumstances and the extent of the Related Person’s interest in the related person transaction.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Board is aware of no other matter that may be brought before the special meeting. Under Delaware law, only business that is specified in the notice of special meeting to stockholders may be transacted at the special meeting.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162" w:lineRule="exact"/>
        <w:rPr>
          <w:sz w:val="20"/>
          <w:szCs w:val="20"/>
          <w:color w:val="auto"/>
        </w:rPr>
      </w:pPr>
    </w:p>
    <w:p>
      <w:pPr>
        <w:ind w:left="460"/>
        <w:spacing w:after="0"/>
        <w:tabs>
          <w:tab w:leader="none" w:pos="7380" w:val="left"/>
        </w:tabs>
        <w:rPr>
          <w:sz w:val="20"/>
          <w:szCs w:val="20"/>
          <w:color w:val="auto"/>
        </w:rPr>
      </w:pPr>
      <w:r>
        <w:rPr>
          <w:rFonts w:ascii="Times New Roman" w:cs="Times New Roman" w:eastAsia="Times New Roman" w:hAnsi="Times New Roman"/>
          <w:sz w:val="18"/>
          <w:szCs w:val="18"/>
          <w:color w:val="auto"/>
        </w:rPr>
        <w:t>We anticipate that the 2021 annual meeting of stockholders will be held no later than</w:t>
      </w:r>
      <w:r>
        <w:rPr>
          <w:sz w:val="20"/>
          <w:szCs w:val="20"/>
          <w:color w:val="auto"/>
        </w:rPr>
        <w:tab/>
      </w:r>
      <w:r>
        <w:rPr>
          <w:rFonts w:ascii="Times New Roman" w:cs="Times New Roman" w:eastAsia="Times New Roman" w:hAnsi="Times New Roman"/>
          <w:sz w:val="18"/>
          <w:szCs w:val="18"/>
          <w:color w:val="auto"/>
        </w:rPr>
        <w:t>, 2021. For any</w:t>
      </w:r>
    </w:p>
    <w:p>
      <w:pPr>
        <w:spacing w:after="0" w:line="27"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proposal to be considered for inclusion in our proxy statement and form of proxy for submission to the stockholders at our 2021 annual meeting of stockholders, it must be submitted in writing and comply with the requirements of Rule 14a-8 of the Exchange Act and the Current By-laws. Assuming the meeting is held on or</w:t>
      </w:r>
    </w:p>
    <w:p>
      <w:pPr>
        <w:spacing w:after="0" w:line="1" w:lineRule="exact"/>
        <w:rPr>
          <w:sz w:val="20"/>
          <w:szCs w:val="20"/>
          <w:color w:val="auto"/>
        </w:rPr>
      </w:pPr>
    </w:p>
    <w:p>
      <w:pPr>
        <w:jc w:val="both"/>
        <w:ind w:left="460" w:right="459"/>
        <w:spacing w:after="0" w:line="242" w:lineRule="auto"/>
        <w:rPr>
          <w:sz w:val="20"/>
          <w:szCs w:val="20"/>
          <w:color w:val="auto"/>
        </w:rPr>
      </w:pPr>
      <w:r>
        <w:rPr>
          <w:rFonts w:ascii="Times New Roman" w:cs="Times New Roman" w:eastAsia="Times New Roman" w:hAnsi="Times New Roman"/>
          <w:sz w:val="18"/>
          <w:szCs w:val="18"/>
          <w:color w:val="auto"/>
        </w:rPr>
        <w:t>about , 2021, such proposals must be received by the Combined Entity at its offices at c/o Gemini Therapeutics,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Massachusetts 02139, within a reasonable time before the Combined Entity begins to print and send its proxy materials for the meeting.</w:t>
      </w:r>
    </w:p>
    <w:p>
      <w:pPr>
        <w:spacing w:after="0" w:line="12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7"/>
          <w:szCs w:val="17"/>
          <w:color w:val="auto"/>
        </w:rPr>
        <w:t>In addition, the Amended By-laws, which will be effective upon the Closing, provide notice procedures for stockholders to propose business (other than director nominations) to be considered by stockholders at a meeting. To be timely, a stockholder’s notice must be received by the Secretary at the principal executive offices of the Combined Entity not later than the close of business on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nor earlier than the close of business 120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30 days after such anniversary of the preceding year’s annual meeting, notice by the stockholder to be timely must be so received no earlier than the close of business on the 120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later of the 90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7"/>
          <w:szCs w:val="17"/>
          <w:color w:val="auto"/>
        </w:rPr>
        <w:t xml:space="preserve"> day prior to such annual meeting or the tenth day following the day on which public announcement of the date such meeting is first made. Thus, for our 2021 annual meeting of stockholders, notice of a proposal must be delivered</w:t>
      </w:r>
    </w:p>
    <w:p>
      <w:pPr>
        <w:spacing w:after="0" w:line="9"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to our Secretary no later than , 2021 and no earlier than , 2021. The Chairperson of the Combined Entity’s board of directors may refuse to acknowledge the introduction of any stockholder proposal not made in compliance with the foregoing procedures.</w:t>
      </w:r>
    </w:p>
    <w:p>
      <w:pPr>
        <w:spacing w:after="0" w:line="105"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Further, the Amended By-laws, which will be effective upon the Closing, provide notice procedures for stockholders to nominate a person as a director to be considered by stockholders at a meeting. To be timely, a stockholder’s notice must be received by the Secretary at the principal executive offices of the Combined Entity</w:t>
      </w:r>
    </w:p>
    <w:p>
      <w:pPr>
        <w:spacing w:after="0" w:line="1" w:lineRule="exact"/>
        <w:rPr>
          <w:sz w:val="20"/>
          <w:szCs w:val="20"/>
          <w:color w:val="auto"/>
        </w:rPr>
      </w:pPr>
    </w:p>
    <w:p>
      <w:pPr>
        <w:jc w:val="both"/>
        <w:ind w:left="460" w:right="459" w:hanging="6"/>
        <w:spacing w:after="0" w:line="237" w:lineRule="auto"/>
        <w:tabs>
          <w:tab w:leader="none" w:pos="70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meeting, not later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preceding year’s annual meeting, notice by the stockholder to be timely must be so received no earlier than the close of business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close of business on the later of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such annual meeting or the tenth day following the day on which public announcement of the date of such meeting was first made. Thus, for our 2021 annual meeting of stockholders,</w:t>
      </w:r>
    </w:p>
    <w:p>
      <w:pPr>
        <w:spacing w:after="0" w:line="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notice of a nomination must be delivered to our Secretary no later than , 2021 and no earlier than , 2021. The Chairperson of the Combined Entity’s board of directors may refuse to acknowledge the introduction of any stockholder nomination not made in compliance with the foregoing procedures.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Stockholders and interested parties may communicate with the Board, any committee chairperson or the non-management directors as a group by writing to the board or committee chairperson in care FS Development, 600 Montgomery Street, Suite 4500, San Francisco, California 94111. Following the Business Combination, such communications should be sent to Gemini Therapeutics,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Massachusetts 02139. Each communication will be forwarded, depending on the subject matter, to the board of directors, the appropriate committee chairperson or all non-management directors.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validity of the shares of Class A Common Stock to be issued in connection with the Business Combination will be passed upon by White &amp; Case LLP, New York, New York.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financial statements of FS Development as of June 30, 2020, and for the period from June 25, 2020 (inception) through June 30, 2020 appearing in this proxy statement/prospectus have been audited by WithumSmith+Brown, PC, independent registered public accounting firm, as set forth in their report thereon, appearing elsewhere in this prospectus, and are included in reliance on such report given on the authority of such firm as experts in auditing and accounting.</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financial statements of Gemini Therapeutics, Inc. as of December 31, 2018 and December 31, 2019, and for the years then ended included in the Proxy Statement of FS Development Corp., which is referred to and made part of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Pursuant to the rules of the SEC, FS Development and servicers that it employs to deliver communications to its stockholders are permitted to deliver to two or more stockholders sharing the same address a single copy of this proxy statement/prospectus. Upon written or oral request, FS Development will deliver a separate copy of this proxy statement/prospectus to any stockholder at a shared address to which a single copy of this proxy statement/prospectus was delivered and who wishes to receive separate copies in the future. Stockholders receiving multiple copies of this proxy statement/prospectus may likewise request delivery of single copies of this proxy statement/prospectus in the future. Stockholders may notify FS Development of their requests by calling or writing FS Development at its principal executive offices 600 Montgomery Street, Suite 4500, San Francisco, California 94111.</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registrar and transfer agent for the shares of Common Stock is Continental Stock Transfer &amp; Trust Company. FS Development has agreed to indemnify Continental Stock Transfer &amp; Trust Company in its role as transfer agent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as required by the Exchange Act. You can read FS Development’s SEC filings, including this proxy statement/prospectus,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statement/prospectus or if you have questions about the Business Combination or the proposals to be presented at the Special Meeting, you should contact FS Development by telephone or in writing:</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You may also obtain these documents by requesting them in writing or by telephone from FS Development’s proxy solicitation agent at the following address and telephone number: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Morrow Sodali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470 West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Stamford CT 06902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Individuals call toll-free (800) 662-5200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Banks and brokers call (203) 658-9400Email: FSDC.info@investor.morrowsodali.com</w:t>
      </w:r>
    </w:p>
    <w:p>
      <w:pPr>
        <w:spacing w:after="0" w:line="12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If you are a stockholder of FS Development and would like to request documents, please do so by one week prior to the Special Meeting in order to receive them before the Special Meeting. If you request any documents from FS Development, FS Development will mail them to you by first class mail, or another equally prompt means.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All information contained in this proxy statement/prospectus relating to FS Development has been supplied by FS Development, and all such information relating to Gemini has been supplied by Gemini. Information provided by either FS Development or Gemini does not constitute any representation, estimate or projection of any other party.</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document is a proxy statement/prospectus of FS Development for the Special Meeting. FS Development has not authorized anyone to give any information or make any representation about the Business Combination, FS Development or Gemini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5" w:name="page236"/>
    <w:bookmarkEnd w:id="2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47"/>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178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57"/>
        </w:trPr>
        <w:tc>
          <w:tcPr>
            <w:tcW w:w="736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 of FS Development Corp.</w:t>
            </w: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37">
              <w:r>
                <w:rPr>
                  <w:rFonts w:ascii="Times New Roman" w:cs="Times New Roman" w:eastAsia="Times New Roman" w:hAnsi="Times New Roman"/>
                  <w:sz w:val="18"/>
                  <w:szCs w:val="18"/>
                  <w:u w:val="single" w:color="auto"/>
                  <w:color w:val="0000EE"/>
                </w:rPr>
                <w:t>Unaudited Condensed Balance Sheet as of September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76"/>
        </w:trPr>
        <w:tc>
          <w:tcPr>
            <w:tcW w:w="7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Unaudited Condensed Statement of Operations for the three months ended September 30, 2020 and</w:t>
              </w:r>
            </w:hyperlink>
          </w:p>
        </w:tc>
        <w:tc>
          <w:tcPr>
            <w:tcW w:w="7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96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w:anchor="page238">
              <w:r>
                <w:rPr>
                  <w:rFonts w:ascii="Times New Roman" w:cs="Times New Roman" w:eastAsia="Times New Roman" w:hAnsi="Times New Roman"/>
                  <w:sz w:val="18"/>
                  <w:szCs w:val="18"/>
                  <w:color w:val="0000EE"/>
                </w:rPr>
                <w:t>for the period from June 25, 2020 (inception) through September 30, 2020</w:t>
              </w:r>
            </w:hyperlink>
          </w:p>
        </w:tc>
        <w:tc>
          <w:tcPr>
            <w:tcW w:w="220" w:type="dxa"/>
            <w:vAlign w:val="bottom"/>
            <w:tcBorders>
              <w:top w:val="single" w:sz="8" w:color="CCEEFF"/>
            </w:tcBorders>
            <w:gridSpan w:val="3"/>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178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76"/>
        </w:trPr>
        <w:tc>
          <w:tcPr>
            <w:tcW w:w="7360" w:type="dxa"/>
            <w:vAlign w:val="bottom"/>
            <w:gridSpan w:val="17"/>
          </w:tcPr>
          <w:p>
            <w:pPr>
              <w:spacing w:after="0" w:line="176" w:lineRule="exact"/>
              <w:rPr>
                <w:rFonts w:ascii="Times New Roman" w:cs="Times New Roman" w:eastAsia="Times New Roman" w:hAnsi="Times New Roman"/>
                <w:sz w:val="18"/>
                <w:szCs w:val="18"/>
                <w:color w:val="0000EE"/>
              </w:rPr>
            </w:pPr>
            <w:hyperlink w:anchor="page239">
              <w:r>
                <w:rPr>
                  <w:rFonts w:ascii="Times New Roman" w:cs="Times New Roman" w:eastAsia="Times New Roman" w:hAnsi="Times New Roman"/>
                  <w:sz w:val="18"/>
                  <w:szCs w:val="18"/>
                  <w:color w:val="0000EE"/>
                </w:rPr>
                <w:t>Unaudited Condensed Statement of Changes in Stockholder’s equity for the three months ended</w:t>
              </w:r>
            </w:hyperlink>
          </w:p>
        </w:tc>
        <w:tc>
          <w:tcPr>
            <w:tcW w:w="74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39">
              <w:r>
                <w:rPr>
                  <w:rFonts w:ascii="Times New Roman" w:cs="Times New Roman" w:eastAsia="Times New Roman" w:hAnsi="Times New Roman"/>
                  <w:sz w:val="18"/>
                  <w:szCs w:val="18"/>
                  <w:color w:val="0000EE"/>
                </w:rPr>
                <w:t>September 30, 2020 and for the period from June 25, 2020 (inception) through September</w:t>
              </w:r>
            </w:hyperlink>
          </w:p>
        </w:tc>
        <w:tc>
          <w:tcPr>
            <w:tcW w:w="46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780" w:type="dxa"/>
            <w:vAlign w:val="bottom"/>
            <w:gridSpan w:val="4"/>
          </w:tcPr>
          <w:p>
            <w:pPr>
              <w:ind w:left="180"/>
              <w:spacing w:after="0" w:line="196" w:lineRule="exact"/>
              <w:rPr>
                <w:rFonts w:ascii="Times New Roman" w:cs="Times New Roman" w:eastAsia="Times New Roman" w:hAnsi="Times New Roman"/>
                <w:sz w:val="18"/>
                <w:szCs w:val="18"/>
                <w:color w:val="0000EE"/>
              </w:rPr>
            </w:pPr>
            <w:hyperlink w:anchor="page239">
              <w:r>
                <w:rPr>
                  <w:rFonts w:ascii="Times New Roman" w:cs="Times New Roman" w:eastAsia="Times New Roman" w:hAnsi="Times New Roman"/>
                  <w:sz w:val="18"/>
                  <w:szCs w:val="18"/>
                  <w:color w:val="0000EE"/>
                </w:rPr>
                <w:t>30, 2020</w:t>
              </w:r>
            </w:hyperlink>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6"/>
        </w:trPr>
        <w:tc>
          <w:tcPr>
            <w:tcW w:w="7360" w:type="dxa"/>
            <w:vAlign w:val="bottom"/>
            <w:gridSpan w:val="17"/>
            <w:shd w:val="clear" w:color="auto" w:fill="CCEEFF"/>
          </w:tcPr>
          <w:p>
            <w:pPr>
              <w:spacing w:after="0" w:line="176" w:lineRule="exact"/>
              <w:rPr>
                <w:rFonts w:ascii="Times New Roman" w:cs="Times New Roman" w:eastAsia="Times New Roman" w:hAnsi="Times New Roman"/>
                <w:sz w:val="18"/>
                <w:szCs w:val="18"/>
                <w:color w:val="0000EE"/>
              </w:rPr>
            </w:pPr>
            <w:hyperlink w:anchor="page240">
              <w:r>
                <w:rPr>
                  <w:rFonts w:ascii="Times New Roman" w:cs="Times New Roman" w:eastAsia="Times New Roman" w:hAnsi="Times New Roman"/>
                  <w:sz w:val="18"/>
                  <w:szCs w:val="18"/>
                  <w:color w:val="0000EE"/>
                </w:rPr>
                <w:t>Unaudited Condensed Statement of Cash Flows for the period from June 25, 2020 (inception)</w:t>
              </w:r>
            </w:hyperlink>
          </w:p>
        </w:tc>
        <w:tc>
          <w:tcPr>
            <w:tcW w:w="74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56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w:anchor="page240">
              <w:r>
                <w:rPr>
                  <w:rFonts w:ascii="Times New Roman" w:cs="Times New Roman" w:eastAsia="Times New Roman" w:hAnsi="Times New Roman"/>
                  <w:sz w:val="18"/>
                  <w:szCs w:val="18"/>
                  <w:color w:val="0000EE"/>
                </w:rPr>
                <w:t>through September 30, 2020</w:t>
              </w:r>
            </w:hyperlink>
          </w:p>
        </w:tc>
        <w:tc>
          <w:tcPr>
            <w:tcW w:w="620" w:type="dxa"/>
            <w:vAlign w:val="bottom"/>
            <w:tcBorders>
              <w:top w:val="single" w:sz="8" w:color="CCEEFF"/>
            </w:tcBorders>
            <w:gridSpan w:val="7"/>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41">
              <w:r>
                <w:rPr>
                  <w:rFonts w:ascii="Times New Roman" w:cs="Times New Roman" w:eastAsia="Times New Roman" w:hAnsi="Times New Roman"/>
                  <w:sz w:val="18"/>
                  <w:szCs w:val="18"/>
                  <w:u w:val="single" w:color="auto"/>
                  <w:color w:val="0000EE"/>
                </w:rPr>
                <w:t>Notes to Unaudited Condensed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4"/>
        </w:trPr>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FS Development Corp.</w:t>
            </w:r>
          </w:p>
        </w:tc>
        <w:tc>
          <w:tcPr>
            <w:tcW w:w="740" w:type="dxa"/>
            <w:vAlign w:val="bottom"/>
          </w:tcPr>
          <w:p>
            <w:pPr>
              <w:spacing w:after="0"/>
              <w:rPr>
                <w:sz w:val="21"/>
                <w:szCs w:val="21"/>
                <w:color w:val="auto"/>
              </w:rPr>
            </w:pPr>
          </w:p>
        </w:tc>
      </w:tr>
      <w:tr>
        <w:trPr>
          <w:trHeight w:val="41"/>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4">
              <w:r>
                <w:rPr>
                  <w:rFonts w:ascii="Times New Roman" w:cs="Times New Roman" w:eastAsia="Times New Roman" w:hAnsi="Times New Roman"/>
                  <w:sz w:val="18"/>
                  <w:szCs w:val="18"/>
                  <w:u w:val="single" w:color="auto"/>
                  <w:color w:val="0000EE"/>
                </w:rPr>
                <w:t>Report of Independent Registered Public Accounting Firm</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F-19</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55">
              <w:r>
                <w:rPr>
                  <w:rFonts w:ascii="Times New Roman" w:cs="Times New Roman" w:eastAsia="Times New Roman" w:hAnsi="Times New Roman"/>
                  <w:sz w:val="18"/>
                  <w:szCs w:val="18"/>
                  <w:u w:val="single" w:color="auto"/>
                  <w:color w:val="0000EE"/>
                </w:rPr>
                <w:t>Balance Sheet as of June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F-20</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6">
              <w:r>
                <w:rPr>
                  <w:rFonts w:ascii="Times New Roman" w:cs="Times New Roman" w:eastAsia="Times New Roman" w:hAnsi="Times New Roman"/>
                  <w:sz w:val="18"/>
                  <w:szCs w:val="18"/>
                  <w:u w:val="single" w:color="auto"/>
                  <w:color w:val="0000EE"/>
                </w:rPr>
                <w:t>Statements of Operations for the period from June 25, 2020 (inception) through June 30,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F-21</w:t>
            </w:r>
          </w:p>
        </w:tc>
      </w:tr>
      <w:tr>
        <w:trPr>
          <w:trHeight w:val="176"/>
        </w:trPr>
        <w:tc>
          <w:tcPr>
            <w:tcW w:w="668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color w:val="0000EE"/>
                </w:rPr>
                <w:t>Statement of Changes in Stockholder’s Equity for the period from June 25, 2020 (inception)</w:t>
              </w:r>
            </w:hyperlink>
          </w:p>
        </w:tc>
        <w:tc>
          <w:tcPr>
            <w:tcW w:w="680" w:type="dxa"/>
            <w:vAlign w:val="bottom"/>
            <w:gridSpan w:val="8"/>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80" w:type="dxa"/>
            <w:vAlign w:val="bottom"/>
            <w:gridSpan w:val="16"/>
          </w:tcPr>
          <w:p>
            <w:pPr>
              <w:spacing w:after="0" w:line="196" w:lineRule="exact"/>
              <w:rPr>
                <w:rFonts w:ascii="Times New Roman" w:cs="Times New Roman" w:eastAsia="Times New Roman" w:hAnsi="Times New Roman"/>
                <w:sz w:val="18"/>
                <w:szCs w:val="18"/>
                <w:color w:val="0000EE"/>
              </w:rPr>
            </w:pPr>
            <w:hyperlink w:anchor="page257">
              <w:r>
                <w:rPr>
                  <w:rFonts w:ascii="Times New Roman" w:cs="Times New Roman" w:eastAsia="Times New Roman" w:hAnsi="Times New Roman"/>
                  <w:sz w:val="18"/>
                  <w:szCs w:val="18"/>
                  <w:color w:val="0000EE"/>
                </w:rPr>
                <w:t>through June 30, 2020</w:t>
              </w:r>
            </w:hyperlink>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F-22</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58">
              <w:r>
                <w:rPr>
                  <w:rFonts w:ascii="Times New Roman" w:cs="Times New Roman" w:eastAsia="Times New Roman" w:hAnsi="Times New Roman"/>
                  <w:sz w:val="18"/>
                  <w:szCs w:val="18"/>
                  <w:u w:val="single" w:color="auto"/>
                  <w:color w:val="0000EE"/>
                </w:rPr>
                <w:t>Statement of Cash Flows for the period from June 25, 2020 (inception) through June 30,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F-23</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59">
              <w:r>
                <w:rPr>
                  <w:rFonts w:ascii="Times New Roman" w:cs="Times New Roman" w:eastAsia="Times New Roman" w:hAnsi="Times New Roman"/>
                  <w:sz w:val="18"/>
                  <w:szCs w:val="18"/>
                  <w:u w:val="single" w:color="auto"/>
                  <w:color w:val="0000EE"/>
                </w:rPr>
                <w:t>Notes to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F-24</w:t>
            </w:r>
          </w:p>
        </w:tc>
      </w:tr>
      <w:tr>
        <w:trPr>
          <w:trHeight w:val="41"/>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3"/>
        </w:trPr>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73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Gemini Therapeutics, Inc.</w:t>
            </w:r>
          </w:p>
        </w:tc>
        <w:tc>
          <w:tcPr>
            <w:tcW w:w="740" w:type="dxa"/>
            <w:vAlign w:val="bottom"/>
          </w:tcPr>
          <w:p>
            <w:pPr>
              <w:spacing w:after="0"/>
              <w:rPr>
                <w:sz w:val="21"/>
                <w:szCs w:val="21"/>
                <w:color w:val="auto"/>
              </w:rPr>
            </w:pP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7360" w:type="dxa"/>
            <w:vAlign w:val="bottom"/>
            <w:tcBorders>
              <w:bottom w:val="single" w:sz="8" w:color="CCEEFF"/>
            </w:tcBorders>
            <w:gridSpan w:val="17"/>
            <w:shd w:val="clear" w:color="auto" w:fill="CCEEFF"/>
          </w:tcPr>
          <w:p>
            <w:pPr>
              <w:spacing w:after="0"/>
              <w:rPr>
                <w:rFonts w:ascii="Times New Roman" w:cs="Times New Roman" w:eastAsia="Times New Roman" w:hAnsi="Times New Roman"/>
                <w:sz w:val="18"/>
                <w:szCs w:val="18"/>
                <w:u w:val="single" w:color="auto"/>
                <w:color w:val="0000EE"/>
              </w:rPr>
            </w:pPr>
            <w:hyperlink w:anchor="page267">
              <w:r>
                <w:rPr>
                  <w:rFonts w:ascii="Times New Roman" w:cs="Times New Roman" w:eastAsia="Times New Roman" w:hAnsi="Times New Roman"/>
                  <w:sz w:val="18"/>
                  <w:szCs w:val="18"/>
                  <w:u w:val="single" w:color="auto"/>
                  <w:color w:val="0000EE"/>
                </w:rPr>
                <w:t>Report of Independent Registered Public Accounting Firm</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F-32</w:t>
            </w: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68">
              <w:r>
                <w:rPr>
                  <w:rFonts w:ascii="Times New Roman" w:cs="Times New Roman" w:eastAsia="Times New Roman" w:hAnsi="Times New Roman"/>
                  <w:sz w:val="18"/>
                  <w:szCs w:val="18"/>
                  <w:u w:val="single" w:color="auto"/>
                  <w:color w:val="0000EE"/>
                </w:rPr>
                <w:t>Balance Sheets as of December 31, 2018 and 2019, and (unaudited) as of September 30, 2020</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F-33</w:t>
            </w:r>
          </w:p>
        </w:tc>
      </w:tr>
      <w:tr>
        <w:trPr>
          <w:trHeight w:val="40"/>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75"/>
        </w:trPr>
        <w:tc>
          <w:tcPr>
            <w:tcW w:w="686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69">
              <w:r>
                <w:rPr>
                  <w:rFonts w:ascii="Times New Roman" w:cs="Times New Roman" w:eastAsia="Times New Roman" w:hAnsi="Times New Roman"/>
                  <w:sz w:val="18"/>
                  <w:szCs w:val="18"/>
                  <w:color w:val="0000EE"/>
                  <w:w w:val="99"/>
                </w:rPr>
                <w:t>Statements of Operations and Comprehensive Loss for the years ended December 31, 2018 and</w:t>
              </w:r>
            </w:hyperlink>
          </w:p>
        </w:tc>
        <w:tc>
          <w:tcPr>
            <w:tcW w:w="500" w:type="dxa"/>
            <w:vAlign w:val="bottom"/>
            <w:tcBorders>
              <w:bottom w:val="single" w:sz="8" w:color="CCEEFF"/>
            </w:tcBorders>
            <w:gridSpan w:val="6"/>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7180" w:type="dxa"/>
            <w:vAlign w:val="bottom"/>
            <w:tcBorders>
              <w:bottom w:val="single" w:sz="8" w:color="CCEEFF"/>
            </w:tcBorders>
            <w:gridSpan w:val="16"/>
            <w:shd w:val="clear" w:color="auto" w:fill="CCEEFF"/>
          </w:tcPr>
          <w:p>
            <w:pPr>
              <w:spacing w:after="0"/>
              <w:rPr>
                <w:rFonts w:ascii="Times New Roman" w:cs="Times New Roman" w:eastAsia="Times New Roman" w:hAnsi="Times New Roman"/>
                <w:sz w:val="18"/>
                <w:szCs w:val="18"/>
                <w:u w:val="single" w:color="auto"/>
                <w:color w:val="0000EE"/>
              </w:rPr>
            </w:pPr>
            <w:hyperlink w:anchor="page269">
              <w:r>
                <w:rPr>
                  <w:rFonts w:ascii="Times New Roman" w:cs="Times New Roman" w:eastAsia="Times New Roman" w:hAnsi="Times New Roman"/>
                  <w:sz w:val="18"/>
                  <w:szCs w:val="18"/>
                  <w:u w:val="single" w:color="auto"/>
                  <w:color w:val="0000EE"/>
                </w:rPr>
                <w:t>2019, and (unaudited) for the nine months ended September 30, 2019 and 2020</w:t>
              </w:r>
            </w:hyperlink>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F-34</w:t>
            </w:r>
          </w:p>
        </w:tc>
      </w:tr>
      <w:tr>
        <w:trPr>
          <w:trHeight w:val="176"/>
        </w:trPr>
        <w:tc>
          <w:tcPr>
            <w:tcW w:w="7000" w:type="dxa"/>
            <w:vAlign w:val="bottom"/>
            <w:tcBorders>
              <w:bottom w:val="single" w:sz="8" w:color="0000EE"/>
            </w:tcBorders>
            <w:gridSpan w:val="13"/>
          </w:tcPr>
          <w:p>
            <w:pPr>
              <w:spacing w:after="0" w:line="176" w:lineRule="exact"/>
              <w:rPr>
                <w:rFonts w:ascii="Times New Roman" w:cs="Times New Roman" w:eastAsia="Times New Roman" w:hAnsi="Times New Roman"/>
                <w:sz w:val="18"/>
                <w:szCs w:val="18"/>
                <w:color w:val="0000EE"/>
                <w:w w:val="99"/>
              </w:rPr>
            </w:pPr>
            <w:hyperlink w:anchor="page270">
              <w:r>
                <w:rPr>
                  <w:rFonts w:ascii="Times New Roman" w:cs="Times New Roman" w:eastAsia="Times New Roman" w:hAnsi="Times New Roman"/>
                  <w:sz w:val="18"/>
                  <w:szCs w:val="18"/>
                  <w:color w:val="0000EE"/>
                  <w:w w:val="99"/>
                </w:rPr>
                <w:t>Statements of Convertible Preferred Stock and Stockholders’ Equity (Deficit) for the years ended</w:t>
              </w:r>
            </w:hyperlink>
          </w:p>
        </w:tc>
        <w:tc>
          <w:tcPr>
            <w:tcW w:w="360" w:type="dxa"/>
            <w:vAlign w:val="bottom"/>
            <w:gridSpan w:val="4"/>
          </w:tcPr>
          <w:p>
            <w:pPr>
              <w:spacing w:after="0"/>
              <w:rPr>
                <w:sz w:val="15"/>
                <w:szCs w:val="15"/>
                <w:color w:val="auto"/>
              </w:rPr>
            </w:pPr>
          </w:p>
        </w:tc>
        <w:tc>
          <w:tcPr>
            <w:tcW w:w="74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0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270">
              <w:r>
                <w:rPr>
                  <w:rFonts w:ascii="Times New Roman" w:cs="Times New Roman" w:eastAsia="Times New Roman" w:hAnsi="Times New Roman"/>
                  <w:sz w:val="18"/>
                  <w:szCs w:val="18"/>
                  <w:color w:val="0000EE"/>
                  <w:w w:val="99"/>
                </w:rPr>
                <w:t>December 31, 2018 and 2019, and (unaudited) for the nine months ended September 30, 2019 and</w:t>
              </w:r>
            </w:hyperlink>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800" w:type="dxa"/>
            <w:vAlign w:val="bottom"/>
            <w:gridSpan w:val="3"/>
          </w:tcPr>
          <w:p>
            <w:pPr>
              <w:ind w:left="180"/>
              <w:spacing w:after="0" w:line="196" w:lineRule="exact"/>
              <w:rPr>
                <w:rFonts w:ascii="Times New Roman" w:cs="Times New Roman" w:eastAsia="Times New Roman" w:hAnsi="Times New Roman"/>
                <w:sz w:val="18"/>
                <w:szCs w:val="18"/>
                <w:color w:val="0000EE"/>
              </w:rPr>
            </w:pPr>
            <w:hyperlink w:anchor="page270">
              <w:r>
                <w:rPr>
                  <w:rFonts w:ascii="Times New Roman" w:cs="Times New Roman" w:eastAsia="Times New Roman" w:hAnsi="Times New Roman"/>
                  <w:sz w:val="18"/>
                  <w:szCs w:val="18"/>
                  <w:color w:val="0000EE"/>
                </w:rPr>
                <w:t>2020</w:t>
              </w:r>
            </w:hyperlink>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F-35</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5"/>
        </w:trPr>
        <w:tc>
          <w:tcPr>
            <w:tcW w:w="720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72">
              <w:r>
                <w:rPr>
                  <w:rFonts w:ascii="Times New Roman" w:cs="Times New Roman" w:eastAsia="Times New Roman" w:hAnsi="Times New Roman"/>
                  <w:sz w:val="18"/>
                  <w:szCs w:val="18"/>
                  <w:color w:val="0000EE"/>
                  <w:w w:val="99"/>
                </w:rPr>
                <w:t>Statements of Cash Flows for the years ended December 31, 2018 and 2019, and (unaudited) for the</w:t>
              </w:r>
            </w:hyperlink>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w:anchor="page272">
              <w:r>
                <w:rPr>
                  <w:rFonts w:ascii="Times New Roman" w:cs="Times New Roman" w:eastAsia="Times New Roman" w:hAnsi="Times New Roman"/>
                  <w:sz w:val="18"/>
                  <w:szCs w:val="18"/>
                  <w:color w:val="0000EE"/>
                </w:rPr>
                <w:t>nine months ended September 30, 2019 and 2020</w:t>
              </w:r>
            </w:hyperlink>
          </w:p>
        </w:tc>
        <w:tc>
          <w:tcPr>
            <w:tcW w:w="7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98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520" w:type="dxa"/>
            <w:vAlign w:val="bottom"/>
            <w:tcBorders>
              <w:top w:val="single" w:sz="8" w:color="0000EE"/>
            </w:tcBorders>
            <w:shd w:val="clear" w:color="auto" w:fill="CCEEFF"/>
          </w:tcPr>
          <w:p>
            <w:pPr>
              <w:spacing w:after="0"/>
              <w:rPr>
                <w:sz w:val="5"/>
                <w:szCs w:val="5"/>
                <w:color w:val="auto"/>
              </w:rPr>
            </w:pPr>
          </w:p>
        </w:tc>
        <w:tc>
          <w:tcPr>
            <w:tcW w:w="17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43"/>
        </w:trPr>
        <w:tc>
          <w:tcPr>
            <w:tcW w:w="7360" w:type="dxa"/>
            <w:vAlign w:val="bottom"/>
            <w:gridSpan w:val="17"/>
          </w:tcPr>
          <w:p>
            <w:pPr>
              <w:spacing w:after="0"/>
              <w:rPr>
                <w:rFonts w:ascii="Times New Roman" w:cs="Times New Roman" w:eastAsia="Times New Roman" w:hAnsi="Times New Roman"/>
                <w:sz w:val="18"/>
                <w:szCs w:val="18"/>
                <w:u w:val="single" w:color="auto"/>
                <w:color w:val="0000EE"/>
              </w:rPr>
            </w:pPr>
            <w:hyperlink w:anchor="page273">
              <w:r>
                <w:rPr>
                  <w:rFonts w:ascii="Times New Roman" w:cs="Times New Roman" w:eastAsia="Times New Roman" w:hAnsi="Times New Roman"/>
                  <w:sz w:val="18"/>
                  <w:szCs w:val="18"/>
                  <w:u w:val="single" w:color="auto"/>
                  <w:color w:val="0000EE"/>
                </w:rPr>
                <w:t>Notes to Financial Statements</w:t>
              </w:r>
            </w:hyperlink>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F-37</w:t>
            </w:r>
          </w:p>
        </w:tc>
      </w:tr>
      <w:tr>
        <w:trPr>
          <w:trHeight w:val="432"/>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1"/>
          </w:tcPr>
          <w:p>
            <w:pPr>
              <w:ind w:left="180"/>
              <w:spacing w:after="0"/>
              <w:rPr>
                <w:sz w:val="20"/>
                <w:szCs w:val="20"/>
                <w:color w:val="auto"/>
              </w:rPr>
            </w:pPr>
            <w:r>
              <w:rPr>
                <w:rFonts w:ascii="Times New Roman" w:cs="Times New Roman" w:eastAsia="Times New Roman" w:hAnsi="Times New Roman"/>
                <w:sz w:val="18"/>
                <w:szCs w:val="18"/>
                <w:color w:val="auto"/>
              </w:rPr>
              <w:t>F-1</w:t>
            </w: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36" w:name="page237"/>
    <w:bookmarkEnd w:id="236"/>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rPr>
              <w:t>UNAUDITED CONDENSED BALANCE SHEET</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1,437,928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169,570</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1,607,498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held in Trust Account</w:t>
            </w:r>
          </w:p>
        </w:tc>
        <w:tc>
          <w:tcPr>
            <w:tcW w:w="14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120,751,489</w:t>
            </w:r>
          </w:p>
        </w:tc>
        <w:tc>
          <w:tcPr>
            <w:tcW w:w="120" w:type="dxa"/>
            <w:vAlign w:val="bottom"/>
          </w:tcPr>
          <w:p>
            <w:pPr>
              <w:spacing w:after="0"/>
              <w:rPr>
                <w:sz w:val="22"/>
                <w:szCs w:val="22"/>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122,358,987</w:t>
            </w:r>
          </w:p>
        </w:tc>
        <w:tc>
          <w:tcPr>
            <w:tcW w:w="120" w:type="dxa"/>
            <w:vAlign w:val="bottom"/>
            <w:shd w:val="clear" w:color="auto" w:fill="CCEEFF"/>
          </w:tcPr>
          <w:p>
            <w:pPr>
              <w:spacing w:after="0"/>
              <w:rPr>
                <w:sz w:val="21"/>
                <w:szCs w:val="2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6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40,489</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461,999</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49,914</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4,226,250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4,778,652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11,258,033 shares subject to possible redemption</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$10.00 per share</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112,580,330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83"/>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4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1,258,467 shares</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5"/>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(excluding 11,258,033 shares subject to possible redemption)</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3,018,750 shares</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p>
        </w:tc>
        <w:tc>
          <w:tcPr>
            <w:tcW w:w="14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r>
      <w:tr>
        <w:trPr>
          <w:trHeight w:val="40"/>
        </w:trPr>
        <w:tc>
          <w:tcPr>
            <w:tcW w:w="6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5,500,488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22"/>
                <w:szCs w:val="22"/>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(500,911)</w:t>
            </w:r>
          </w:p>
        </w:tc>
      </w:tr>
      <w:tr>
        <w:trPr>
          <w:trHeight w:val="27"/>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5,000,005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122,358,987</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7" w:name="page238"/>
    <w:bookmarkEnd w:id="2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June 25,</w:t>
            </w:r>
          </w:p>
        </w:tc>
        <w:tc>
          <w:tcPr>
            <w:tcW w:w="0" w:type="dxa"/>
            <w:vAlign w:val="bottom"/>
          </w:tcPr>
          <w:p>
            <w:pPr>
              <w:spacing w:after="0"/>
              <w:rPr>
                <w:sz w:val="1"/>
                <w:szCs w:val="1"/>
                <w:color w:val="auto"/>
              </w:rPr>
            </w:pPr>
          </w:p>
        </w:tc>
      </w:tr>
      <w:tr>
        <w:trPr>
          <w:trHeight w:val="202"/>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(inception)</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through</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450,986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452,486</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49,914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49,914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(500,900)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(502,400)</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Pr>
          <w:p>
            <w:pPr>
              <w:spacing w:after="0"/>
              <w:rPr>
                <w:sz w:val="22"/>
                <w:szCs w:val="22"/>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(499,411</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(500,911</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A common stock</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12,516,500</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12,516,500</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 Class 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of Class B common stock</w:t>
            </w: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3,018,750</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3,018,750</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Basic and diluted net loss per share, Class B</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2020 AND FOR THE PERIOD FROM JUNE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 2020 (INCEPTION) THROUGH SEPTEMBER 30, 2020</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6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16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5"/>
                <w:szCs w:val="5"/>
                <w:color w:val="auto"/>
              </w:rPr>
            </w:pPr>
          </w:p>
        </w:tc>
        <w:tc>
          <w:tcPr>
            <w:tcW w:w="96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5"/>
                <w:szCs w:val="5"/>
                <w:color w:val="auto"/>
              </w:rPr>
            </w:pPr>
          </w:p>
        </w:tc>
        <w:tc>
          <w:tcPr>
            <w:tcW w:w="10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620" w:type="dxa"/>
            <w:vAlign w:val="bottom"/>
          </w:tcPr>
          <w:p>
            <w:pPr>
              <w:spacing w:after="0"/>
              <w:rPr>
                <w:sz w:val="5"/>
                <w:szCs w:val="5"/>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6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16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June 25,</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2020 (inception)</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 $</w:t>
            </w:r>
          </w:p>
        </w:tc>
        <w:tc>
          <w:tcPr>
            <w:tcW w:w="5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Class B</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to</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Sponsor</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3,018,750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167"/>
        </w:trPr>
        <w:tc>
          <w:tcPr>
            <w:tcW w:w="16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June 30,</w:t>
            </w: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3,018,750</w:t>
            </w:r>
          </w:p>
        </w:tc>
        <w:tc>
          <w:tcPr>
            <w:tcW w:w="100" w:type="dxa"/>
            <w:vAlign w:val="bottom"/>
          </w:tcPr>
          <w:p>
            <w:pPr>
              <w:spacing w:after="0"/>
              <w:rPr>
                <w:sz w:val="18"/>
                <w:szCs w:val="18"/>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24,698</w:t>
            </w:r>
          </w:p>
        </w:tc>
        <w:tc>
          <w:tcPr>
            <w:tcW w:w="1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shares in initial</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public offering,</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12,075,000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120,748,792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120,750,000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Offering costs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(7,108,754)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(7,108,754)</w:t>
            </w:r>
          </w:p>
        </w:tc>
        <w:tc>
          <w:tcPr>
            <w:tcW w:w="0" w:type="dxa"/>
            <w:vAlign w:val="bottom"/>
          </w:tcPr>
          <w:p>
            <w:pPr>
              <w:spacing w:after="0"/>
              <w:rPr>
                <w:sz w:val="1"/>
                <w:szCs w:val="1"/>
                <w:color w:val="auto"/>
              </w:rPr>
            </w:pPr>
          </w:p>
        </w:tc>
      </w:tr>
      <w:tr>
        <w:trPr>
          <w:trHeight w:val="46"/>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 of private</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placement shares to</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Sponsor in private</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placement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4,414,956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4,415,000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subject</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 possible</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redemption</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(11,258,033)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(112,579,204)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(112,580,330)</w:t>
            </w:r>
          </w:p>
        </w:tc>
        <w:tc>
          <w:tcPr>
            <w:tcW w:w="0" w:type="dxa"/>
            <w:vAlign w:val="bottom"/>
          </w:tcPr>
          <w:p>
            <w:pPr>
              <w:spacing w:after="0"/>
              <w:rPr>
                <w:sz w:val="1"/>
                <w:szCs w:val="1"/>
                <w:color w:val="auto"/>
              </w:rPr>
            </w:pPr>
          </w:p>
        </w:tc>
      </w:tr>
      <w:tr>
        <w:trPr>
          <w:trHeight w:val="47"/>
        </w:trPr>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(499,411)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(499,411)</w:t>
            </w:r>
          </w:p>
        </w:tc>
        <w:tc>
          <w:tcPr>
            <w:tcW w:w="0" w:type="dxa"/>
            <w:vAlign w:val="bottom"/>
          </w:tcPr>
          <w:p>
            <w:pPr>
              <w:spacing w:after="0"/>
              <w:rPr>
                <w:sz w:val="1"/>
                <w:szCs w:val="1"/>
                <w:color w:val="auto"/>
              </w:rPr>
            </w:pPr>
          </w:p>
        </w:tc>
      </w:tr>
      <w:tr>
        <w:trPr>
          <w:trHeight w:val="167"/>
        </w:trPr>
        <w:tc>
          <w:tcPr>
            <w:tcW w:w="16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 September</w:t>
            </w: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1,258,467</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3,018,750</w:t>
            </w:r>
          </w:p>
        </w:tc>
        <w:tc>
          <w:tcPr>
            <w:tcW w:w="10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5,500,488</w:t>
            </w:r>
          </w:p>
        </w:tc>
        <w:tc>
          <w:tcPr>
            <w:tcW w:w="12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(500,911)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5,000,005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9" w:name="page240"/>
    <w:bookmarkEnd w:id="2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FROM JUNE 25, 2020 (INCEPTION) THROUGH SEPTEMBER 30, 2020</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(500,911)</w:t>
            </w: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earned on cash equivalents held in Trust Account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(1,489)</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(169,570)</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1"/>
                <w:szCs w:val="21"/>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39,489</w:t>
            </w:r>
          </w:p>
        </w:tc>
      </w:tr>
      <w:tr>
        <w:trPr>
          <w:trHeight w:val="41"/>
        </w:trPr>
        <w:tc>
          <w:tcPr>
            <w:tcW w:w="6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tax payable</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49,914</w:t>
            </w: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22"/>
                <w:szCs w:val="22"/>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391,999</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(190,568</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77"/>
        </w:trPr>
        <w:tc>
          <w:tcPr>
            <w:tcW w:w="68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20" w:type="dxa"/>
            <w:vAlign w:val="bottom"/>
          </w:tcPr>
          <w:p>
            <w:pPr>
              <w:spacing w:after="0"/>
              <w:rPr>
                <w:sz w:val="22"/>
                <w:szCs w:val="22"/>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w w:val="99"/>
              </w:rPr>
              <w:t>(120,750,000)</w:t>
            </w:r>
          </w:p>
        </w:tc>
      </w:tr>
      <w:tr>
        <w:trPr>
          <w:trHeight w:val="27"/>
        </w:trPr>
        <w:tc>
          <w:tcPr>
            <w:tcW w:w="6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(120,750,000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179705</wp:posOffset>
            </wp:positionV>
            <wp:extent cx="5143500" cy="1803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ectPr>
          <w:pgSz w:w="11900" w:h="16838" w:orient="portrait"/>
          <w:cols w:equalWidth="0" w:num="1">
            <w:col w:w="9019"/>
          </w:cols>
          <w:pgMar w:left="1440" w:top="270" w:right="1440" w:bottom="1440" w:gutter="0" w:footer="0" w:header="0"/>
        </w:sectPr>
      </w:pPr>
    </w:p>
    <w:p>
      <w:pPr>
        <w:spacing w:after="0" w:line="81" w:lineRule="exact"/>
        <w:rPr>
          <w:sz w:val="20"/>
          <w:szCs w:val="20"/>
          <w:color w:val="auto"/>
        </w:rPr>
      </w:pPr>
    </w:p>
    <w:p>
      <w:pPr>
        <w:ind w:left="460" w:right="1732"/>
        <w:spacing w:after="0" w:line="328" w:lineRule="auto"/>
        <w:rPr>
          <w:sz w:val="20"/>
          <w:szCs w:val="20"/>
          <w:color w:val="auto"/>
        </w:rPr>
      </w:pPr>
      <w:r>
        <w:rPr>
          <w:rFonts w:ascii="Times New Roman" w:cs="Times New Roman" w:eastAsia="Times New Roman" w:hAnsi="Times New Roman"/>
          <w:sz w:val="18"/>
          <w:szCs w:val="18"/>
          <w:color w:val="auto"/>
        </w:rPr>
        <w:t>Proceeds from issuance of Class B common stock to Sponsor Proceeds from note payable to related party 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-363855</wp:posOffset>
            </wp:positionV>
            <wp:extent cx="5143500"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-3810</wp:posOffset>
            </wp:positionV>
            <wp:extent cx="5143500" cy="1803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3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03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242570</wp:posOffset>
            </wp:positionV>
            <wp:extent cx="5143500" cy="1797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200,000</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(200,000)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120,750,000</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4,415,000</w:t>
      </w:r>
    </w:p>
    <w:p>
      <w:pPr>
        <w:spacing w:after="0" w:line="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(2,811,504)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7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122,378,496</w:t>
      </w:r>
    </w:p>
    <w:p>
      <w:pPr>
        <w:spacing w:after="0" w:line="360"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8"/>
          <w:szCs w:val="18"/>
          <w:color w:val="auto"/>
        </w:rPr>
        <w:t>1,437,928</w:t>
      </w:r>
    </w:p>
    <w:p>
      <w:pPr>
        <w:spacing w:after="0" w:line="374" w:lineRule="exact"/>
        <w:rPr>
          <w:sz w:val="20"/>
          <w:szCs w:val="20"/>
          <w:color w:val="auto"/>
        </w:rPr>
      </w:pPr>
    </w:p>
    <w:p>
      <w:pPr>
        <w:ind w:left="928"/>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388" w:hanging="388"/>
        <w:spacing w:after="0"/>
        <w:tabs>
          <w:tab w:leader="none" w:pos="388"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1,437,928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0294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661"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accounts payable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r>
      <w:tr>
        <w:trPr>
          <w:trHeight w:val="40"/>
        </w:trPr>
        <w:tc>
          <w:tcPr>
            <w:tcW w:w="6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included in accrued expenses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70,000</w:t>
            </w: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underwriting commissions in connection with the initial public offering</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4,226,250</w:t>
            </w:r>
          </w:p>
        </w:tc>
      </w:tr>
      <w:tr>
        <w:trPr>
          <w:trHeight w:val="40"/>
        </w:trPr>
        <w:tc>
          <w:tcPr>
            <w:tcW w:w="6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Initial value of Class A common stock subject to possible redemption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113,053,770</w:t>
            </w:r>
          </w:p>
        </w:tc>
      </w:tr>
      <w:tr>
        <w:trPr>
          <w:trHeight w:val="243"/>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value of Class A common stock subject to possible redemption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(473,440)</w:t>
            </w: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0" w:name="page241"/>
    <w:bookmarkEnd w:id="2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Basis of Presentation</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1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September 30, 2020, the Company had not commenced any operations. All activity for the period from June 25, 2020 (inception) through September 30, 2020 relates to the Company’s formation and the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21"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Company’s sponsor is FS Development Holdings, LLC, a Delaware limited liability company (the “Sponsor”). The registration statement for the Company’s Initial Public Offering became effective on August 11, 2020. On August 14, 2020, the Company consummated its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 (Note 5).</w:t>
      </w:r>
    </w:p>
    <w:p>
      <w:pPr>
        <w:spacing w:after="0" w:line="11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441,500 shares of Class A common stock (each, a “Private Placement Share” and collectively, the “Private Placement Shares”), at a price of $10.00 per Private Placement Share to the Sponsor, generating proceeds of approximately $4.4 million (Note 4).</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$120.8 million ($10.00 per share) of the net proceeds of the sale of the Public Shares in the Initial Public Offering and of the Private Placement Shares in the Private Placement were placed in a trust account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109"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w:t>
      </w:r>
    </w:p>
    <w:p>
      <w:pPr>
        <w:spacing w:after="0" w:line="1" w:lineRule="exact"/>
        <w:rPr>
          <w:sz w:val="20"/>
          <w:szCs w:val="20"/>
          <w:color w:val="auto"/>
        </w:rPr>
      </w:pPr>
    </w:p>
    <w:p>
      <w:pPr>
        <w:ind w:left="460" w:right="479" w:hanging="6"/>
        <w:spacing w:after="0" w:line="260" w:lineRule="auto"/>
        <w:tabs>
          <w:tab w:leader="none" w:pos="74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stockholder approval of a Business Combination or conduct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3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Initial Public Offering, or August 14,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on or after the Initial Public Offering, they will be entitled to liquidating distributions from the Trust Account with respect to such Public Shares if the Company fails to complete a Business Combination within the Combination Period. The underwriters have agreed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 See Note 7.</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financial statements of the Company have been prepared in accordance with United States generally accepted accounting principles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period from June 25, 2020 (inception) through September 30, 2020 are not necessarily indicative of the results that may be expected for the period ending December 31, 2020.</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Form 8-K and the final prospectus filed by the Company with the SEC on August 20, 2020 and August 13, 2020, respectively.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September 30, 2020, the Company had $1.4 million in its operating bank account, working capital of approximately $1.1 million and cash equivalents held in the Trust Account of approximately $120.8 million. Interest income on the balance in the Trust Account may be used to pay the Company’s franchise and income tax obligations. Through September 30, 2020, the Company has not withdrawn any interest earned on the Trust Account to pay franchise and income tax obligations. Management intends to use substantially all of the funds held in the Trust Account to complete the initial Business Combination and to pay the Company’s expenses relating thereto. To the extent that the Company’s capital stock or debt is used, in whole or in part, as consideration to complete the initial Business Combination, the remaining proceeds held in the Trust Account will be used as working capital to finance the operations of the target business or businesses, make other acquisitions and pursue our growth strategies.</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liquidity needs to date have been satisfied through the $25,000 capital contribution to purchase Founder Shares (as defined below) by the Sponsor, the loan proceeds under the Note of $200,000 from the Sponsor (see Note 4) to the Company to cover offering costs in connection with the Initial Public Offering, and the net proceeds from the consummation of the Private Placement not held in the Trust Account. The Note was fully repaid on August 14, 2020. In addition, in order to finance transaction costs in connection with a Business Combination, the Sponsor or an affiliate of the Sponsor, or certain of the Company’s officers and directors may, but are not obligated to, provide the Company Working Capital Loans (see Note 4). As of September 30, 2020, there were no amounts outstanding under any Working Capital Loans.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the specific impact is not readily determinable as of the date of the balance sheet. The financial statements do not include any adjustments that might result from the outcome of this uncertainty.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4" w:name="page245"/>
    <w:bookmarkEnd w:id="2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4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approximately $120.8 million in cash equivalents held in the Trust Account as of September 30, 2020.</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Cash Equivalents Held in Trust Account</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approximately $120.8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September 30, 2020, the Company has not experienced losses on these accounts and management believes the Company is not exposed to significant risks on such accounts.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6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95" w:lineRule="exact"/>
        <w:rPr>
          <w:sz w:val="20"/>
          <w:szCs w:val="20"/>
          <w:color w:val="auto"/>
        </w:rPr>
      </w:pPr>
    </w:p>
    <w:p>
      <w:pPr>
        <w:ind w:left="1320" w:right="479" w:hanging="434"/>
        <w:spacing w:after="0" w:line="282" w:lineRule="auto"/>
        <w:tabs>
          <w:tab w:leader="none" w:pos="15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47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5" w:name="page246"/>
    <w:bookmarkEnd w:id="2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1320" w:right="459" w:hanging="434"/>
        <w:spacing w:after="0" w:line="266" w:lineRule="auto"/>
        <w:tabs>
          <w:tab w:leader="none" w:pos="135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September 30, 2020, the carrying values of cash, accounts payable and accrued expenses approximate their fair values due to the short-term nature of the instruments. As of September 30, 2020, the Company’s portfolio of investments held in the Trust Account is comprised entirely of investments in money market funds that invest in U.S. government securities. The Company uses NAV as a practical expedient to fair value for its investments in money market funds.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Offering Costs Associated with the Initial Public Offering</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Offering costs consisted of legal, accounting, and other costs incurred that were directly related to the Initial Public Offering and that were charged to stockholders’ equity upon the completion of the Initial Public Offering.</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Class A Common Stock Subject to Possible Redemption</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accounts for its Class A common stock subject to possible redemption in accordance with the guidance in ASC Topic 480 “Distinguishing Liabilities from Equity.” Class A common stock subject to mandatory redemption (if any) is classified as a liability instrument and measured at fair value. Conditionally redeemable Class A common stock (including Class A common stock that features redemption rights that are either within the control of the holder or subject to redemption upon the occurrence of uncertain events not solely within the Company’s control) is classified as temporary equity. At all other times, Class A common stock is classified as stockholders’ equity. The Company’s Class A common stock features certain redemption rights that are considered to be outside of the Company’s control and subject to the occurrence of uncertain future events. Accordingly, at September 30, 2020, 11,258,033 Class A common stock subject to possible redemption is presented as temporary equity, outside of the stockholders’ equity section of the Company’s unaudited condensed balance sheet.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September 30, 2020, the Company had a deferred tax asset of approximately $105,000, which had a full valuation allowance recorded against it of approximately $105,000. The deferred tax asset is comprised of $95,000 of organization and start-up costs and $10,000 of projected net operating loss for the current tax year.</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For tax benefits to be recognized, a tax position must be more likely than not to be sustained upon examination by taxing authorities. There were no unrecognized tax benefits as of September 30, 2020. The Company recognizes accrued interest and penalties related to unrecognized tax benefits as income tax expense. No amounts were accrued for the payment of interest and penalties as of September 30,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6" w:name="page247"/>
    <w:bookmarkEnd w:id="2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Net Income (Loss) Per Common Share</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Net income (loss) per share is computed by dividing net income (loss) by the weighted-average number of common stock outstanding during the periods. The Company’s unaudited condensed statements of operations include a presentation of income (loss) per share for common stock subject to redemption in a manner similar to the two-class method of income (loss) per share. Net income (loss) per common share, basic and diluted for Class A common stock is calculated by dividing the interest earned on cash equivalents held in the Trust Account of approximately $1,000 for the three months ended September 30, 2020 and for the period from June 25, 2020 (inception) through September 30, 2020, net of applicable taxes available to be withdrawn from the Trust Account of approximately $1,000 for the three months ended September 30, 2020 and for the period from June 25, 2020 (inception) through September 30, 2020, resulting in net income of $0 for the three months ended September 30, 2020 and for the period from June 25, 2020 (inception) through September 30, 2020, by the weighted average number of Class A common stock outstanding for each period. Net loss per share, basic and diluted for Class B common stock is calculated by dividing the net loss of approximately $499,000 and $501,000 for the three months ended September 30, 2020 and for the period from June 25, 2020 (inception) through September 30, 2020, respectively, less income attributable to Class A common stock of $0 for each period, by the weighted average number of Class B common stock outstanding for the period.</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 if currently adopted would have a material effect on the Company’s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August 14, 2020, the Company consummated its Initial Public Offering of 12,075,000 Public Shares, including the issuance of 1,575,000 Public Shares as a result of the underwriter’s exercise in full of its over-allotment option, at $10.00 per share, generating gross proceeds of approximately $120.8 million, and incurring offering costs of approximately $7.1 million, inclusive of approximately $4.2 million in deferred underwriting commissions.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 and Private Placement Shares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agreed to forfeit up to 393,750 Founder Shares to the extent that the over-allotment option is not exercised in full by the underwriter, so that the Founder Shares would represent 20.0% of the Company’s issued and outstanding shares of common stock after the Initial Public Offering (excluding the Private Placement Shares). On August 14, 2020, the underwriter exercised the over-allotment option; thus, these Founder Shares were no longer subject to forfeiture.</w:t>
      </w:r>
    </w:p>
    <w:p>
      <w:pPr>
        <w:spacing w:after="0" w:line="12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441,500 Private Placement Shares, at a price of $10.00 per Private Placement Share to the Sponsor, generating proceeds of approximately $4.4 million.</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Initial Stockholders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the initial Business Combination that results in all of the Company’s stockholders having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June 30, 2020, the Sponsor agreed to loan the Company an aggregate of up to $200,000 to cover expenses related to the Initial Public Offering pursuant to a promissory note (the “Note”). This loan is non-interest bearing and payable upon the completion of the Initial Public Offering. The Company borrowed $200,000 under the Note, and fully repaid it on August 14, 2020.</w:t>
      </w:r>
    </w:p>
    <w:p>
      <w:pPr>
        <w:spacing w:after="0" w:line="8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initial Business Combination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 The Company incurred approximately $20,000 in administrative expenses under the agreement, which is recognized in the accompanying unaudited condensed statements of operations for both the three months ended September 30, 2020 and for the period from June 25, 2020 (inception) through September 30, 2020 within general and administrative expense.</w:t>
      </w:r>
    </w:p>
    <w:p>
      <w:pPr>
        <w:spacing w:after="0" w:line="9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Proposed Business Combination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Sponsor entered into a subscription agreement to purchase 1,500,000 shares of Class A Common Stock at a purchase price of $10 per share in a private placement that would occur concurrently with the closing of the Merger (the “Closing”). In addition, the Initial Stockholders entered into the Parent Support Agreement in which they agreed to vote, at any meeting of the stockholders of the Company, and in any action by written consent of the stockholders of the Company, all of such 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Also, in connection with the Closing, the Sponsor and certain other stockholders will enter into a Voting Agreement with the Company and the Initial Stockholders and certain other stockholders will enter into a Registration Rights Agreement with the Company. See Note 7 for a discussion of certain agreements entered into, or to be entered into, in connection with the execution of the Merger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62" w:lineRule="exact"/>
        <w:rPr>
          <w:sz w:val="20"/>
          <w:szCs w:val="20"/>
          <w:color w:val="auto"/>
        </w:rPr>
      </w:pPr>
    </w:p>
    <w:p>
      <w:pPr>
        <w:jc w:val="both"/>
        <w:ind w:left="460" w:right="479"/>
        <w:spacing w:after="0" w:line="277" w:lineRule="auto"/>
        <w:rPr>
          <w:sz w:val="20"/>
          <w:szCs w:val="20"/>
          <w:color w:val="auto"/>
        </w:rPr>
      </w:pPr>
      <w:r>
        <w:rPr>
          <w:rFonts w:ascii="Times New Roman" w:cs="Times New Roman" w:eastAsia="Times New Roman" w:hAnsi="Times New Roman"/>
          <w:sz w:val="17"/>
          <w:szCs w:val="17"/>
          <w:color w:val="auto"/>
        </w:rPr>
        <w:t>The underwriter was entitled to an underwriting discount of $0.20 per share, or approximately $2.4 million in the aggregate, paid upon the closing of the Initial Public Offering. In addition, $0.35 per share, or approximately $4.2 million in the aggregate will be payable to the underwriter for deferred underwriting commissions. The deferred fee will become payable to the underwriter from the amounts held in the Trust Account solely in the event that the Company completes a Business Combination, subject to the terms of the underwriting agreement.</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4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As of September 30, 2020, there were 12,516,500 Class A common stock outstanding, including 11,258,033 Class A common stock subject to possible conversion were classified as temporary equity in the accompanying balance sheet.</w:t>
      </w:r>
    </w:p>
    <w:p>
      <w:pPr>
        <w:spacing w:after="0" w:line="10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would collectively own 20% of the Company’s issued and outstanding common stock (excluding the Private Placement Shares) after the Initial Public Offering (excluding the Private Placement Shares). All shares and the associated amounts have been retroactively restated to reflect the aforementioned stock split. On August 14, 2020, the underwriter exercised the over-allotment option; thus, these Founder Shares were no longer subject to forfeiture.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9" w:name="page250"/>
    <w:bookmarkEnd w:id="2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1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par value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with such designations, voting and other rights and preferences as may be determined from time to time by the Company’s board of directors. As of September 30, 2020, there were no shares of preferred stock issued or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Proposed Business Combination</w:t>
      </w:r>
    </w:p>
    <w:p>
      <w:pPr>
        <w:spacing w:after="0" w:line="16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October 15, 2020, the Company entered into an agreement and plan of merger (the “Merger Agreement”) by and among the Company, FSG Merger Sub Inc., a Delaware corporation (“Merger Sub”), Gemini Therapeutics, Inc., a Delaware corporation (“Gemini”) and Shareholder Representative Services LLC, a Colorado limited liability company, in its capacity as the representative, agent and attorney-in-fact of the securityholders of Gemini (in such capacity, the “Stockholders’ Representative”). The Merger Agreement provides, among other things, that Merger Sub will merge with and into Gemini, with Gemini surviving as a wholly owned subsidiary of the Company (the “Merger”).</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Under the Merger Agreement, subject to customary representations, warranties and covenants, the Company has agreed to acquire all of the outstanding equity interests of Gemini in exchange for up to 21,500,000 shares of Company Class A common stock, subject to adjustments, to be paid at the effective time of the Merger. The aggregate number of shares of Class A Common Stock to be issued in connection with the Merger (including the shares being placed in escrow as described below) will be equal to the difference between (a) 21,500,000 shares of FS Development Class A Common Stock; minus (b) a number of shares of FS Development Class A Common Stock equal to one half (1/2) of the initial unallocated shares of the Company’s Class A Stock reserved for issuance under the new equity incentive plan to be adopted by the Company pursuant to the Merger Agreement (which shall not exceed two and one-half percent (2.5%) of the issued and outstanding shares of the Company’s Class A Common Stock as of immediately following the effective time of the Merger as set forth in the capitalization schedule delivered prior to Closing pursuant to the Merger Agreement (and approved by the Company, such approval not to be unreasonably withheld, conditioned or delayed)). At or prior to the effective time of the Merger, each option exercisable for Gemini equity that is outstanding immediately prior to the effective time of the Merger shall be assumed by the Company and continue in full force and effect on the same terms and conditions as are currently applicable to such options, subject to adjustments to exercise price and number of shares of Company Class A common stock issued upon exercise. In addition, the Merger Agreement contemplates that at Closing, the Company will deliver 2,150,000 of its shares of Class A common stock to be placed into escrow for indemnification purposes, as further described in the Merger Agreement.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0" w:name="page251"/>
    <w:bookmarkEnd w:id="2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7"/>
          <w:szCs w:val="17"/>
          <w:color w:val="auto"/>
        </w:rPr>
        <w:t>Under the Merger Agreement, the obligations of the parties to consummate the Merger are subject to the satisfaction or waiver of certain customary closing conditions of the respective parties, including, without limitation: (i) the approval and adoption of the Merger Agreement and transactions contemplated thereby by requisite vote of the Company’s stockholders (the “Company Stockholder Approval”) and the Gemini’s stockholders (the “Gemini Stockholder Approval”); (ii) the receipt of consents or approvals from the applicable governmental, regulatory or administrative authorities; (iii) the aggregate cash proceeds from Company’s trust account, together with the proceeds from the Subscriptions (as defined below), equaling no less than $170,000,000 (after deducting any amounts paid to Company stockholders that exercise their redemption rights in connection with the Merger and net of the Company’s unpaid liabilities), (iv) the absence of a Material Adverse Effect (as defined in the Merger Agreement) since the date of the Merger Agreement that is continuing;</w:t>
      </w:r>
    </w:p>
    <w:p>
      <w:pPr>
        <w:spacing w:after="0" w:line="4" w:lineRule="exact"/>
        <w:rPr>
          <w:sz w:val="20"/>
          <w:szCs w:val="20"/>
          <w:color w:val="auto"/>
        </w:rPr>
      </w:pPr>
    </w:p>
    <w:p>
      <w:pPr>
        <w:jc w:val="both"/>
        <w:ind w:left="460" w:right="459" w:hanging="6"/>
        <w:spacing w:after="0" w:line="250" w:lineRule="auto"/>
        <w:tabs>
          <w:tab w:leader="none" w:pos="73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redeemed the Class A of common stock of the Company in an amount that would cause the Company to have net tangible assets of less than $5,000,001 upon consummation of the Merger; and</w:t>
      </w:r>
    </w:p>
    <w:p>
      <w:pPr>
        <w:jc w:val="both"/>
        <w:ind w:left="460" w:right="479" w:hanging="6"/>
        <w:spacing w:after="0" w:line="252" w:lineRule="auto"/>
        <w:tabs>
          <w:tab w:leader="none" w:pos="76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initial listing application with Nasdaq in connection with the Merger has been conditionally approved and, immediately following the effective time of the Merger, the Company has satisfied any applicable initial and continuing listing requirements of Nasdaq, and the Company has not received any notice of non-compliance therewith, and the shares of the Company’s Class A common stock has been approved for listing on Nasdaq. The Company and Gemini have agreed to waive the condition that the By-Laws of the combined entity be approved by the stockholders of the Company.</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may be terminated under certain customary and limited circumstances at any time prior to the Closing, including, without limitation, (i) by the Company or Gemini, if (A) the Closing has not occurred by April 15, 2021, which date shall be automatically extended to May 15, 2021 if the U.S. Securities and Exchange Commission (the “SEC”) has not declared the proxy statement/prospectus effective on or prior to January 15, 2021 and (B) the party (the Company or Merger Sub, on one hand, or Gemini, on the other hand) seeking to terminate the Merger Agreement is not in material breach of the Merger Agreement; (ii) by the Company or Gemini, in the event an applicable governmental, regulatory or administrative authority has issued a final and non-appealable order having the effect of permanently restraining, enjoining or otherwise prohibiting the Merger; (iii) by the Company or Gemini, in the event any applicable law is in effect making the consummation of the Merger illegal; or (iv) by the Company or Gemini, if the Company or Gemini, as applicable, has breached any of its respective representations, warranties, agreements or its respective covenants contained in the Merger Agreement, such failure or breach would render certain conditions precedents to the Closing incapable of being satisfied, and such breach or failure is not cured by the time allotted.</w:t>
      </w:r>
    </w:p>
    <w:p>
      <w:pPr>
        <w:spacing w:after="0" w:line="10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contemplates the execution of various additional agreements and instruments, on or before the Closing, including, among others, the following:</w:t>
      </w:r>
    </w:p>
    <w:p>
      <w:pPr>
        <w:spacing w:after="0" w:line="9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Parent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the Company (the “Parent Supporting Stockholders”) entered into support agreements with the Company and Gemini (the “Parent Support Agreements”). Under the Parent Support Agreements, each Parent Supporting Stockholder agreed to vote, at any meeting of the stockholders of the Company, and in any action by written consent of the stockholders of the Company, all of such Parent Supporting Stockholder’s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In addition, the Parent Support Agreements prohibit the Parent Supporting Stockholders from, among other things, selling, assigning or transferring any Class A Common Stock or Class B Common Stock held by the Parent Supporting Stockholders or taking any action that would prevent or disable the Parent Support Stockholders from performing its obligations thereunder.</w:t>
      </w:r>
    </w:p>
    <w:p>
      <w:pPr>
        <w:spacing w:after="0" w:line="12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Gemini Support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execution of the Merger Agreement, certain Gemini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(the “Gemini Supporting Stockholders”) entered into support agreements with the Company (the “Gemini Support Agreements”). Under the Gemini Support Agreements, each Gemini Supporting Stockholder agreed, as promptly as reasonably practicable (and in any event within two (2) business days) following the SEC declaring effective the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1" w:name="page252"/>
    <w:bookmarkEnd w:id="2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proxy statement/prospectus relating to the approval by the Company stockholders of the Merger, to execute and deliver a written consent with respect to the outstanding shares of Gemini common stock, Series A preferred stock and Series B preferred stock held by such Gemini Supporting Stockholder (the “Subject Gemini Shares”) approving the Merger Agreement and the transactions contemplated thereby. In addition to the 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Merger (ii) against any Alternative Transaction (as defined in the Merger Agreement); and</w:t>
      </w:r>
    </w:p>
    <w:p>
      <w:pPr>
        <w:spacing w:after="0" w:line="1" w:lineRule="exact"/>
        <w:rPr>
          <w:sz w:val="20"/>
          <w:szCs w:val="20"/>
          <w:color w:val="auto"/>
        </w:rPr>
      </w:pPr>
    </w:p>
    <w:p>
      <w:pPr>
        <w:jc w:val="both"/>
        <w:ind w:left="460" w:right="459" w:hanging="6"/>
        <w:spacing w:after="0" w:line="251" w:lineRule="auto"/>
        <w:tabs>
          <w:tab w:leader="none" w:pos="80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(other than certain indemnity provisions that, by their terms, survive such termination), effective as of, and subject to and condition upon the occurrence of, the Closing. In addition, the Gemini Support Agreements prohibits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forgoing.</w:t>
      </w:r>
    </w:p>
    <w:p>
      <w:pPr>
        <w:spacing w:after="0" w:line="123"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Subscription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connection with the Merger, the Company entered into subscription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certain investors, including the Sponsor (the “Subscription Agreements”), pursuant to which, among other things, such investors have agreed to purchase an aggregate of 9,506,000 shares of Class A common stock of the Company (together, the “Subscriptions”) for a purchase price of $10.00 per share, for aggregate gross proceeds of $95,060,000, to be issued at the Closing. The obligations of each party to consummate the Subscriptions are conditioned upon, among other things, customary closing conditions and the consummation of the transactions contemplated by the Merger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Non-Redemption Agreements</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Merger Agreement, certain public stockholders of the Company entered into non-redemption letter agreements with the Company, pursuant to which, among other things, such stockholders owning shares of Class A Common Stock agreed not to elect to redeem or tender or submit for redemption 2,742,529 shares of Class A Common Stock held in the aggregate by such stockholders.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connection with the Closing, the holders of the Founder Shares, Private Placement Shares and certain other stockholders will enter into a registration rights agreement with the Company and Gemini, pursuant to which such stockholders can each demand that the combined entity register their registrable securities under certain circumstances and will each also have piggyback registration rights for these securities. In addition, following the consummation of the business combination, the combined entity is required to file and maintain an effective registration statement under the Securities Act covering such securities and certain other securities of the combined entity. The registration of these securities will permit the public sale of such securities, subject to certain contractual restrictions imposed by such agreement and the Merger Agreement. As part of the Registration Rights Agreement, holders of the registrable securities agree to a one hundred eighty (180) day lock-up period with respect to such registrable securities.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Agreement</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connection with the Closing, the Sponsor, FS Development, certain stockholders of the Company and certain stockholders of Gemini will enter into a voting agreement, pursuant to which: (a) Gemini will have the right to designate four (4) directors to the board of directors of the combined entity and (b) the Sponsor will have the right to designate one (1) individual for election as a member of the board of directors of the combined entity until the fifth (5th) anniversary of the date of the voting agreement, subject to certain terms and holding requirements set forth therein.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2" w:name="page253"/>
    <w:bookmarkEnd w:id="2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7 — Subsequent Events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connection with the Closing, certain stockholders of Gemini will enter into a lockup agreement, pursuant to which the stockholder parties thereto will agree to not (i) sell, hypothecate, pledge, grant any option to purchase or establish or increase a put equivalent position or liquidate or decrease a call equivalent position or (ii) enter into any swap or other arrangement that transfers any of the economic consequences of ownership, in each case, of the combined entity’s common stock for a period of one hundred eighty (180) days after the Closing.</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above description of the Proposed Business Combination should be read in conjunction with the disclosures contained in the Form S-4 filed by the Company with the SEC on November 2, 2020.</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Management has evaluated subsequent events to determine if events or transactions occurring through November 10, 2020, the date the financial statements were available for issuance, require potential adjustment to or disclosure in the financial statements and has concluded that all such events that would require recognition or disclosure have been recognized or disclosed.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3" w:name="page254"/>
    <w:bookmarkEnd w:id="2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 and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 of FS Development Corp. (the “Company”) as of June 30, 2020, the related statements of operations, changes in stockholder’s equity and cash flows for the period from June 25,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25, 2020 (inception) through June 30, 2020,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August 11,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4" w:name="page255"/>
    <w:bookmarkEnd w:id="254"/>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BALANCE SHEET</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June 30, 2020</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 Cash</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associated with proposed public offering</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53,000</w:t>
            </w:r>
          </w:p>
        </w:tc>
      </w:tr>
      <w:tr>
        <w:trPr>
          <w:trHeight w:val="28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78,000</w:t>
            </w:r>
          </w:p>
        </w:tc>
        <w:tc>
          <w:tcPr>
            <w:tcW w:w="140" w:type="dxa"/>
            <w:vAlign w:val="bottom"/>
            <w:tcBorders>
              <w:bottom w:val="single" w:sz="8" w:color="CCEEFF"/>
            </w:tcBorders>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54,500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100,000,000 shares authorized; none issued and</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3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10,000,000 shares authorized; 3,018,750 shares</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r>
              <w:rPr>
                <w:rFonts w:ascii="Times New Roman" w:cs="Times New Roman" w:eastAsia="Times New Roman" w:hAnsi="Times New Roman"/>
                <w:sz w:val="20"/>
                <w:szCs w:val="20"/>
                <w:color w:val="auto"/>
                <w:vertAlign w:val="superscript"/>
              </w:rPr>
              <w:t>(1)(2)</w:t>
            </w:r>
          </w:p>
        </w:tc>
        <w:tc>
          <w:tcPr>
            <w:tcW w:w="3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24,698</w:t>
            </w:r>
          </w:p>
        </w:tc>
      </w:tr>
      <w:tr>
        <w:trPr>
          <w:trHeight w:val="41"/>
        </w:trPr>
        <w:tc>
          <w:tcPr>
            <w:tcW w:w="6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r>
      <w:tr>
        <w:trPr>
          <w:trHeight w:val="237"/>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40" w:type="dxa"/>
            <w:vAlign w:val="bottom"/>
          </w:tcPr>
          <w:p>
            <w:pPr>
              <w:spacing w:after="0"/>
              <w:rPr>
                <w:sz w:val="20"/>
                <w:szCs w:val="20"/>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78,000</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99"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5" w:name="page256"/>
    <w:bookmarkEnd w:id="255"/>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STATEMENT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 the period from June 25, 2020 (inception) through June 30, 2020</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basic and diluted</w:t>
            </w:r>
            <w:r>
              <w:rPr>
                <w:rFonts w:ascii="Times New Roman" w:cs="Times New Roman" w:eastAsia="Times New Roman" w:hAnsi="Times New Roman"/>
                <w:sz w:val="20"/>
                <w:szCs w:val="20"/>
                <w:b w:val="1"/>
                <w:bCs w:val="1"/>
                <w:color w:val="auto"/>
                <w:vertAlign w:val="superscript"/>
              </w:rPr>
              <w:t>(1)(2)</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2,625,000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6860" w:type="dxa"/>
            <w:vAlign w:val="bottom"/>
            <w:vMerge w:val="continue"/>
          </w:tcPr>
          <w:p>
            <w:pPr>
              <w:spacing w:after="0"/>
              <w:rPr>
                <w:sz w:val="19"/>
                <w:szCs w:val="19"/>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958"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excludes an aggregate of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6" w:name="page257"/>
    <w:bookmarkEnd w:id="2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w:t>
      </w:r>
    </w:p>
    <w:p>
      <w:pPr>
        <w:spacing w:after="0" w:line="9"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For the period from June 25, 2020 (inception) through June 30, 2020</w:t>
      </w:r>
    </w:p>
    <w:p>
      <w:pPr>
        <w:spacing w:after="0" w:line="209" w:lineRule="exact"/>
        <w:rPr>
          <w:sz w:val="20"/>
          <w:szCs w:val="20"/>
          <w:color w:val="auto"/>
        </w:rPr>
      </w:pPr>
    </w:p>
    <w:tbl>
      <w:tblPr>
        <w:tblLayout w:type="fixed"/>
        <w:tblInd w:w="2520" w:type="dxa"/>
        <w:tblCellMar>
          <w:top w:w="0" w:type="dxa"/>
          <w:left w:w="0" w:type="dxa"/>
          <w:bottom w:w="0" w:type="dxa"/>
          <w:right w:w="0" w:type="dxa"/>
        </w:tblCellMar>
      </w:tblPr>
      <w:tr>
        <w:trPr>
          <w:trHeight w:val="212"/>
        </w:trPr>
        <w:tc>
          <w:tcPr>
            <w:tcW w:w="3040" w:type="dxa"/>
            <w:vAlign w:val="bottom"/>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5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9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54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90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98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47"/>
        </w:trPr>
        <w:tc>
          <w:tcPr>
            <w:tcW w:w="1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Shares   Amount</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   Amount   Capital</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Stockholder’s</w:t>
      </w:r>
    </w:p>
    <w:p>
      <w:pPr>
        <w:ind w:left="220"/>
        <w:spacing w:after="0"/>
        <w:rPr>
          <w:sz w:val="20"/>
          <w:szCs w:val="20"/>
          <w:color w:val="auto"/>
        </w:rPr>
      </w:pPr>
      <w:r>
        <w:rPr>
          <w:rFonts w:ascii="Times New Roman" w:cs="Times New Roman" w:eastAsia="Times New Roman" w:hAnsi="Times New Roman"/>
          <w:sz w:val="14"/>
          <w:szCs w:val="14"/>
          <w:b w:val="1"/>
          <w:bCs w:val="1"/>
          <w:color w:val="auto"/>
        </w:rPr>
        <w:t>Equity</w:t>
      </w:r>
    </w:p>
    <w:p>
      <w:pPr>
        <w:spacing w:after="0" w:line="15" w:lineRule="exact"/>
        <w:rPr>
          <w:sz w:val="20"/>
          <w:szCs w:val="20"/>
          <w:color w:val="auto"/>
        </w:rPr>
      </w:pPr>
    </w:p>
    <w:p>
      <w:pPr>
        <w:sectPr>
          <w:pgSz w:w="11900" w:h="16838" w:orient="portrait"/>
          <w:cols w:equalWidth="0" w:num="2">
            <w:col w:w="7440" w:space="180"/>
            <w:col w:w="1399"/>
          </w:cols>
          <w:pgMar w:left="1440" w:top="270" w:right="1440" w:bottom="1440" w:gutter="0" w:footer="0" w:header="0"/>
        </w:sectPr>
      </w:pPr>
    </w:p>
    <w:tbl>
      <w:tblPr>
        <w:tblLayout w:type="fixed"/>
        <w:tblInd w:w="460" w:type="dxa"/>
        <w:tblCellMar>
          <w:top w:w="0" w:type="dxa"/>
          <w:left w:w="0" w:type="dxa"/>
          <w:bottom w:w="0" w:type="dxa"/>
          <w:right w:w="0" w:type="dxa"/>
        </w:tblCellMar>
      </w:tblPr>
      <w:tr>
        <w:trPr>
          <w:trHeight w:val="194"/>
        </w:trPr>
        <w:tc>
          <w:tcPr>
            <w:tcW w:w="20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 June 25, 2020</w:t>
            </w: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(inception)</w:t>
            </w:r>
          </w:p>
        </w:tc>
        <w:tc>
          <w:tcPr>
            <w:tcW w:w="104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B</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to</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Sponsor </w:t>
            </w:r>
            <w:r>
              <w:rPr>
                <w:rFonts w:ascii="Times New Roman" w:cs="Times New Roman" w:eastAsia="Times New Roman" w:hAnsi="Times New Roman"/>
                <w:sz w:val="20"/>
                <w:szCs w:val="20"/>
                <w:color w:val="auto"/>
                <w:vertAlign w:val="superscript"/>
              </w:rPr>
              <w:t>(1)(2)</w:t>
            </w: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3,018,750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24,698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 June 30, 2020</w:t>
            </w: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60" w:type="dxa"/>
            <w:vAlign w:val="bottom"/>
            <w:vMerge w:val="continue"/>
          </w:tcPr>
          <w:p>
            <w:pPr>
              <w:spacing w:after="0"/>
              <w:rPr>
                <w:sz w:val="21"/>
                <w:szCs w:val="21"/>
                <w:color w:val="auto"/>
              </w:rPr>
            </w:pP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3,018,750</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302</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24,698</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69" w:lineRule="auto"/>
        <w:tabs>
          <w:tab w:leader="none" w:pos="899"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number includes up to 393,750 shares of Class B common stock subject to forfeiture by our sponsor if the over-allotment option is not exercised in full or in part by the underwriters.</w:t>
      </w:r>
    </w:p>
    <w:p>
      <w:pPr>
        <w:ind w:left="880" w:right="479" w:hanging="426"/>
        <w:spacing w:after="0" w:line="288" w:lineRule="auto"/>
        <w:tabs>
          <w:tab w:leader="none" w:pos="105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and the associated amounts have been retroactively restated to reflect a 1:1.05 stock split of each outstanding share of Class B common stock in August 2020 (see Note 4).</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7" w:name="page258"/>
    <w:bookmarkEnd w:id="257"/>
    <w:tbl>
      <w:tblPr>
        <w:tblLayout w:type="fixed"/>
        <w:tblInd w:w="460" w:type="dxa"/>
        <w:tblCellMar>
          <w:top w:w="0" w:type="dxa"/>
          <w:left w:w="0" w:type="dxa"/>
          <w:bottom w:w="0" w:type="dxa"/>
          <w:right w:w="0" w:type="dxa"/>
        </w:tblCellMar>
      </w:tblPr>
      <w:tr>
        <w:trPr>
          <w:trHeight w:val="234"/>
        </w:trPr>
        <w:tc>
          <w:tcPr>
            <w:tcW w:w="6860" w:type="dxa"/>
            <w:vAlign w:val="bottom"/>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FS DEVELOPMENT CORP.</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STATEMENT OF CASH FLOWS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 the period from June 25, 2020 (inception) through June 30, 2020</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41"/>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26035</wp:posOffset>
            </wp:positionV>
            <wp:extent cx="5143500" cy="1797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Proceeds from issuance of Class B common stock to Sponsor</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increase in cash</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803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5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6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25,000</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608" w:hanging="608"/>
        <w:spacing w:after="0"/>
        <w:tabs>
          <w:tab w:leader="none" w:pos="608"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029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77"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p>
      <w:pPr>
        <w:ind w:left="640"/>
        <w:spacing w:after="0"/>
        <w:tabs>
          <w:tab w:leader="none" w:pos="7300" w:val="left"/>
          <w:tab w:leader="none" w:pos="7900" w:val="left"/>
        </w:tabs>
        <w:rPr>
          <w:sz w:val="20"/>
          <w:szCs w:val="20"/>
          <w:color w:val="auto"/>
        </w:rPr>
      </w:pPr>
      <w:r>
        <w:rPr>
          <w:rFonts w:ascii="Times New Roman" w:cs="Times New Roman" w:eastAsia="Times New Roman" w:hAnsi="Times New Roman"/>
          <w:sz w:val="18"/>
          <w:szCs w:val="18"/>
          <w:color w:val="auto"/>
        </w:rPr>
        <w:t>Deferred offering costs included in accrued expenses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8" w:name="page259"/>
    <w:bookmarkEnd w:id="2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Business Operations and Basis of Presentation</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of June 30, 2020, the Company had not commenced any operations. All activity for the period from June 25, 2020 (inception) through June 30,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sponsor is FS Development Holdings, LLC, a Delaware limited liability company (the “Sponsor”). The Company’s ability to commence operations is contingent upon obtaining adequate financial resources through a proposed public offering (the “Proposed Public Offering”) of 10,500,000 shares of Class A common stock (each, a “Public Share” and collectively, the “Public Shares”) at $10.00 per share (or 12,075,000 shares if the underwriters’ over-allotment option is exercised in full), which is discussed in Note 3, and the sale of 410,000 shares of Class A common stock (or 441,500 shares if the underwriters’ over-allotment option is exercised in full) (each, a “Private Placement Share” and collectively, the “Private Placement Shares”), at a price of $10.00 per Private Placement Share in a private placement to the Sponsor that will close simultaneously with the Proposed Public Offering.</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Proposed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1940, as amended (the “Investment Company Act”). Upon the closing of the Proposed Public Offering, management has agreed that an amount equal to at least $10.00 per share sold in the Proposed Public Offering, including the proceeds from the sale of the Private Placement Shares to the Sponsor, will be held in a trust account (“Trust Account”) located in the United States at JP Morgan Chase Bank, N.A. with Continental Stock Transfer &amp; Trust Company acting as trustee, and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2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Company will provide the holders (the “Public Stockholders”) of the Company’s outstanding Public Shares with the opportunity to redeem all or a portion of their Public Shares upon the completion of a Business Combination either (i) in connection with a stockholder meeting called to approve the Business Combination or</w:t>
      </w:r>
    </w:p>
    <w:p>
      <w:pPr>
        <w:spacing w:after="0" w:line="1" w:lineRule="exact"/>
        <w:rPr>
          <w:sz w:val="20"/>
          <w:szCs w:val="20"/>
          <w:color w:val="auto"/>
        </w:rPr>
      </w:pPr>
    </w:p>
    <w:p>
      <w:pPr>
        <w:jc w:val="both"/>
        <w:ind w:left="460" w:right="459" w:hanging="6"/>
        <w:spacing w:after="0" w:line="251" w:lineRule="auto"/>
        <w:tabs>
          <w:tab w:leader="none" w:pos="74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Proposed Public Offering in accordance with the Financial Accounting Standards Board’s (“FASB”)</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2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0" w:name="page261"/>
    <w:bookmarkEnd w:id="2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1 — Description of Organization, Business Operations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95"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issuance of these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1" w:name="page262"/>
    <w:bookmarkEnd w:id="2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limit of $250,000. At June 30, 2020, the Company has not experienced losses on these accounts and management believes the Company is not exposed to significant risks on such accounts.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FASB ASC 820, “Fair Value Measurements and Disclosures,” approximates the carrying amounts represented in the balance sheet.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 Associated with the Proposed Public Offering</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share is computed by dividing net loss by the weighted average number of shares of common stock outstanding during the period, excluding common stock subject to forfeiture. Weighted average shares at June 30, 2020 were reduced for the effect of an aggregate of 393,750 shares of Class B common stock that are subject to forfeiture by our sponsor if the over-allotment option is not exercised in full or in part by the underwriters (see Note 6).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 assets were deemed immaterial as of June 30, 2020.</w:t>
      </w:r>
    </w:p>
    <w:p>
      <w:pPr>
        <w:spacing w:after="0" w:line="10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The Company recognizes accrued interest and penalties related to unrecognized tax benefits as income tax expense. No amounts were accrued for the payment of interest and penalties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2" w:name="page263"/>
    <w:bookmarkEnd w:id="2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June 30, 2020. The Company is currently not aware of any issues under review that could result in significant payments, accruals or material deviation from its position. The Company is subject to income tax examinations by major taxing authorities since inception. The provision for income taxes was deemed to be de minimis for the period from June 25, 2020 (inception) through June 30, 2020.</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recently issued, but not yet effective, accounting standards if currently adopted would have a material effect on the accompanying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Proposed Public Offering</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Proposed Public Offering, the Company intends to offer for sale 10,500,000 shares of Class A Common stock at a price of $10.00 per share.</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will grant the underwriters a 45-day option from the date of the final prospectus relating to the Proposed Public Offering to purchase up to 1,575,000 additional shares to cover over-allotments, if any, at the Proposed Public Offering price, less underwriting discounts and commissions.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has agreed to forfeit up to 393,750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of common stock after the Proposed Public Offering (excluding the Private Placement Shares).</w:t>
      </w:r>
    </w:p>
    <w:p>
      <w:pPr>
        <w:spacing w:after="0" w:line="10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Sponsor has agreed to purchase an aggregate of 410,000 Private Placement Shares (or 441,500 Private Placement Shares if the underwriters’ over-allotment option is exercised in full), at a price of $10.00 per Private Placement Share ($4,100,000 in the aggregate, or $4,415,000 if the underwriters’ over-allotment option is exercised in full) in a private placement that will occur simultaneously with the closing of the Proposed Public Offering.</w:t>
      </w:r>
    </w:p>
    <w:p>
      <w:pPr>
        <w:spacing w:after="0" w:line="11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Initial Stockholders has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our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3" w:name="page264"/>
    <w:bookmarkEnd w:id="2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4 — Related Party Transactions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June 30, 2020, the Sponsor agreed to loan the Company an aggregate of up to $200,000 to cover expenses related to the Proposed Public Offering pursuant to a promissory note (the “Note”). This loan is non-interest bearing and payable on the earlier of December 31, 2020 or the completion of the Proposed Public Offering. As of June 30, 2020, the Company has not borrowed any amount under the Note. Subsequent to June 30, 2020, the Company received $200,000 in loan proceeds under the Note.</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 in connection with initial Business Combination</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Sponsor has indicated an interest to purchase $25.0 million of the Company’s Class A Common Stock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w:t>
      </w:r>
    </w:p>
    <w:p>
      <w:pPr>
        <w:spacing w:after="0" w:line="11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4" w:name="page265"/>
    <w:bookmarkEnd w:id="2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underwriters are entitled to an underwriting discount of $0.20 per share, or $2,100,000 in the aggregate (or $2,415,000 in the aggregate if the underwriters’ over-allotment option is exercised in full), payable upon the closing of the Proposed Public Offering. $0.35 per share, or $3,675,000 in the aggregate (or $4,226,250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44"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Common Stock </w:t>
      </w:r>
      <w:r>
        <w:rPr>
          <w:rFonts w:ascii="Times New Roman" w:cs="Times New Roman" w:eastAsia="Times New Roman" w:hAnsi="Times New Roman"/>
          <w:sz w:val="18"/>
          <w:szCs w:val="18"/>
          <w:color w:val="auto"/>
        </w:rPr>
        <w:t>— The Company is authorized to issue 100,000,000 shares of Class A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As of June 30, 2020, there were no shares of Class A common stock issued or outstanding.</w:t>
      </w:r>
    </w:p>
    <w:p>
      <w:pPr>
        <w:spacing w:after="0" w:line="10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Common Stock </w:t>
      </w:r>
      <w:r>
        <w:rPr>
          <w:rFonts w:ascii="Times New Roman" w:cs="Times New Roman" w:eastAsia="Times New Roman" w:hAnsi="Times New Roman"/>
          <w:sz w:val="18"/>
          <w:szCs w:val="18"/>
          <w:color w:val="auto"/>
        </w:rPr>
        <w:t>— The Company is authorized to issue 10,000,000 shares of Class B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par value of $0.0001 per share. On June 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are subject to forfeiture by the Sponsor, to the Company by the Initial Stockholders for no consideration to the extent that the underwriters’ over-allotment option is not exercised in full or in part, so that the Initial Stockholders will collectively own 20% of the Company’s issued and outstanding common stock (excluding the Private Placement Shares) after the Proposed Public Offering (excluding the Private Placement Shares). All shares and the associated amounts have been retroactively restated to reflect the aforementioned stock split.</w:t>
      </w:r>
    </w:p>
    <w:p>
      <w:pPr>
        <w:spacing w:after="0" w:line="12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9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5" w:name="page266"/>
    <w:bookmarkEnd w:id="2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Note 6 — Stockholder’s Equity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17"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 The Company is authorized to issue 1,000,000 shares of preferred stock, par value $0.0001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 share, with such designations, voting and other rights and preferences as may be determined from time to time by the Company’s board of directors. As of June 30, 2020, there were no shares of preferred stock issued or outstanding.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Subsequent to June 30, 2020, the Company received $200,000 in loan proceeds under the Note.</w:t>
      </w:r>
    </w:p>
    <w:p>
      <w:pPr>
        <w:spacing w:after="0" w:line="15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24, 2020, the Sponsor transferred 30,000 Founder Shares to each of its independent director nominees at their original per-share purchase price, for an aggregate of 90,000 Founder Shares transferred.</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through the date that the financial statements were available to be issued. Based on this review, except as noted above, the Company did not identify any subsequent events that would have required adjustment or disclosure in the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6" w:name="page267"/>
    <w:bookmarkEnd w:id="2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right="1439" w:firstLine="969"/>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Gemini Therapeutics, Inc.</w:t>
      </w:r>
    </w:p>
    <w:p>
      <w:pPr>
        <w:spacing w:after="0" w:line="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balance sheets of Gemini Therapeutics, Inc. (the Company) as of December 31, 2019 and 2018, the related statements of operations and comprehensive loss, convertible preferred stock and stockholders’ equity (deficit) and cash flows for the years then ended and the related notes (collectively referred to as the “financial statements”). In our opinion, the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losses from operations, has limited financial resources,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11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October 30, 2020</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7" w:name="page268"/>
    <w:bookmarkEnd w:id="2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4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6"/>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18,528</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2,986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2,239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20,555</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5,225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21,608</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Equity</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3,797</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2,689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current portion</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8,986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liability</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 net of current portion and discount</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7,411</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16,576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ectPr>
          <w:pgSz w:w="11900" w:h="16838" w:orient="portrait"/>
          <w:cols w:equalWidth="0" w:num="1">
            <w:col w:w="9019"/>
          </w:cols>
          <w:pgMar w:left="1440" w:top="270" w:right="1440" w:bottom="353" w:gutter="0" w:footer="0" w:header="0"/>
        </w:sectPr>
      </w:pPr>
    </w:p>
    <w:p>
      <w:pPr>
        <w:ind w:left="460"/>
        <w:spacing w:after="0"/>
        <w:rPr>
          <w:sz w:val="20"/>
          <w:szCs w:val="20"/>
          <w:color w:val="auto"/>
        </w:rPr>
      </w:pPr>
      <w:r>
        <w:rPr>
          <w:rFonts w:ascii="Times New Roman" w:cs="Times New Roman" w:eastAsia="Times New Roman" w:hAnsi="Times New Roman"/>
          <w:sz w:val="16"/>
          <w:szCs w:val="16"/>
          <w:color w:val="auto"/>
        </w:rPr>
        <w:t>Convertible Preferred Stock:</w:t>
      </w:r>
    </w:p>
    <w:p>
      <w:pPr>
        <w:spacing w:after="0" w:line="59" w:lineRule="exact"/>
        <w:rPr>
          <w:sz w:val="20"/>
          <w:szCs w:val="20"/>
          <w:color w:val="auto"/>
        </w:rPr>
      </w:pPr>
    </w:p>
    <w:p>
      <w:pPr>
        <w:ind w:left="640" w:hanging="179"/>
        <w:spacing w:after="0" w:line="275" w:lineRule="auto"/>
        <w:rPr>
          <w:sz w:val="20"/>
          <w:szCs w:val="20"/>
          <w:color w:val="auto"/>
        </w:rPr>
      </w:pPr>
      <w:r>
        <w:rPr>
          <w:rFonts w:ascii="Times New Roman" w:cs="Times New Roman" w:eastAsia="Times New Roman" w:hAnsi="Times New Roman"/>
          <w:sz w:val="16"/>
          <w:szCs w:val="16"/>
          <w:color w:val="auto"/>
        </w:rPr>
        <w:t>Series A convertible preferred stock, $0.001 par value; 39,722,088 shares authorized at December 31, 2018 and 2019, and at September 30, 2020 (unaudited); 39,722,088 shares issued and outstanding at December 31, 2018 and 2019, and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-525780</wp:posOffset>
            </wp:positionV>
            <wp:extent cx="5143500" cy="5397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00" cy="539750"/>
                    </a:xfrm>
                    <a:prstGeom prst="rect">
                      <a:avLst/>
                    </a:prstGeom>
                    <a:noFill/>
                  </pic:spPr>
                </pic:pic>
              </a:graphicData>
            </a:graphic>
          </wp:anchor>
        </w:drawing>
      </w:r>
    </w:p>
    <w:p>
      <w:pPr>
        <w:ind w:left="640" w:right="40" w:hanging="179"/>
        <w:spacing w:after="0" w:line="272" w:lineRule="auto"/>
        <w:rPr>
          <w:sz w:val="20"/>
          <w:szCs w:val="20"/>
          <w:color w:val="auto"/>
        </w:rPr>
      </w:pPr>
      <w:r>
        <w:rPr>
          <w:rFonts w:ascii="Times New Roman" w:cs="Times New Roman" w:eastAsia="Times New Roman" w:hAnsi="Times New Roman"/>
          <w:sz w:val="16"/>
          <w:szCs w:val="16"/>
          <w:color w:val="auto"/>
        </w:rPr>
        <w:t>Series B convertible preferred stock, $0.001 par value; zero and 37,001,401 shares authorized at December 31, 2018 and 2019, and 37,001,401 shares authorized at September 30, 2020 (unaudited); zero and 9,916,375 shares issued and outstanding at December 31, 2018 and 2019, and 24,790,938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15240</wp:posOffset>
            </wp:positionV>
            <wp:extent cx="5143500" cy="1803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Total Convertible Preferred Stock</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Stockholders’ Equity (Deficit):</w:t>
      </w:r>
    </w:p>
    <w:p>
      <w:pPr>
        <w:spacing w:after="0" w:line="59" w:lineRule="exact"/>
        <w:rPr>
          <w:sz w:val="20"/>
          <w:szCs w:val="20"/>
          <w:color w:val="auto"/>
        </w:rPr>
      </w:pPr>
    </w:p>
    <w:p>
      <w:pPr>
        <w:ind w:left="640" w:right="240" w:hanging="179"/>
        <w:spacing w:after="0" w:line="272" w:lineRule="auto"/>
        <w:rPr>
          <w:sz w:val="20"/>
          <w:szCs w:val="20"/>
          <w:color w:val="auto"/>
        </w:rPr>
      </w:pPr>
      <w:r>
        <w:rPr>
          <w:rFonts w:ascii="Times New Roman" w:cs="Times New Roman" w:eastAsia="Times New Roman" w:hAnsi="Times New Roman"/>
          <w:sz w:val="16"/>
          <w:szCs w:val="16"/>
          <w:color w:val="auto"/>
        </w:rPr>
        <w:t>Common stock, $0.001 par value; 55,000,000 and 95,000,000 shares authorized at December 31, 2018 and 2019, and 95,000,000 shares authorized at September 30, 2020 (unaudited); 4,968,155 and 5,313,766 shares issued and outstanding at December 31, 2018 and 2019 and 5,629,130 shares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-652780</wp:posOffset>
            </wp:positionV>
            <wp:extent cx="5143500" cy="6686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00" cy="668655"/>
                    </a:xfrm>
                    <a:prstGeom prst="rect">
                      <a:avLst/>
                    </a:prstGeom>
                    <a:noFill/>
                  </pic:spPr>
                </pic:pic>
              </a:graphicData>
            </a:graphic>
          </wp:anchor>
        </w:drawing>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803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46355</wp:posOffset>
            </wp:positionV>
            <wp:extent cx="5143500"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spacing w:after="0"/>
        <w:tabs>
          <w:tab w:leader="none" w:pos="1420" w:val="left"/>
          <w:tab w:leader="none" w:pos="2620" w:val="left"/>
        </w:tabs>
        <w:rPr>
          <w:sz w:val="20"/>
          <w:szCs w:val="20"/>
          <w:color w:val="auto"/>
        </w:rPr>
      </w:pPr>
      <w:r>
        <w:rPr>
          <w:rFonts w:ascii="Times New Roman" w:cs="Times New Roman" w:eastAsia="Times New Roman" w:hAnsi="Times New Roman"/>
          <w:sz w:val="16"/>
          <w:szCs w:val="16"/>
          <w:color w:val="auto"/>
        </w:rPr>
        <w:t>47,113</w:t>
      </w:r>
      <w:r>
        <w:rPr>
          <w:sz w:val="20"/>
          <w:szCs w:val="20"/>
          <w:color w:val="auto"/>
        </w:rPr>
        <w:tab/>
      </w:r>
      <w:r>
        <w:rPr>
          <w:rFonts w:ascii="Times New Roman" w:cs="Times New Roman" w:eastAsia="Times New Roman" w:hAnsi="Times New Roman"/>
          <w:sz w:val="16"/>
          <w:szCs w:val="16"/>
          <w:color w:val="auto"/>
        </w:rPr>
        <w:t>47,113</w:t>
      </w:r>
      <w:r>
        <w:rPr>
          <w:sz w:val="20"/>
          <w:szCs w:val="20"/>
          <w:color w:val="auto"/>
        </w:rPr>
        <w:tab/>
      </w:r>
      <w:r>
        <w:rPr>
          <w:rFonts w:ascii="Times New Roman" w:cs="Times New Roman" w:eastAsia="Times New Roman" w:hAnsi="Times New Roman"/>
          <w:sz w:val="16"/>
          <w:szCs w:val="16"/>
          <w:color w:val="auto"/>
        </w:rPr>
        <w:t>47,113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13,252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33,336</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47,113</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60,365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80,449</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Pr>
          <w:p>
            <w:pPr>
              <w:spacing w:after="0"/>
              <w:rPr>
                <w:sz w:val="18"/>
                <w:szCs w:val="18"/>
                <w:color w:val="auto"/>
              </w:rPr>
            </w:pPr>
          </w:p>
        </w:tc>
      </w:tr>
      <w:tr>
        <w:trPr>
          <w:trHeight w:val="283"/>
        </w:trPr>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1,182</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9,773</w:t>
            </w:r>
          </w:p>
        </w:tc>
        <w:tc>
          <w:tcPr>
            <w:tcW w:w="60" w:type="dxa"/>
            <w:vAlign w:val="bottom"/>
          </w:tcPr>
          <w:p>
            <w:pPr>
              <w:spacing w:after="0"/>
              <w:rPr>
                <w:sz w:val="24"/>
                <w:szCs w:val="24"/>
                <w:color w:val="auto"/>
              </w:rPr>
            </w:pPr>
          </w:p>
        </w:tc>
      </w:tr>
      <w:tr>
        <w:trPr>
          <w:trHeight w:val="297"/>
        </w:trPr>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(30,584)</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(71,984)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(98,506)</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(29,843)</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(70,797)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(88,727)</w:t>
            </w:r>
          </w:p>
        </w:tc>
      </w:tr>
      <w:tr>
        <w:trPr>
          <w:trHeight w:val="33"/>
        </w:trPr>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220" w:space="100"/>
            <w:col w:w="3699"/>
          </w:cols>
          <w:pgMar w:left="1440" w:top="270" w:right="1440" w:bottom="353" w:gutter="0" w:footer="0" w:header="0"/>
          <w:type w:val="continuous"/>
        </w:sectPr>
      </w:pPr>
    </w:p>
    <w:p>
      <w:pPr>
        <w:spacing w:after="0" w:line="70"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w:t>
            </w: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4"/>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(Deficit)</w:t>
            </w: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21,608</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6,144</w:t>
            </w:r>
          </w:p>
        </w:tc>
        <w:tc>
          <w:tcPr>
            <w:tcW w:w="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12065</wp:posOffset>
            </wp:positionV>
            <wp:extent cx="1954530"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954530" cy="26035"/>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353" w:gutter="0" w:footer="0" w:header="0"/>
          <w:type w:val="continuous"/>
        </w:sectPr>
      </w:pPr>
    </w:p>
    <w:bookmarkStart w:id="268" w:name="page269"/>
    <w:bookmarkEnd w:id="2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6"/>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5"/>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6"/>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3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5"/>
          </w:tcPr>
          <w:p>
            <w:pPr>
              <w:jc w:val="center"/>
              <w:ind w:right="41"/>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3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34,472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26,673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20,472</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6,753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4,996</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20,191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41,225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31,669</w:t>
            </w:r>
          </w:p>
        </w:tc>
        <w:tc>
          <w:tcPr>
            <w:tcW w:w="1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24,246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21"/>
                <w:szCs w:val="21"/>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(20,167)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(41,400)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(31,733)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198"/>
        </w:trPr>
        <w:tc>
          <w:tcPr>
            <w:tcW w:w="3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4,811,641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9"/>
              </w:rPr>
              <w:t>5,171,537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5,133,773</w:t>
            </w:r>
          </w:p>
        </w:tc>
        <w:tc>
          <w:tcPr>
            <w:tcW w:w="140" w:type="dxa"/>
            <w:vAlign w:val="bottom"/>
          </w:tcPr>
          <w:p>
            <w:pPr>
              <w:spacing w:after="0"/>
              <w:rPr>
                <w:sz w:val="20"/>
                <w:szCs w:val="20"/>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5,507,900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9" w:name="page270"/>
    <w:bookmarkEnd w:id="269"/>
    <w:p>
      <w:pPr>
        <w:spacing w:after="0" w:line="62"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37"/>
        </w:trPr>
        <w:tc>
          <w:tcPr>
            <w:tcW w:w="1120" w:type="dxa"/>
            <w:vAlign w:val="bottom"/>
          </w:tcPr>
          <w:p>
            <w:pPr>
              <w:spacing w:after="0"/>
              <w:rPr>
                <w:sz w:val="3"/>
                <w:szCs w:val="3"/>
                <w:color w:val="auto"/>
              </w:rPr>
            </w:pPr>
          </w:p>
        </w:tc>
        <w:tc>
          <w:tcPr>
            <w:tcW w:w="1780" w:type="dxa"/>
            <w:vAlign w:val="bottom"/>
            <w:gridSpan w:val="6"/>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84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20" w:type="dxa"/>
            <w:vAlign w:val="bottom"/>
          </w:tcPr>
          <w:p>
            <w:pPr>
              <w:spacing w:after="0"/>
              <w:rPr>
                <w:sz w:val="3"/>
                <w:szCs w:val="3"/>
                <w:color w:val="auto"/>
              </w:rPr>
            </w:pPr>
          </w:p>
        </w:tc>
        <w:tc>
          <w:tcPr>
            <w:tcW w:w="122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1120" w:type="dxa"/>
            <w:vAlign w:val="bottom"/>
          </w:tcPr>
          <w:p>
            <w:pPr>
              <w:spacing w:after="0"/>
              <w:rPr>
                <w:sz w:val="10"/>
                <w:szCs w:val="10"/>
                <w:color w:val="auto"/>
              </w:rPr>
            </w:pPr>
          </w:p>
        </w:tc>
        <w:tc>
          <w:tcPr>
            <w:tcW w:w="1780" w:type="dxa"/>
            <w:vAlign w:val="bottom"/>
            <w:gridSpan w:val="6"/>
            <w:vMerge w:val="continue"/>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7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3620" w:type="dxa"/>
            <w:vAlign w:val="bottom"/>
            <w:gridSpan w:val="10"/>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Convertible Preferred Stock Convertible Preferred Stock</w:t>
            </w:r>
          </w:p>
        </w:tc>
        <w:tc>
          <w:tcPr>
            <w:tcW w:w="20" w:type="dxa"/>
            <w:vAlign w:val="bottom"/>
            <w:shd w:val="clear" w:color="auto" w:fill="000000"/>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860" w:type="dxa"/>
            <w:vAlign w:val="bottom"/>
            <w:gridSpan w:val="5"/>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5"/>
                <w:szCs w:val="5"/>
                <w:color w:val="auto"/>
              </w:rPr>
            </w:pPr>
          </w:p>
        </w:tc>
        <w:tc>
          <w:tcPr>
            <w:tcW w:w="960" w:type="dxa"/>
            <w:vAlign w:val="bottom"/>
            <w:gridSpan w:val="3"/>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120" w:type="dxa"/>
            <w:vAlign w:val="bottom"/>
          </w:tcPr>
          <w:p>
            <w:pPr>
              <w:spacing w:after="0"/>
              <w:rPr>
                <w:sz w:val="5"/>
                <w:szCs w:val="5"/>
                <w:color w:val="auto"/>
              </w:rPr>
            </w:pP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5"/>
                <w:szCs w:val="5"/>
                <w:color w:val="auto"/>
              </w:rPr>
            </w:pPr>
          </w:p>
        </w:tc>
        <w:tc>
          <w:tcPr>
            <w:tcW w:w="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shd w:val="clear" w:color="auto" w:fill="000000"/>
          </w:tcPr>
          <w:p>
            <w:pPr>
              <w:spacing w:after="0"/>
              <w:rPr>
                <w:sz w:val="5"/>
                <w:szCs w:val="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86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Amount in 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31, 2017</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14,091,837</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w:t>
            </w:r>
          </w:p>
        </w:tc>
        <w:tc>
          <w:tcPr>
            <w:tcW w:w="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4,672,144</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(10,417)</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(10,048)</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A</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25,630,251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30,488</w:t>
            </w:r>
          </w:p>
        </w:tc>
        <w:tc>
          <w:tcPr>
            <w:tcW w:w="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32,037</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263,974</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(20,167)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(20,167)</w:t>
            </w:r>
          </w:p>
        </w:tc>
        <w:tc>
          <w:tcPr>
            <w:tcW w:w="0" w:type="dxa"/>
            <w:vAlign w:val="bottom"/>
          </w:tcPr>
          <w:p>
            <w:pPr>
              <w:spacing w:after="0"/>
              <w:rPr>
                <w:sz w:val="1"/>
                <w:szCs w:val="1"/>
                <w:color w:val="auto"/>
              </w:rPr>
            </w:pP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31, 2018</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39,722,088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47,113</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4,968,155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736</w:t>
            </w: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(30,584)</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(29,843)</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$148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9,916,375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80,118</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87"/>
              </w:rPr>
              <w:t>23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265,493</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000000"/>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(41,400)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(41,400)</w:t>
            </w:r>
          </w:p>
        </w:tc>
        <w:tc>
          <w:tcPr>
            <w:tcW w:w="0" w:type="dxa"/>
            <w:vAlign w:val="bottom"/>
          </w:tcPr>
          <w:p>
            <w:pPr>
              <w:spacing w:after="0"/>
              <w:rPr>
                <w:sz w:val="1"/>
                <w:szCs w:val="1"/>
                <w:color w:val="auto"/>
              </w:rPr>
            </w:pP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9,916,375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13,252</w:t>
            </w:r>
          </w:p>
        </w:tc>
        <w:tc>
          <w:tcPr>
            <w:tcW w:w="20" w:type="dxa"/>
            <w:vAlign w:val="bottom"/>
            <w:shd w:val="clear" w:color="auto" w:fill="000000"/>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5,313,766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4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1,182</w:t>
            </w:r>
          </w:p>
        </w:tc>
        <w:tc>
          <w:tcPr>
            <w:tcW w:w="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(71,984)</w:t>
            </w: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(70,797)</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31, 2018</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39,722,088</w:t>
            </w: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47,113</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4,968,155</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(30,584)</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(29,843)</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$141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9,102,345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12,159</w:t>
            </w:r>
          </w:p>
        </w:tc>
        <w:tc>
          <w:tcPr>
            <w:tcW w:w="20" w:type="dxa"/>
            <w:vAlign w:val="bottom"/>
            <w:shd w:val="clear" w:color="auto" w:fill="000000"/>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shd w:val="clear" w:color="auto" w:fill="000000"/>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76,680</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87"/>
              </w:rPr>
              <w:t>21</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270" w:name="page271"/>
    <w:bookmarkEnd w:id="270"/>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Vesting of</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199,118</w:t>
            </w:r>
          </w:p>
        </w:tc>
        <w:tc>
          <w:tcPr>
            <w:tcW w:w="2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51"/>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(31,733)</w:t>
            </w:r>
          </w:p>
        </w:tc>
        <w:tc>
          <w:tcPr>
            <w:tcW w:w="2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(31,733)</w:t>
            </w:r>
          </w:p>
        </w:tc>
      </w:tr>
      <w:tr>
        <w:trPr>
          <w:trHeight w:val="33"/>
        </w:trPr>
        <w:tc>
          <w:tcPr>
            <w:tcW w:w="1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167"/>
        </w:trPr>
        <w:tc>
          <w:tcPr>
            <w:tcW w:w="11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30, 2019</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9"/>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9,102,345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12,159</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5,243,953</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1,054</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(62,317)</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(61,258)</w:t>
            </w: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70"/>
        </w:trPr>
        <w:tc>
          <w:tcPr>
            <w:tcW w:w="1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87"/>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2"/>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9"/>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31, 2019</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39,722,088</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47,113</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9,916,375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13,252</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6"/>
              </w:rPr>
              <w:t>5,313,766</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(71,984)</w:t>
            </w:r>
          </w:p>
        </w:tc>
        <w:tc>
          <w:tcPr>
            <w:tcW w:w="2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(70,797)</w:t>
            </w: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Series B</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net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costs of $16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14,874,563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Beneficial</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conversion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feature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relating to</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discount 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promissory</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(Note</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7)</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8,177</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upon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116,239</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r>
      <w:tr>
        <w:trPr>
          <w:trHeight w:val="46"/>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89"/>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Vesting of</w:t>
            </w: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1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199,125</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9"/>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expense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18"/>
                <w:szCs w:val="18"/>
                <w:color w:val="auto"/>
              </w:rPr>
            </w:pPr>
          </w:p>
        </w:tc>
      </w:tr>
      <w:tr>
        <w:trPr>
          <w:trHeight w:val="47"/>
        </w:trPr>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83"/>
        </w:trPr>
        <w:tc>
          <w:tcPr>
            <w:tcW w:w="1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(26,522)</w:t>
            </w: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(26,522)</w:t>
            </w:r>
          </w:p>
        </w:tc>
      </w:tr>
      <w:tr>
        <w:trPr>
          <w:trHeight w:val="167"/>
        </w:trPr>
        <w:tc>
          <w:tcPr>
            <w:tcW w:w="112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30, 2020</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9"/>
        </w:trPr>
        <w:tc>
          <w:tcPr>
            <w:tcW w:w="1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39,722,088</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47,113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24,790,938</w:t>
            </w:r>
          </w:p>
        </w:tc>
        <w:tc>
          <w:tcPr>
            <w:tcW w:w="100" w:type="dxa"/>
            <w:vAlign w:val="bottom"/>
          </w:tcPr>
          <w:p>
            <w:pPr>
              <w:spacing w:after="0"/>
              <w:rPr>
                <w:sz w:val="20"/>
                <w:szCs w:val="20"/>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33,336</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6"/>
              </w:rPr>
              <w:t>5,629,130</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9,773</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(98,506)</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(88,727)</w:t>
            </w:r>
          </w:p>
        </w:tc>
      </w:tr>
      <w:tr>
        <w:trPr>
          <w:trHeight w:val="20"/>
        </w:trPr>
        <w:tc>
          <w:tcPr>
            <w:tcW w:w="1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71" w:name="page272"/>
    <w:bookmarkEnd w:id="2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i w:val="1"/>
                <w:iCs w:val="1"/>
                <w:color w:val="auto"/>
                <w:w w:val="99"/>
              </w:rPr>
              <w:t>(unaudited)</w:t>
            </w: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(20,167)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(41,400)</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(31,733)</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(26,522)</w:t>
            </w: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net cash used in</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expense</w:t>
            </w:r>
          </w:p>
        </w:tc>
        <w:tc>
          <w:tcPr>
            <w:tcW w:w="1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Accretion of discount on convertible notes</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489</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2,998</w:t>
            </w:r>
          </w:p>
        </w:tc>
        <w:tc>
          <w:tcPr>
            <w:tcW w:w="2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403</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(18,340)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5"/>
              </w:rPr>
              <w:t>(38,530)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(27,175)</w:t>
            </w:r>
          </w:p>
        </w:tc>
        <w:tc>
          <w:tcPr>
            <w:tcW w:w="22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(23,855)</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8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(201)</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Series A convertible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preferred stock, net</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Series B convertible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 net</w:t>
            </w:r>
          </w:p>
        </w:tc>
        <w:tc>
          <w:tcPr>
            <w:tcW w:w="1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12,159</w:t>
            </w: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term loan, net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9,946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7,446</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convertible notes</w:t>
            </w:r>
          </w:p>
        </w:tc>
        <w:tc>
          <w:tcPr>
            <w:tcW w:w="180" w:type="dxa"/>
            <w:vAlign w:val="bottom"/>
          </w:tcPr>
          <w:p>
            <w:pPr>
              <w:spacing w:after="0"/>
              <w:rPr>
                <w:sz w:val="20"/>
                <w:szCs w:val="20"/>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19,626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Increase (decrease) in cash, cash equivalents and</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(15,542)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(7,750)</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10,229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beginning of period</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18,851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18,851</w:t>
            </w:r>
          </w:p>
        </w:tc>
        <w:tc>
          <w:tcPr>
            <w:tcW w:w="2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3,309</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11,101</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13,538</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183</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5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Financing Activities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4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purchases included in</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warrants in connection with term loan facility</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2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on convertible notes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Deferred offering costs included in accounts payable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2" w:name="page273"/>
    <w:bookmarkEnd w:id="2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Gemini Therapeutics Inc. (the “Company”) is a clinical-stage precision medicine company developing novel therapeutic compounds to treat genetically defined, age-related macular degeneration. The Company was founded on March 3, 2015 and is currently located in Cambridge, Massachusetts.</w:t>
      </w:r>
    </w:p>
    <w:p>
      <w:pPr>
        <w:spacing w:after="0" w:line="10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and consultants.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 had $3.0 million and $13.2 million of cash and cash equivalents, respectively. To date, the Company has primarily financed its operations through the sale of preferred stock, borrowings under convertible promissory notes and borrowings under loan agreements. The Company has experienced significant negative cash flows from operations since inception including net losses of $41.4 million and $26.5 million for periods ended December 31, 2019 and September 30, 2020 (unaudited), respectively. In addition, as of December 31, 2019 and September 30, 2020 (unaudited), the Company has an accumulated deficit of $72.0 million and $98.5 million, respectively. The Company expects to incur substantial operating losses and negative cash flows from operations for the foreseeable future. As of October 30, 2020, the Company expected its existing cash and cash equivalents would not be sufficient to fund its operating expenses and capital expenditure requirements for at least the next year following the date that the financial statements were issued.</w:t>
      </w:r>
    </w:p>
    <w:p>
      <w:pPr>
        <w:spacing w:after="0" w:line="12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December 7, 2020 (unaudited), the issuance date of the interim financial statements for the nine months ended September 30, 2020, the Company expects its existing cash and cash equivalents will not be sufficient to fund its operating expenses and capital expenditure requirements for at least the next year following the date that the interim financial statements are issued.</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is seeking to complete a merger with FS Development Corp. (“FS Development”), which would result in FS Development acquiring 100% of the Company’s issued and outstanding securities. Together with FS Development’s cash resources, additional funding for the Company’s operations would be provided through a Private Investment in Public Equity (“PIPE”) offering to be completed concurrently with the merger. In the event a merger is not consummated, the Company may be required to obtain additional funding whether through future collaboration agreements, private or public offerings, debt or a combination thereof and such additional funding may not be available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3" w:name="page274"/>
    <w:bookmarkEnd w:id="2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Nature of the business and basis of presentation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terms the Company finds acceptable or favorable. There is inherent uncertainty associated with these fundraising activities and they are not considered probable. If the Company is unable to obtain sufficient capital to continue to advance its programs, the Company would be forced to delay, reduce or eliminate its research and development programs and any future commercialization efforts. Accordingly, substantial doubt is deemed to exist about the Company’s ability to continue as a going concern within one year after the date these financial statements are issued.</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Impact of the COVID-19 Pandemic</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novel coronavirus (COVID-19) a pandemic. The COVID-19 pandemic is evolving, and to date has led to the implementation of various responses, including government-imposed quarantines, travel restrictions and other public health safety measures.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is closely monitoring the impact of the COVID-19 pandemic on all aspects of our business, including how it will impact our operations and the operations of our customers, suppliers, vendors and business partners. The Company does not yet know the full extent of potential delays or impacts on its business, its clinical trials, its research programs, healthcare systems or the global economy and it cannot presently predict the scope and severity of any potential business shutdowns or disruptions. The extent to which COVID-19 impacts its business, results of operation and financial condition will depend on future developments, which are highly uncertain and cannot be predicted with confidence, such as the duration of the outbreak, new information that may emerge concerning the severity of COVID-19 or the effectiveness of actions to contain COVID-19 or treat its impact, among others. If the Company or any of the third parties with whom the Company engages, however, were to experience shutdowns or other business disruptions, its ability to conduct its business in the manner and on the timelines presently planned could be materially and negatively affected, which could have a material adverse impact on its business, results of operation and financial condition.</w:t>
      </w:r>
    </w:p>
    <w:p>
      <w:pPr>
        <w:spacing w:after="0" w:line="12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The Company has not incurred impairment losses in the carrying values of its assets as a result of the pandemic and it is not aware of any specific related event or circumstance that would require to revise its estimates reflected in these financial statements. The full extent to which the COVID-19 outbreak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and the actions to contain it or treat its impact and the economic impact on local, regional, national and international markets.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estimated fair value of the Company’s common stock, share-based awards utilized for stock-based compensation purposes, warrant liability, prepaid expenses, and the accruals of research and development expenses.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 Actual results may differ materially from those estimates or assumptions.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4" w:name="page275"/>
    <w:bookmarkEnd w:id="2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accompanying balance sheet as of September 30, 2020, the statements of operations, of convertible preferred stock and stockholders’ deficit and of cash flows for the nine months ended September 30, 2019 and 2020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2020 and the results of its operations and its cash flows for the nine months ended September 30, 2019 and 2020. The financial data and other information disclosed in these notes related to the nine months ended September 30, 2019 and 2020 are also unaudited. The results for the nine months ended September 30, 2020 are not necessarily indicative of results to be expected for the year ending December 31, 2020, any other interim periods, or any future year or period.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at December 31, 2018 and 2019, and at September 30, 2020 (unaudited).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Restricted cash amounted to $323 thousand at December 31, 2018 and 2019, and September 30, 2019 and 2020 (unaudited), which represents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0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reconciliation of the cash and cash equivalents and restricted cash as presented in the Company’s balance sheets to the Company’s statements of cash flows is as follows:</w:t>
      </w:r>
    </w:p>
    <w:p>
      <w:pPr>
        <w:sectPr>
          <w:pgSz w:w="11900" w:h="16838" w:orient="portrait"/>
          <w:cols w:equalWidth="0" w:num="1">
            <w:col w:w="9019"/>
          </w:cols>
          <w:pgMar w:left="1440" w:top="270" w:right="1440" w:bottom="1440" w:gutter="0" w:footer="0" w:header="0"/>
        </w:sectPr>
      </w:pPr>
    </w:p>
    <w:p>
      <w:pPr>
        <w:spacing w:after="0" w:line="178" w:lineRule="exact"/>
        <w:rPr>
          <w:sz w:val="20"/>
          <w:szCs w:val="20"/>
          <w:color w:val="auto"/>
        </w:rPr>
      </w:pPr>
    </w:p>
    <w:p>
      <w:pPr>
        <w:jc w:val="center"/>
        <w:ind w:left="4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47625</wp:posOffset>
            </wp:positionV>
            <wp:extent cx="123444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3" w:lineRule="exact"/>
        <w:rPr>
          <w:sz w:val="20"/>
          <w:szCs w:val="20"/>
          <w:color w:val="auto"/>
        </w:rPr>
      </w:pPr>
    </w:p>
    <w:p>
      <w:pPr>
        <w:ind w:left="4740"/>
        <w:spacing w:after="0"/>
        <w:tabs>
          <w:tab w:leader="none" w:pos="5740" w:val="left"/>
        </w:tabs>
        <w:rPr>
          <w:sz w:val="20"/>
          <w:szCs w:val="20"/>
          <w:color w:val="auto"/>
        </w:rPr>
      </w:pPr>
      <w:r>
        <w:rPr>
          <w:rFonts w:ascii="Times New Roman" w:cs="Times New Roman" w:eastAsia="Times New Roman" w:hAnsi="Times New Roman"/>
          <w:sz w:val="16"/>
          <w:szCs w:val="16"/>
          <w:b w:val="1"/>
          <w:bCs w:val="1"/>
          <w:color w:val="auto"/>
        </w:rPr>
        <w:t>2018</w:t>
      </w:r>
      <w:r>
        <w:rPr>
          <w:sz w:val="20"/>
          <w:szCs w:val="20"/>
          <w:color w:val="auto"/>
        </w:rPr>
        <w:tab/>
      </w:r>
      <w:r>
        <w:rPr>
          <w:rFonts w:ascii="Times New Roman" w:cs="Times New Roman" w:eastAsia="Times New Roman" w:hAnsi="Times New Roman"/>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47625</wp:posOffset>
            </wp:positionV>
            <wp:extent cx="12344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47625</wp:posOffset>
            </wp:positionV>
            <wp:extent cx="132016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6"/>
          <w:szCs w:val="16"/>
          <w:b w:val="1"/>
          <w:bCs w:val="1"/>
          <w:color w:val="auto"/>
        </w:rPr>
        <w:t>2019</w:t>
      </w:r>
      <w:r>
        <w:rPr>
          <w:sz w:val="20"/>
          <w:szCs w:val="20"/>
          <w:color w:val="auto"/>
        </w:rPr>
        <w:tab/>
      </w:r>
      <w:r>
        <w:rPr>
          <w:rFonts w:ascii="Times New Roman" w:cs="Times New Roman" w:eastAsia="Times New Roman" w:hAnsi="Times New Roman"/>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47625</wp:posOffset>
            </wp:positionV>
            <wp:extent cx="13201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6080" w:space="700"/>
            <w:col w:w="2239"/>
          </w:cols>
          <w:pgMar w:left="1440" w:top="270" w:right="1440" w:bottom="1440" w:gutter="0" w:footer="0" w:header="0"/>
          <w:type w:val="continuous"/>
        </w:sectPr>
      </w:pPr>
    </w:p>
    <w:p>
      <w:pPr>
        <w:ind w:left="71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75"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18,528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2,986</w:t>
            </w:r>
          </w:p>
        </w:tc>
        <w:tc>
          <w:tcPr>
            <w:tcW w:w="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w:t>
            </w: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7"/>
        </w:trPr>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18,851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5" w:name="page276"/>
    <w:bookmarkEnd w:id="2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on the straight-line basis over the estimated useful lives of the assets. The estimated useful lives are as follows: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Shorter of the useful life of the asset or the life of the lease</w:t>
            </w:r>
          </w:p>
        </w:tc>
      </w:tr>
    </w:tbl>
    <w:p>
      <w:pPr>
        <w:spacing w:after="0" w:line="19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repairs and maintenance are charged to expense as incurred.</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or disposals on long-lived assets.</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capitalized certain legal, professional accounting and other third-party fees that are directly associated with the in-process merger with FS Development as deferred offering costs until such merger is consummated. After consummation of the merger, these costs will be recorded as a reduction to additional paid-in capital generated as a result of the merger. Should the merger be abandoned, the deferred offering costs will be expensed immediately as a charge to operating expenses in the statement of operations. The Company had no deferred offering costs as of December 31, 2018 and 2019. As of September 30, 2020 (unaudited), the Company recorded deferred offering costs of $1.3 million.</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Level 1 – Quoted prices in active markets that are identical assets or liabilities.</w:t>
      </w:r>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6" w:name="page277"/>
    <w:bookmarkEnd w:id="2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Company’s cash equivalents and preferred stock warrant liability are carried at fair value, determined according to the fair value hierarchy described above (see Note 3). The carrying values of the Company’s prepaid expenses and other current assets, and accounts payable and accrued expenses approximate their fair values due to the short-term nature of these assets and liabilities. The carrying value of the Company’s term loan as of December 31, 2019 and September 30, 2020 (unaudited) (see Note 6) approximated fair value based on interest rates currently available to the Company.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February 2019, concurrent with the Company’s term loan agreement (see Note 6), the Company issued warrants to purchase shares of the Company’s Series A preferred stock. The Company accounts for the warrants to purchase Series A preferred as a liability as these warrants are freestanding financial instruments that may require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statements of operations and comprehensive loss. The estimates in the Black-Scholes Option Pricing Model are based, in part, on subjective assumptions, including, stock price volatility, term of the warrants, risk free interest rate, dividend yield, and fair value of the preferred stock underlying the warrants. Such assumptions could differ materially in the future.</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These warrants are subject to revaluation at the end of each reporting period until the earlier of the exercise or expiration of the applicable warrants or until such time that the underlying preferred stock is reclassified to permanent equity.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of convertible preferred stock</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records all preferred convertible stock upon issuance at its respective fair value or original issuance price less direct and incremental issuance costs, as stipulated by its terms. The Company’s convertible preferred stock is classified outside of stockholders’ deficit because the holders of such shares have liquidation rights in the event of a deemed liquidation that, in certain situations, are not solely within the control of the Company.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 contract costs and accruals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employee payroll, consulting, contract research, depreciation, rent and other corporate costs attributable to research and development activities, and are expensed as incurred.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7" w:name="page278"/>
    <w:bookmarkEnd w:id="2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expenses all patent-related costs incurred in connection with filing and prosecuting patent applications. It records such costs within general and administrative expenses in its accompanying statement of operations and comprehensive loss.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2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statements of operations and comprehensive loss in the same manner in which the award recipient’s payroll costs are classified or in which the award recipient’s service payments are classified.</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As there has been no public market for the Company’s common stock to date,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8"/>
          <w:szCs w:val="18"/>
          <w:i w:val="1"/>
          <w:iCs w:val="1"/>
          <w:color w:val="auto"/>
        </w:rPr>
        <w:t>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r>
        <w:rPr>
          <w:rFonts w:ascii="Times New Roman" w:cs="Times New Roman" w:eastAsia="Times New Roman" w:hAnsi="Times New Roman"/>
          <w:sz w:val="18"/>
          <w:szCs w:val="18"/>
          <w:color w:val="auto"/>
        </w:rPr>
        <w:t>. The Company’s common stock valuations were prepared using an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8" w:name="page279"/>
    <w:bookmarkEnd w:id="2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securities at the time of, and the likelihood of, achieving a liquidity event, such as an IPO or sale. Significant changes to the key assumptions used in the valuations could result in different fair values of common stock at each valuation date.</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(see Note 10).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financial statements.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9" w:name="page280"/>
    <w:bookmarkEnd w:id="2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 average number of common shares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income (loss) per share as their effect is anti-dilutive.</w:t>
      </w:r>
    </w:p>
    <w:p>
      <w:pPr>
        <w:spacing w:after="0" w:line="11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years ended December 31, 2018 and 2019 and for the nine months ended September 30, 2019 and 2020 (unaudited).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is expected to be an “emerging growth company” (“EGC”) upon merger,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(“ASU 2014-09”). ASU 2014-09 outlines a new, single comprehensive model for entities to use in accounting for revenue arising from contracts 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Company early adopted this ASU 2014-09 on January 1, 2017 using the full retrospective approach. The Company did not have any revenue arrangements and therefore, its adoption did not have any impact on the Company’s financial statements.</w:t>
      </w:r>
    </w:p>
    <w:p>
      <w:pPr>
        <w:spacing w:after="0" w:line="10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Employee Share-Based Payment Accounting </w:t>
      </w:r>
      <w:r>
        <w:rPr>
          <w:rFonts w:ascii="Times New Roman" w:cs="Times New Roman" w:eastAsia="Times New Roman" w:hAnsi="Times New Roman"/>
          <w:sz w:val="18"/>
          <w:szCs w:val="18"/>
          <w:color w:val="auto"/>
        </w:rPr>
        <w:t>(“ASU 2016-09”). ASU 2016-09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provisions intended to simplify various aspects of the accounting for share-based payments, including the income tax consequences, classification of awards as either equity or liabilities, an option to recognize gross share compensation expense with actual forfeitures recognized as they occur, as well as certain classifications on the statement of cash flows. The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0" w:name="page281"/>
    <w:bookmarkEnd w:id="2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Company early adopted this pronouncement at its inception and has elected to recognize actual forfeitures as they occur. The adoption of ASU 2016-09 did not have any impact on the Company’s financial statements since it was adopted at its inception.</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early adopted Accounting Standards Update 2018-07 (“ASU 2018-07”) </w:t>
      </w:r>
      <w:r>
        <w:rPr>
          <w:rFonts w:ascii="Times New Roman" w:cs="Times New Roman" w:eastAsia="Times New Roman" w:hAnsi="Times New Roman"/>
          <w:sz w:val="18"/>
          <w:szCs w:val="18"/>
          <w:i w:val="1"/>
          <w:iCs w:val="1"/>
          <w:color w:val="auto"/>
        </w:rPr>
        <w:t xml:space="preserve">Compensation — Stock Compensation: Improvements to Non-Employee Share-Based Compensation Accounting </w:t>
      </w:r>
      <w:r>
        <w:rPr>
          <w:rFonts w:ascii="Times New Roman" w:cs="Times New Roman" w:eastAsia="Times New Roman" w:hAnsi="Times New Roman"/>
          <w:sz w:val="18"/>
          <w:szCs w:val="18"/>
          <w:color w:val="auto"/>
        </w:rPr>
        <w:t>as of the date of January 1, 2017. ASU 2018-07 generally allows the Company to treat stock-based awards to non-employees similar to employees for purposes of measuring and recognition stock-based compensation. The adoption of this pronouncement did not have a material impact on its financial statements based on the fair value of the Company’s common stock at January 1, 2017.</w:t>
      </w:r>
    </w:p>
    <w:p>
      <w:pPr>
        <w:spacing w:after="0" w:line="10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Statement of Cash Flows: </w:t>
      </w:r>
      <w:r>
        <w:rPr>
          <w:rFonts w:ascii="Times New Roman" w:cs="Times New Roman" w:eastAsia="Times New Roman" w:hAnsi="Times New Roman"/>
          <w:sz w:val="18"/>
          <w:szCs w:val="18"/>
          <w:i w:val="1"/>
          <w:iCs w:val="1"/>
          <w:color w:val="auto"/>
        </w:rPr>
        <w:t>Classification of Certain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Receipts and Cash Payments </w:t>
      </w:r>
      <w:r>
        <w:rPr>
          <w:rFonts w:ascii="Times New Roman" w:cs="Times New Roman" w:eastAsia="Times New Roman" w:hAnsi="Times New Roman"/>
          <w:sz w:val="18"/>
          <w:szCs w:val="18"/>
          <w:color w:val="auto"/>
        </w:rPr>
        <w:t>(“ASU 2016-15”), to address diversity in practice in how certain cash receipts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payments are presented and classified in the statement of cash flows. The standard is effective for annual periods beginning after December 15, 2018, including interim periods within those fiscal years. The Company adopted ASU 2016-15 at January 1, 2019. The adoption of this pronouncement did not have a material impact on the Company’s financial statements.</w:t>
      </w:r>
    </w:p>
    <w:p>
      <w:pPr>
        <w:spacing w:after="0" w:line="11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xml:space="preserve"> (“ASU 2016-18”), which requires that amounts generally described as restricted cash and restricted cash equivalents should be included with cash and cash equivalents when reconciling the beginning-of-period and end-of-period total amounts shown on the statement of cash flows. ASU 2016-18 is effective for fiscal years beginning after December 15, 2018, and interim periods within those years, and should be applied using a retrospective transition method to each period presented. The Company elected to early adopt this pronouncement at January 1, 2017 and has presented its statement of cash flows in accordance with ASU 2016-18.</w:t>
      </w:r>
    </w:p>
    <w:p>
      <w:pPr>
        <w:spacing w:after="0" w:line="11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No. 2017-01, Business Combinations (Topic 805): Clarifying the Definition of a Business (“ASU 2017-01”), which clarifies the definition of a business to assist entities with evaluating whether transactions should be accounted for as acquisitions (or disposals) of assets or businesses. The guidance is effective for annual reporting periods beginning after December 15, 2018 and interim periods within those fiscal years, and early adoption is permitted. The Company adopted ASU 2017-01 at January 1, 2019. The adoption of this pronouncement did not have a material impact on the Company’s financial statements.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No. 2016-02, Leases (“ASU 2016-02”). ASU 2016-02 will require lessees to recognize most leases on their balance sheet as a right-of-use asset and a lease liability. Leases will be classified as either operating or finance, and classification will be based on criteria similar to current lease accounting, but without explicit bright lines.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(“ASU 2018-13”). The new standard removes certain disclosures, modifies certain disclosures and adds additional disclosures related to fair value measurement. ASU 2018-13 is effective for annual periods after December 15, 2019. The Company is currently evaluating the potential impact ASU 2018-13 may have on its disclosures upon adoption.</w:t>
      </w:r>
    </w:p>
    <w:p>
      <w:pPr>
        <w:spacing w:after="0" w:line="11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In November 2018, the FASB issued ASU 2018-18, Collaborative Arrangements (Topic 808): </w:t>
      </w:r>
      <w:r>
        <w:rPr>
          <w:rFonts w:ascii="Times New Roman" w:cs="Times New Roman" w:eastAsia="Times New Roman" w:hAnsi="Times New Roman"/>
          <w:sz w:val="18"/>
          <w:szCs w:val="18"/>
          <w:i w:val="1"/>
          <w:iCs w:val="1"/>
          <w:color w:val="auto"/>
        </w:rPr>
        <w:t>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Interaction between Topic 808 and Topic 606</w:t>
      </w:r>
      <w:r>
        <w:rPr>
          <w:rFonts w:ascii="Times New Roman" w:cs="Times New Roman" w:eastAsia="Times New Roman" w:hAnsi="Times New Roman"/>
          <w:sz w:val="18"/>
          <w:szCs w:val="18"/>
          <w:color w:val="auto"/>
        </w:rPr>
        <w:t>, (“ASU 2018-18”). The amendments in this update clarify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transactions between collaborative arrangement participants should be accounted for as revenue when the collaborative arrangement participant is a customer in the context of a unit of account and precludes recognizing as revenue consideration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1" w:name="page282"/>
    <w:bookmarkEnd w:id="2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received from a collaborative arrangement participant if the participant is not a customer. ASU 2018-18 is effective for annual reporting periods after December 15, 2020. The Company is currently evaluating the potential impact ASU 2018-18 will have on its financial statements.</w:t>
      </w:r>
    </w:p>
    <w:p>
      <w:pPr>
        <w:spacing w:after="0" w:line="10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(“ASU 2019-12”), which is intended to simplify the accounting for income taxes. ASU 2019-12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removes certain exceptions to the general principles in Topic 740 and also clarifies and amends existing guidance to improve consistent application. The new standard will be effective beginning January 1, 2021. The Company is currently evaluating the potential impact ASU 2019-12 may have on its financial position and results of operations upon adoption.</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64" w:lineRule="exact"/>
        <w:rPr>
          <w:sz w:val="20"/>
          <w:szCs w:val="20"/>
          <w:color w:val="auto"/>
        </w:rPr>
      </w:pPr>
    </w:p>
    <w:p>
      <w:pPr>
        <w:ind w:left="460"/>
        <w:spacing w:after="0"/>
        <w:tabs>
          <w:tab w:leader="none" w:pos="4620" w:val="left"/>
          <w:tab w:leader="none" w:pos="5640" w:val="left"/>
          <w:tab w:leader="none" w:pos="6680" w:val="left"/>
          <w:tab w:leader="none" w:pos="7840" w:val="left"/>
        </w:tabs>
        <w:rPr>
          <w:sz w:val="20"/>
          <w:szCs w:val="20"/>
          <w:color w:val="auto"/>
        </w:rPr>
      </w:pPr>
      <w:r>
        <w:rPr>
          <w:rFonts w:ascii="Times New Roman" w:cs="Times New Roman" w:eastAsia="Times New Roman" w:hAnsi="Times New Roman"/>
          <w:sz w:val="16"/>
          <w:szCs w:val="16"/>
          <w:b w:val="1"/>
          <w:bCs w:val="1"/>
          <w:color w:val="auto"/>
        </w:rPr>
        <w:t>December 31, 2018</w:t>
      </w:r>
      <w:r>
        <w:rPr>
          <w:sz w:val="20"/>
          <w:szCs w:val="20"/>
          <w:color w:val="auto"/>
        </w:rPr>
        <w:tab/>
      </w:r>
      <w:r>
        <w:rPr>
          <w:rFonts w:ascii="Times New Roman" w:cs="Times New Roman" w:eastAsia="Times New Roman" w:hAnsi="Times New Roman"/>
          <w:sz w:val="16"/>
          <w:szCs w:val="16"/>
          <w:b w:val="1"/>
          <w:bCs w:val="1"/>
          <w:color w:val="auto"/>
        </w:rPr>
        <w:t>Level 1</w:t>
      </w:r>
      <w:r>
        <w:rPr>
          <w:sz w:val="20"/>
          <w:szCs w:val="20"/>
          <w:color w:val="auto"/>
        </w:rPr>
        <w:tab/>
      </w:r>
      <w:r>
        <w:rPr>
          <w:rFonts w:ascii="Times New Roman" w:cs="Times New Roman" w:eastAsia="Times New Roman" w:hAnsi="Times New Roman"/>
          <w:sz w:val="16"/>
          <w:szCs w:val="16"/>
          <w:b w:val="1"/>
          <w:bCs w:val="1"/>
          <w:color w:val="auto"/>
        </w:rPr>
        <w:t>Level 2</w:t>
      </w:r>
      <w:r>
        <w:rPr>
          <w:sz w:val="20"/>
          <w:szCs w:val="20"/>
          <w:color w:val="auto"/>
        </w:rPr>
        <w:tab/>
      </w:r>
      <w:r>
        <w:rPr>
          <w:rFonts w:ascii="Times New Roman" w:cs="Times New Roman" w:eastAsia="Times New Roman" w:hAnsi="Times New Roman"/>
          <w:sz w:val="16"/>
          <w:szCs w:val="16"/>
          <w:b w:val="1"/>
          <w:bCs w:val="1"/>
          <w:color w:val="auto"/>
        </w:rPr>
        <w:t>Level 3</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8859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81"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17,521</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17,521</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17,521</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3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2,037</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2,037</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63"/>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00"/>
        </w:trPr>
        <w:tc>
          <w:tcPr>
            <w:tcW w:w="3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September 30, 2020 (unaudited)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w w:val="97"/>
              </w:rPr>
              <w:t>Level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3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57"/>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 cash and cash equivalents</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12,274</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12,274</w:t>
            </w: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3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63"/>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3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Money market funds were valued by the Company using quoted prices in active markets for similar securities, which represent a Level 1 measurement within the fair value hierarchy. During the years ended December 31, 2018 and 2019 and the nine months ended September 30, 2020 (unaudited), there were no transfers between Level 1, Level 2 and Level 3.</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value for the warrant liability balance is based on significant inputs not observable in the market, which represents a Level 3 measurement within the fair value hierarchy.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Warrants to purchase Series A Preferred Stock</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February 2019, concurrent with the Company’s term loan agreement, the Company issued warrants to purchase 70,000 shares of the Company’s Series A Preferred Stock. The warrants have an exercise price of $1.19 per share and expire in February 2029, representing a contractual term of ten years from issuance. No warrants were exercised during the year ended December 31, 2019 and nine months ended September 30, 2020 (unaudited). The fair value of the warrants was recorded as a liability on the date of issuance.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2" w:name="page283"/>
    <w:bookmarkEnd w:id="2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12"/>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6"/>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A Preferred Stock warrants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6"/>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2020 (unaudited)</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fair value of the warrants to purchase shares of the Company’s Series A Preferred Stock at an exercise price of $1.19 per share, including subsequent remeasurements, was estimated using the Black-Scholes Option Pricing Model using the following assumptions: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20" w:type="dxa"/>
            <w:vAlign w:val="bottom"/>
          </w:tcPr>
          <w:p>
            <w:pPr>
              <w:spacing w:after="0"/>
              <w:rPr>
                <w:sz w:val="17"/>
                <w:szCs w:val="17"/>
                <w:color w:val="auto"/>
              </w:rPr>
            </w:pPr>
          </w:p>
        </w:tc>
        <w:tc>
          <w:tcPr>
            <w:tcW w:w="2480" w:type="dxa"/>
            <w:vAlign w:val="bottom"/>
            <w:gridSpan w:val="3"/>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94"/>
        </w:trPr>
        <w:tc>
          <w:tcPr>
            <w:tcW w:w="40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gridSpan w:val="3"/>
            <w:vMerge w:val="restart"/>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18"/>
        </w:trPr>
        <w:tc>
          <w:tcPr>
            <w:tcW w:w="4080" w:type="dxa"/>
            <w:vAlign w:val="bottom"/>
          </w:tcPr>
          <w:p>
            <w:pPr>
              <w:spacing w:after="0"/>
              <w:rPr>
                <w:sz w:val="10"/>
                <w:szCs w:val="10"/>
                <w:color w:val="auto"/>
              </w:rPr>
            </w:pPr>
          </w:p>
        </w:tc>
        <w:tc>
          <w:tcPr>
            <w:tcW w:w="132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408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20"/>
                <w:szCs w:val="20"/>
                <w:color w:val="auto"/>
              </w:rPr>
            </w:pPr>
          </w:p>
        </w:tc>
        <w:tc>
          <w:tcPr>
            <w:tcW w:w="120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7"/>
        </w:trPr>
        <w:tc>
          <w:tcPr>
            <w:tcW w:w="40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center"/>
              <w:ind w:right="152"/>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6"/>
        </w:trPr>
        <w:tc>
          <w:tcPr>
            <w:tcW w:w="40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underlying instrument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1.20 – $1.28</w:t>
            </w: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 $1.24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 $1.41</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3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1.70% –</w:t>
            </w:r>
          </w:p>
        </w:tc>
        <w:tc>
          <w:tcPr>
            <w:tcW w:w="2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1.70%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 – 0.64%</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 – 10.0</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 10.0</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 8.9</w:t>
            </w:r>
          </w:p>
        </w:tc>
        <w:tc>
          <w:tcPr>
            <w:tcW w:w="0" w:type="dxa"/>
            <w:vAlign w:val="bottom"/>
          </w:tcPr>
          <w:p>
            <w:pPr>
              <w:spacing w:after="0"/>
              <w:rPr>
                <w:sz w:val="1"/>
                <w:szCs w:val="1"/>
                <w:color w:val="auto"/>
              </w:rPr>
            </w:pPr>
          </w:p>
        </w:tc>
      </w:tr>
      <w:tr>
        <w:trPr>
          <w:trHeight w:val="198"/>
        </w:trPr>
        <w:tc>
          <w:tcPr>
            <w:tcW w:w="4080" w:type="dxa"/>
            <w:vAlign w:val="bottom"/>
          </w:tcPr>
          <w:p>
            <w:pPr>
              <w:spacing w:after="0"/>
              <w:rPr>
                <w:sz w:val="17"/>
                <w:szCs w:val="17"/>
                <w:color w:val="auto"/>
              </w:rPr>
            </w:pPr>
          </w:p>
        </w:tc>
        <w:tc>
          <w:tcPr>
            <w:tcW w:w="13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73.4% –</w:t>
            </w:r>
          </w:p>
        </w:tc>
        <w:tc>
          <w:tcPr>
            <w:tcW w:w="22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73.6% –</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 – 74.4%</w:t>
            </w:r>
          </w:p>
        </w:tc>
        <w:tc>
          <w:tcPr>
            <w:tcW w:w="0" w:type="dxa"/>
            <w:vAlign w:val="bottom"/>
          </w:tcPr>
          <w:p>
            <w:pPr>
              <w:spacing w:after="0"/>
              <w:rPr>
                <w:sz w:val="1"/>
                <w:szCs w:val="1"/>
                <w:color w:val="auto"/>
              </w:rPr>
            </w:pPr>
          </w:p>
        </w:tc>
      </w:tr>
      <w:tr>
        <w:trPr>
          <w:trHeight w:val="40"/>
        </w:trPr>
        <w:tc>
          <w:tcPr>
            <w:tcW w:w="40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40"/>
        </w:trPr>
        <w:tc>
          <w:tcPr>
            <w:tcW w:w="40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risk-free interest rate used is the rate for a U.S. Treasury zero coupon issue with a term consistent with the remaining contractual term of the warrant on the date of measurement. The Company has not paid, and does not expect to pay, any cash dividends in the foreseeable future. The Company based the expected term assumption on the actual remaining contractual term of the respective warrants as of the date of measurement. The expected volatility is based on historical volatilities from guideline companies, since there is no active market for the Company’s common stock. The fair value on the date of measurement of the Series A preferred stock, the underlying instrument, was estimated by management with the assistance of a third-party valuation specialist.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616</w:t>
            </w:r>
          </w:p>
        </w:tc>
        <w:tc>
          <w:tcPr>
            <w:tcW w:w="34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759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years ended December 31, 2018 and 2019 and for the nine months ended September 30, 2019 and 2020 (unaudited) was approximately $114 thousand, $290 thousand, $213 thousand and $235 thousand,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04" w:gutter="0" w:footer="0" w:header="0"/>
        </w:sectPr>
      </w:pPr>
    </w:p>
    <w:bookmarkStart w:id="283" w:name="page284"/>
    <w:bookmarkEnd w:id="2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9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46"/>
        </w:trPr>
        <w:tc>
          <w:tcPr>
            <w:tcW w:w="43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1,133</w:t>
            </w:r>
          </w:p>
        </w:tc>
        <w:tc>
          <w:tcPr>
            <w:tcW w:w="780" w:type="dxa"/>
            <w:vAlign w:val="bottom"/>
            <w:tcBorders>
              <w:bottom w:val="single" w:sz="8" w:color="CCEEFF"/>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2,123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external research and development</w:t>
            </w:r>
          </w:p>
        </w:tc>
        <w:tc>
          <w:tcPr>
            <w:tcW w:w="74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730</w:t>
            </w: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7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5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74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2,004</w:t>
            </w:r>
          </w:p>
        </w:tc>
        <w:tc>
          <w:tcPr>
            <w:tcW w:w="7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2,689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Term loan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February 8, 2019 (the “Closing Date”), the Company entered into a term loan facility of up to $10.0 million (the “Term Loan”) with Silicon Valley Bank (“SVB”). The proceeds were used for general corporate and working capital purposes. Concurrent with the Term Loan, the Company issued SVB warrants to purchase 70,000 shares of the Company’s Series A preferred stock at an exercise price of $1.19 (Note 3). As of December 31, 2019 and September 30, 2020 (unaudited), the Company had $10.0 million in principal outstanding under the Term Loan.</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February 8, 2019, between the Company and SVB (the “SVB Loan Agreement”). The SVB Loan Agreement provided for two separate tranches under which the Company could borrow. The first tranche for $7,500,000 was available as single term loan advance until January 31, 2020. The second tranche was also available until January 31, 2020, as single term loan advance for $2,500,000, and required that the Company meet a certain milestone event. On April 18, 2019, the Company borrowed $7,500,000 under the first tranche and on December 17, 2019, the Company borrowed $2,500,000 under the second tranche having satisfied the milestone requirement.</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Term Loan initially matured on July 1, 2022 and accrues interest at a floating rate per annum equal to the greater of 3.75% or the prime rate minus 1.5% (3.25% as of December 31, 2019).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as follows: for 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is deferred until February 2021. The required monthly interest-only payment was not impacted by the deferral. The term loan’s new maturity date is January 1, 2023. After considering the debt guidance in ASC 470, the Company concluded that it did not meet the indicators of a trouble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December 31, 2019 and September 30, 2020 (unaudited), the Company accrued $104 thousand and $200 thousand, respectively, related to the end of term charge, which has been classified as other long-term liabilities.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4" w:name="page285"/>
    <w:bookmarkEnd w:id="2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6. Term loan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December 31, 2019.</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2019, scheduled principal payments for the Term Loan are as follows (in thousands):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principal</w:t>
            </w: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discounts</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Interest expense for the years ended December 31, 2018 and 2019 and for the nine months ended September 30, 2019 and 2020 (unaudited) was approximately $0 thousand, $350 thousand, $218 thousand and $407 thousand,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Convertible promissory notes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August 21, 2020, the Company entered into a purchase agreement with various investors to issue $14,000,000 in convertible promissory notes (the “Notes”). The Notes accrue simple interest at 8% per annum and mature on February 21, 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Notes served as a bridge loan prior to a PIPE transaction in connection with the proposed merger of the Company and FS Development Corp.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2020, the carrying value of the Notes is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3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14,000</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 (beneficial conversion feature)</w:t>
            </w:r>
          </w:p>
        </w:tc>
        <w:tc>
          <w:tcPr>
            <w:tcW w:w="3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(6,400)</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5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(7,600)</w:t>
            </w:r>
          </w:p>
        </w:tc>
      </w:tr>
      <w:tr>
        <w:trPr>
          <w:trHeight w:val="27"/>
        </w:trPr>
        <w:tc>
          <w:tcPr>
            <w:tcW w:w="6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(unaudited), the Company recognized interest expense of $1.9 million, of which $123 thousand is included in accrued expenses and other current liabilities in the accompanying balance sheet as of September 30, 2020 (unaudited).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5" w:name="page286"/>
    <w:bookmarkEnd w:id="2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Convertible preferred stock</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December 31, 2019 and September 30, 2020 (unaudited), the Company’s Certificate of Incorporation, as amended and restated, designated 76,723,489 authorized shares to be issued as convertible preferred stock with a par value of $0.001 per share, of which 39,722,088 shares have been further designated as Series A convertible preferred stock (the “Series A Preferred Stock”) and 37,001,401 shares have been further designated as Series B convertible preferred stock (the “Series B Preferred Stock”).</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holders of Series A Preferred Stock and Series B Preferred Stock (collectively, the “Preferred Stock”) have liquidation rights in the event of a deemed liquidation that, in certain situations, are not solely within the control of the Company. Therefore, Preferred Stock is classified outside of stockholders’ deficit.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financing</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May 24, 2017, the Company issued and sold 10,084,035 shares of Series A Preferred Stock at a price of $1.19 per share for gross proceeds of $12.0 million. The sale of shares of Series A Preferred Stock met the definition of a qualified equity financing, which triggered the automatic conversion of the Company’s outstanding notes payable plus accrued interest into 4,007,802 shares of Series A Preferred Stock.</w:t>
      </w:r>
    </w:p>
    <w:p>
      <w:pPr>
        <w:spacing w:after="0" w:line="99"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Series A Preferred Stock financing included a provision for two subsequent closings. A second closing for an additional 9,243,696 shares of Series A Preferred Stock at a price of $1.19 in exchange for gross proceeds of $11.0 million and a third closing for an additional 16,386,555 shares of Series A Preferred Stock at a price of $1.19 per share in exchange for gross proceeds of $19.5 million. The Company determined that these tranche rights do not meet the definition of a freestanding financial instrument and do not require bifurcation.</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second closing occurred on March 30, 2018 for the issuance of 9,243,696 shares of Series A Preferred Stock. The third closing occurred on November 2, 2018 for the issuance of 16,386,555 shares of Series A Preferred Stock.</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September 26, 2019, the Company issued 9,916,375 shares of Series B Preferred Stock at a purchase price of $1.3513 per share for gross proceeds in the amount of $13.4 million.</w:t>
      </w:r>
    </w:p>
    <w:p>
      <w:pPr>
        <w:spacing w:after="0" w:line="81"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issuance of the Series B Preferred Stock resulted in changes to certain terms of the Series A Preferred Stock, primarily to align the rights of all preferred stockholders upon declaration of a dividend. The Company concluded such changes lacked sufficient significance and therefore were consistent with a modification rather than an extinguishment. These changes were administrative in nature and not consequential, with no change in the underlying value of the shares. Since the Company concluded there was no incremental value associated with the modification, there was no impact to the accounting for the Series A Preferred Stock.</w:t>
      </w:r>
    </w:p>
    <w:p>
      <w:pPr>
        <w:spacing w:after="0" w:line="120"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The Series B Preferred Stock financing included a provision for the issuance of an additional 14,874,563 shares of Series B Preferred Stock at a price of $1.3513 per share in exchange for gross proceeds of $20.1 million. Consistent with the accounting considerations for the Series A tranche right, the Company determined that the Series B tranche right did not meet the definition of a freestanding financial instrument and does not require bifurcation. The second closing occurred on January 21, 2020, during which the Company issued 14,874,563 shares of Series B preferred stock at a price of $1.3513 per share in exchange for net proceeds of $20.1 million.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6" w:name="page287"/>
    <w:bookmarkEnd w:id="2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each balance sheet date, the Preferred Stock consisted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7"/>
        </w:trPr>
        <w:tc>
          <w:tcPr>
            <w:tcW w:w="29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6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1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39,722,088</w:t>
            </w: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47,113</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47,269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369"/>
        </w:trPr>
        <w:tc>
          <w:tcPr>
            <w:tcW w:w="2900" w:type="dxa"/>
            <w:vAlign w:val="bottom"/>
          </w:tcPr>
          <w:p>
            <w:pPr>
              <w:spacing w:after="0"/>
              <w:rPr>
                <w:sz w:val="24"/>
                <w:szCs w:val="24"/>
                <w:color w:val="auto"/>
              </w:rPr>
            </w:pPr>
          </w:p>
        </w:tc>
        <w:tc>
          <w:tcPr>
            <w:tcW w:w="9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120" w:type="dxa"/>
            <w:vAlign w:val="bottom"/>
          </w:tcPr>
          <w:p>
            <w:pPr>
              <w:spacing w:after="0"/>
              <w:rPr>
                <w:sz w:val="24"/>
                <w:szCs w:val="24"/>
                <w:color w:val="auto"/>
              </w:rPr>
            </w:pPr>
          </w:p>
        </w:tc>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2019</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7"/>
        </w:trPr>
        <w:tc>
          <w:tcPr>
            <w:tcW w:w="29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4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39,722,088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37,001,401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9,916,375</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13,252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r>
      <w:tr>
        <w:trPr>
          <w:trHeight w:val="27"/>
        </w:trPr>
        <w:tc>
          <w:tcPr>
            <w:tcW w:w="2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3"/>
        </w:trPr>
        <w:tc>
          <w:tcPr>
            <w:tcW w:w="29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76,723,489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49,638,463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60,365</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60,669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349"/>
        </w:trPr>
        <w:tc>
          <w:tcPr>
            <w:tcW w:w="2900" w:type="dxa"/>
            <w:vAlign w:val="bottom"/>
          </w:tcPr>
          <w:p>
            <w:pPr>
              <w:spacing w:after="0"/>
              <w:rPr>
                <w:sz w:val="24"/>
                <w:szCs w:val="24"/>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issued</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24"/>
                <w:szCs w:val="24"/>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Conversion</w:t>
            </w:r>
          </w:p>
        </w:tc>
      </w:tr>
      <w:tr>
        <w:trPr>
          <w:trHeight w:val="212"/>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2020 (unaudited)</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r>
      <w:tr>
        <w:trPr>
          <w:trHeight w:val="47"/>
        </w:trPr>
        <w:tc>
          <w:tcPr>
            <w:tcW w:w="29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60" w:type="dxa"/>
            <w:vAlign w:val="bottom"/>
            <w:gridSpan w:val="2"/>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4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 stock</w:t>
            </w:r>
          </w:p>
        </w:tc>
        <w:tc>
          <w:tcPr>
            <w:tcW w:w="90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39,722,088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 stock</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37,001,401</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24,790,938</w:t>
            </w: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33,336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r>
      <w:tr>
        <w:trPr>
          <w:trHeight w:val="27"/>
        </w:trPr>
        <w:tc>
          <w:tcPr>
            <w:tcW w:w="2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3"/>
        </w:trPr>
        <w:tc>
          <w:tcPr>
            <w:tcW w:w="29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76,723,489</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64,513,026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80,449</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80,769</w:t>
            </w: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holders of the Preferred Stock have the following rights and preferences: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holders of Preferred Stock are entitled to vote, together with the holders of common stock, on all matters submitted to stockholders for a vote. Each holder of outstanding shares of Preferred Stock shall be entitled to cast the number of votes equal to the number of shares of common stock into which the shares of Preferred Stock held by such holder are convertible at the time of such vote. Except as provided by law or by the other provisions of the Amended and Restated Certificate of Incorporation, holders of Preferred Stock vote together with the holders of common stock as a single class.</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holders of record of the shares of Series B Preferred Stock, exclusively and as a separate class, are entitled to elect two directors of the Company (the “Series B Directors”); the holders of record of the shares of Series A Preferred Stock, exclusively and as a separate class, are entitled to elect three directors of the Company (the “Series A Directors” and together with the Series B Directors, the “Preferred Directors”).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4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share of Preferred Stock shall be convertible, at the option of the holder, at any time and from time to time, and without the payment of additional consideration by the holder thereof, into such number of fully paid and non-assessable shares of common stock as is determined by dividing the original issue price by the conversion price (as defined below) in effect at the time of conversion.</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Series A original issue price and Series A conversion price were equal to $1.19 as of December 31, 2018 and 2019 and September 30, 2020 (unaudited). The Series B original issue price and Series B conversion price were equal to $1.3513 as of December 31, 2019 and September 30, 2020 (unaudited). Such Series A and Series B original issue prices and Series A and Series B conversion prices, the rate at which each series of Preferred Stock may be converted into common stock, are subject to adjustment from time to time to reflect future stock dividends, splits, combinations, recapitalizations and similar events. As of December 31, 2018 and 2019 and September 30, 2020 (unaudited), each share of Series A Preferred Stock was convertible into one share of common stock. As of December 31, 2019 and September 30, 2020 (unaudited), each share of Series B Preferred Stock was convertible into one share of common stock.</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to the public in a firm-commitment underwritten public offering pursuant to an effective registration statement under the Securities Act resulting in at least $50.0 million of gross proceeds to the Company and a per share price of $4.05 per share, or (b) the vote or written consent of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7" w:name="page288"/>
    <w:bookmarkEnd w:id="2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holders of a majority in voting power of the then outstanding shares of the Series B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holders of the Preferred Stock are entitled to receive noncumulative dividends when in preference to any dividend on common stock at the rate of eight percent (8%) of the applicable original purchase price per annum, if and as declared by Company’s board of directors. The Company may not declare, pay or set aside any dividends on any other class or series of stock of the Company, other than dividends on common stock payable in common stock, unless the holders of the Preferred Stock first receive, or simultaneously receive, a dividend on each outstanding Preferred Stock in an amount at least equal to (a) in the case of a dividend on any class of common stock or any class or series that is convertible into common stock, that dividend per Preferred Stock as would equal the product of (i) the dividend payable on each share of such class or series determined, if applicable, as if all shares of such class or series had been converted into common stock and (ii) the number of common stock issuable upon conversion of a stock the applicable series of preferred stock, or (b) in the case of a dividend on any class or series that is not convertible into common stock, at a rate per Preferred Stock determined by (i) dividing the amount of the dividend payable on each share of such class or series of stock by the original issue price of such class or series (subject to appropriate adjustment in the event of any stock dividend, stock split, combination of or other similar recapitalization with respect to such class or series) and</w:t>
      </w:r>
    </w:p>
    <w:p>
      <w:pPr>
        <w:spacing w:after="0" w:line="12" w:lineRule="exact"/>
        <w:rPr>
          <w:sz w:val="20"/>
          <w:szCs w:val="20"/>
          <w:color w:val="auto"/>
        </w:rPr>
      </w:pPr>
    </w:p>
    <w:p>
      <w:pPr>
        <w:jc w:val="both"/>
        <w:ind w:left="460" w:right="459" w:hanging="6"/>
        <w:spacing w:after="0" w:line="255" w:lineRule="auto"/>
        <w:tabs>
          <w:tab w:leader="none" w:pos="73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such fraction by an amount equal to the applicable Series A or Series B original issue price. No cash dividends were declared or paid during the years ended December 31, 2018 or 2019 or the nine months ended September 30, 2020 (unaudited).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4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the event of any liquidation, dissolution, winding up of the Company, each holder of a share of Series B Preferred Stock and Series A Preferred Stock shall be entitled to receive, prior and in preference to any distribution of any of the assets or surplus funds of the Company to the holders of common stock, an amount equal to an issuance price of $1.3513 to the holders of Series B Preferred Stock and $1.19 to the holders of Series A Preferred Stock, respectively, plus any declared but unpaid dividends.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remaining proceeds are then payable to the holders of the Series B Preferred Stock and Series A Preferred Stock together with holders of common stock, however, that if the aggregate amount which the holders of Series B Preferred Stock and Series A Preferred Stock are entitled to receive under this provision and their amounts received exceed $2.7026 per share and $2.17 per share, respectively, each holder of Series B Preferred Stock and Series A Preferred Stock shall be entitled to receive upon such any liquidation, dissolution or winding up of the Company or Deemed Liquidation Event the greater of (i) $2.7026 and $2.17 per share, respectively or</w:t>
      </w:r>
    </w:p>
    <w:p>
      <w:pPr>
        <w:spacing w:after="0" w:line="5" w:lineRule="exact"/>
        <w:rPr>
          <w:sz w:val="20"/>
          <w:szCs w:val="20"/>
          <w:color w:val="auto"/>
        </w:rPr>
      </w:pPr>
    </w:p>
    <w:p>
      <w:pPr>
        <w:jc w:val="both"/>
        <w:ind w:left="460" w:right="459" w:hanging="6"/>
        <w:spacing w:after="0" w:line="255" w:lineRule="auto"/>
        <w:tabs>
          <w:tab w:leader="none" w:pos="727"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such holder would have received if all shares of Series B Preferred Stock and Series A Preferred Stock had been converted to common stock immediately prior to such liquidation, dissolution or winding up of the Company or Deemed Liquidation Event.</w:t>
      </w:r>
    </w:p>
    <w:p>
      <w:pPr>
        <w:spacing w:after="0" w:line="11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Unless a majority of the holders of the then outstanding Preferred Stock, on an as-if-converted to common stock basis, which majority must include the holders of at least a majority of the outstanding shares of Series B Preferred Stock, voting together as a separate class, elect otherwise, a deemed liquidation event shall include a merger or consolidation (other than one in which stockholders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4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does not provide redemption rights to the holders of Preferred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8" w:name="page289"/>
    <w:bookmarkEnd w:id="2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Convertible preferred stock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holders of shares of Preferred Stock have liquidation rights in the event of a deemed liquidation that, in certain situations, are not solely within the control of the Company. Therefore, the Preferred Stock is classified outside of stockholders’ deficit.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As of December 31, 2018, the Amended and Restated Certificate of Incorporation authorized the Company to issue 55,000,000 shares of common stock with a par value of $0.001. As of December 31, 2019 and September 30, 2020 (unaudited), the Amended and Restated Certificate of Incorporation authorized the Company to issue 95,000,000 shares of common stock with a par value of $0.001. The voting, dividend and liquidation rights of the holders of the Company’s common stock are subject to and qualified by the rights, powers and preferences of the holders of the Preferred Stock as described above.</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had reserved 50,031,845 shares and 89,686,234 shares as of December 31, 2018 and 2019, respectively, and 89,370,870 shares as of September 30, 2020 (unaudited), of common stock for the conversion of outstanding shares of Preferred Stock (see Note 8), the exercise of outstanding stock options, the number of shares remaining available for grant under the Company’s 2017 Equity Incentive Plan (see Note 10) and the exercise of the outstanding warrants to purchase shares of Series A Preferred Stock (see Note 3), assuming all warrants to purchase shares of Series A Preferred Stock became warrants to purchase shares of common stock at the applicable conversion ratio.</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Common stockholders are entitled to receive dividends, as may be declared by the board of directors. These dividends are subject to the preferential dividend rights of the holders of Preferred Stock. When dividends are declared on shares of common stock, the Company must declare at the same time a dividend payable to the holders of Preferred Stock equivalent to the dividend amount they would receive if each share of Preferred Stock was converted into common stock. The Company may not pay dividends to common stockholders until all dividends declared but unpaid on the Preferred Stock have been paid in full. No cash dividends were declared or paid during the years ended December 31, 2018 or 2019 or the nine months ended September 30, 2020 (unaudited).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Equity incentive plan</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Company’s 2017 Stock Option and Grant Plan, as amended (the “2017 Plan”), provides for the Company to grant qualified incentive options, nonqualified options, stock grants and other stock-based awards to employees and non-employees to purchase the Company’s common stock. The 2017 Plan is administered by the board of directors, or at the discretion of the board of directors, by a committee of the board of directors.</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2017 Plan was 7,898,675 shares as of December 31, 2018. The total number of shares of common stock that may be issued under the 2017 Plan was 11,834,437 as of December 31, 2019 and September 30, 2020 (unaudited), of which 3,789,697 and 4,089,779 shares remained available for future grant as of December 31, 2019 and September 30, 2020 (unaudited), respectively.</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exercise price for incentive options is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9" w:name="page290"/>
    <w:bookmarkEnd w:id="2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is determined at the discretion of the board of directors, which is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2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Shares that are expired, terminated, surrendered or canceled under the 2017 Plan without having been fully exercised will be available for future awards.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 valuation</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fair value of the stock options granted to employees and non-employees was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2600" w:type="dxa"/>
            <w:vAlign w:val="bottom"/>
            <w:gridSpan w:val="4"/>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040" w:type="dxa"/>
            <w:vAlign w:val="bottom"/>
          </w:tcPr>
          <w:p>
            <w:pPr>
              <w:spacing w:after="0"/>
              <w:rPr>
                <w:sz w:val="18"/>
                <w:szCs w:val="18"/>
                <w:color w:val="auto"/>
              </w:rPr>
            </w:pPr>
          </w:p>
        </w:tc>
        <w:tc>
          <w:tcPr>
            <w:tcW w:w="2600" w:type="dxa"/>
            <w:vAlign w:val="bottom"/>
            <w:gridSpan w:val="4"/>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20" w:type="dxa"/>
            <w:vAlign w:val="bottom"/>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Pr>
          <w:p>
            <w:pPr>
              <w:spacing w:after="0"/>
              <w:rPr>
                <w:sz w:val="18"/>
                <w:szCs w:val="18"/>
                <w:color w:val="auto"/>
              </w:rPr>
            </w:pPr>
          </w:p>
        </w:tc>
      </w:tr>
      <w:tr>
        <w:trPr>
          <w:trHeight w:val="46"/>
        </w:trPr>
        <w:tc>
          <w:tcPr>
            <w:tcW w:w="30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31"/>
        </w:trPr>
        <w:tc>
          <w:tcPr>
            <w:tcW w:w="3040" w:type="dxa"/>
            <w:vAlign w:val="bottom"/>
          </w:tcPr>
          <w:p>
            <w:pPr>
              <w:spacing w:after="0"/>
              <w:rPr>
                <w:sz w:val="20"/>
                <w:szCs w:val="20"/>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20"/>
                <w:szCs w:val="20"/>
                <w:color w:val="auto"/>
              </w:rPr>
            </w:pPr>
          </w:p>
        </w:tc>
        <w:tc>
          <w:tcPr>
            <w:tcW w:w="12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720" w:type="dxa"/>
            <w:vAlign w:val="bottom"/>
          </w:tcPr>
          <w:p>
            <w:pPr>
              <w:jc w:val="right"/>
              <w:ind w:right="8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7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7"/>
        </w:trPr>
        <w:tc>
          <w:tcPr>
            <w:tcW w:w="304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31"/>
        </w:trPr>
        <w:tc>
          <w:tcPr>
            <w:tcW w:w="3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ind w:left="635"/>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740" w:type="dxa"/>
            <w:vAlign w:val="bottom"/>
          </w:tcPr>
          <w:p>
            <w:pPr>
              <w:spacing w:after="0"/>
              <w:rPr>
                <w:sz w:val="20"/>
                <w:szCs w:val="20"/>
                <w:color w:val="auto"/>
              </w:rPr>
            </w:pPr>
          </w:p>
        </w:tc>
      </w:tr>
      <w:tr>
        <w:trPr>
          <w:trHeight w:val="46"/>
        </w:trPr>
        <w:tc>
          <w:tcPr>
            <w:tcW w:w="3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 – 3.0%</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 – 2.4%</w:t>
            </w:r>
          </w:p>
        </w:tc>
        <w:tc>
          <w:tcPr>
            <w:tcW w:w="17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1.5% – 2.4%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5.6 – 6.3 years</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 – 6.25 years</w:t>
            </w:r>
          </w:p>
        </w:tc>
        <w:tc>
          <w:tcPr>
            <w:tcW w:w="17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6.0 – 6.1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years</w:t>
            </w:r>
          </w:p>
        </w:tc>
      </w:tr>
      <w:tr>
        <w:trPr>
          <w:trHeight w:val="40"/>
        </w:trPr>
        <w:tc>
          <w:tcPr>
            <w:tcW w:w="3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6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 – 75%</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 – 77%</w:t>
            </w:r>
          </w:p>
        </w:tc>
        <w:tc>
          <w:tcPr>
            <w:tcW w:w="17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74% – 77%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Through September 30, 2020, all options granted by the Company under the 2017 Plan were for the purchase of shares of common stock. The following table summarizes option activity under the 2017 Plan since December 31, 2018 (in thousands, except share and per share amounts):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0" w:type="dxa"/>
            <w:vAlign w:val="bottom"/>
          </w:tcPr>
          <w:p>
            <w:pPr>
              <w:spacing w:after="0"/>
              <w:rPr>
                <w:sz w:val="17"/>
                <w:szCs w:val="17"/>
                <w:color w:val="auto"/>
              </w:rPr>
            </w:pPr>
          </w:p>
        </w:tc>
        <w:tc>
          <w:tcPr>
            <w:tcW w:w="7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160" w:type="dxa"/>
            <w:vAlign w:val="bottom"/>
          </w:tcPr>
          <w:p>
            <w:pPr>
              <w:spacing w:after="0"/>
              <w:rPr>
                <w:sz w:val="18"/>
                <w:szCs w:val="18"/>
                <w:color w:val="auto"/>
              </w:rPr>
            </w:pPr>
          </w:p>
        </w:tc>
        <w:tc>
          <w:tcPr>
            <w:tcW w:w="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term</w:t>
            </w:r>
          </w:p>
        </w:tc>
        <w:tc>
          <w:tcPr>
            <w:tcW w:w="100" w:type="dxa"/>
            <w:vAlign w:val="bottom"/>
          </w:tcPr>
          <w:p>
            <w:pPr>
              <w:spacing w:after="0"/>
              <w:rPr>
                <w:sz w:val="18"/>
                <w:szCs w:val="18"/>
                <w:color w:val="auto"/>
              </w:rPr>
            </w:pPr>
          </w:p>
        </w:tc>
        <w:tc>
          <w:tcPr>
            <w:tcW w:w="74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4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6,782,422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0.24</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4,802,164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(80,118)</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0.29</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(2,964,150)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0.32</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8,540,318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0.34</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43"/>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1,182,200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0.55</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(116,239)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(1,482,282)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0.33</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2020 (unaudited)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8,123,997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at December 31, 2019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0.18</w:t>
            </w:r>
          </w:p>
        </w:tc>
        <w:tc>
          <w:tcPr>
            <w:tcW w:w="98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line="20" w:lineRule="exact"/>
              <w:rPr>
                <w:sz w:val="1"/>
                <w:szCs w:val="1"/>
                <w:color w:val="auto"/>
              </w:rPr>
            </w:pPr>
          </w:p>
        </w:tc>
      </w:tr>
      <w:tr>
        <w:trPr>
          <w:trHeight w:val="221"/>
        </w:trPr>
        <w:tc>
          <w:tcPr>
            <w:tcW w:w="44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2,179,020</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Options vested and exercisable at September 30, 2020</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(unaudited)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3,223,460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0" w:type="dxa"/>
            <w:vAlign w:val="bottom"/>
          </w:tcPr>
          <w:p>
            <w:pPr>
              <w:spacing w:after="0"/>
              <w:rPr>
                <w:sz w:val="1"/>
                <w:szCs w:val="1"/>
                <w:color w:val="auto"/>
              </w:rPr>
            </w:pPr>
          </w:p>
        </w:tc>
      </w:tr>
      <w:tr>
        <w:trPr>
          <w:trHeight w:val="41"/>
        </w:trPr>
        <w:tc>
          <w:tcPr>
            <w:tcW w:w="44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0" w:name="page291"/>
    <w:bookmarkEnd w:id="2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intrinsic value of options exercised during the years ended December 31, 2018 and 2019 and the nine months ended September 30, 2019 and 2020 (unaudited) was $4 thousand, $11 thousand, $10 thousand and $54 thousand, respectively.</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per share of options granted during the years ended December 31, 2018 and 2019 and the nine months ended September 30, 2019 and 2020 (unaudited) was $0.22, $0.30, $0.27 and $0.37, respectively.</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total fair value of options vested during the years ended December 31, 2018 and 2019 and the nine months ended September 30, 2019 and 2020 (unaudited) was $190 thousand, $352 thousand, $318 thousand and $379 thousand,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Under terms of the restricted stock agreements covering the common stock, shares of restricted common stock are subject to a vesting schedule. The restricted stock vests over a four-year period during which time all unvested stock will immediately be forfeited to the Company if the relationship between the recipient and the Company ceases. Subject to the continued employment (or other engagement of the recipient by the Company as described in the restricted stock agreements), all shares of restricted common stock become fully vested within four years of the vesting commencement date.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activity since December 31, 2018:</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2"/>
        </w:trPr>
        <w:tc>
          <w:tcPr>
            <w:tcW w:w="56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56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694,150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(265,493)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428,657</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(199,125)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2020 (unaudited)</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229,532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aggregate fair value of restricted stock that vested during the years ended December 31, 2018 and 2019 and the nine months ended September 30, 2019 and 2020 (unaudited) was $108 thousand, $125 thousand, $94 thousand and $331 thousand, respectively.</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for restricted stock of $32 thousand, $30 thousand, $22 thousand and $22 thousand, during the years ended December 31, 2018 and 2019 and the nine months ended September 30, 2019 and 2020 (unaudited),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1" w:name="page292"/>
    <w:bookmarkEnd w:id="2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Equity incentive plan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option awards</w:t>
      </w:r>
    </w:p>
    <w:p>
      <w:pPr>
        <w:spacing w:after="0" w:line="148" w:lineRule="exact"/>
        <w:rPr>
          <w:sz w:val="20"/>
          <w:szCs w:val="20"/>
          <w:color w:val="auto"/>
        </w:rPr>
      </w:pPr>
    </w:p>
    <w:p>
      <w:pPr>
        <w:ind w:left="460" w:right="479"/>
        <w:spacing w:after="0" w:line="261" w:lineRule="auto"/>
        <w:rPr>
          <w:sz w:val="20"/>
          <w:szCs w:val="20"/>
          <w:color w:val="auto"/>
        </w:rPr>
      </w:pPr>
      <w:r>
        <w:rPr>
          <w:rFonts w:ascii="Times New Roman" w:cs="Times New Roman" w:eastAsia="Times New Roman" w:hAnsi="Times New Roman"/>
          <w:sz w:val="18"/>
          <w:szCs w:val="18"/>
          <w:color w:val="auto"/>
        </w:rPr>
        <w:t>The Company granted options to purchase 200,000 shares of common stock to scientific founders that contain a combination of service- and performance-based vesting conditions based on (i) IND submission and</w:t>
      </w:r>
    </w:p>
    <w:p>
      <w:pPr>
        <w:jc w:val="both"/>
        <w:ind w:left="460" w:right="459" w:hanging="6"/>
        <w:spacing w:after="0" w:line="252" w:lineRule="auto"/>
        <w:tabs>
          <w:tab w:leader="none" w:pos="75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completion of a Phase I clinical study. During the year ended December 31, 2019, fifty percent of the options vested because of the successful submission of the Company’s first investigational drug and the implicit service condition was met. The related stock-based compensation expense recognized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The Company believes the second performance criteria is probable of achievement and has recognized the related stock-based compensation expense over the implicit requisite service period. The related stock-based compensation expenses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statements of operations (in thousands):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gridSpan w:val="3"/>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4"/>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560" w:type="dxa"/>
            <w:vAlign w:val="bottom"/>
          </w:tcPr>
          <w:p>
            <w:pPr>
              <w:spacing w:after="0"/>
              <w:rPr>
                <w:sz w:val="18"/>
                <w:szCs w:val="18"/>
                <w:color w:val="auto"/>
              </w:rPr>
            </w:pPr>
          </w:p>
        </w:tc>
        <w:tc>
          <w:tcPr>
            <w:tcW w:w="1800" w:type="dxa"/>
            <w:vAlign w:val="bottom"/>
            <w:gridSpan w:val="4"/>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35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1"/>
        </w:trPr>
        <w:tc>
          <w:tcPr>
            <w:tcW w:w="35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6"/>
        </w:trPr>
        <w:tc>
          <w:tcPr>
            <w:tcW w:w="35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31"/>
        </w:trPr>
        <w:tc>
          <w:tcPr>
            <w:tcW w:w="3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ind w:left="54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760" w:type="dxa"/>
            <w:vAlign w:val="bottom"/>
          </w:tcPr>
          <w:p>
            <w:pPr>
              <w:spacing w:after="0"/>
              <w:rPr>
                <w:sz w:val="20"/>
                <w:szCs w:val="20"/>
                <w:color w:val="auto"/>
              </w:rPr>
            </w:pPr>
          </w:p>
        </w:tc>
      </w:tr>
      <w:tr>
        <w:trPr>
          <w:trHeight w:val="47"/>
        </w:trPr>
        <w:tc>
          <w:tcPr>
            <w:tcW w:w="3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6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tcBorders>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74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153</w:t>
            </w:r>
          </w:p>
        </w:tc>
        <w:tc>
          <w:tcPr>
            <w:tcW w:w="40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5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740" w:type="dxa"/>
            <w:vAlign w:val="bottom"/>
          </w:tcPr>
          <w:p>
            <w:pPr>
              <w:spacing w:after="0"/>
              <w:rPr>
                <w:sz w:val="22"/>
                <w:szCs w:val="2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144</w:t>
            </w:r>
          </w:p>
        </w:tc>
        <w:tc>
          <w:tcPr>
            <w:tcW w:w="4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7"/>
        </w:trPr>
        <w:tc>
          <w:tcPr>
            <w:tcW w:w="3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4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74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297</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As of December 31, 2019 and September 30, 2020 (unaudited), total unrecognized compensation cost related to the unvested stock-based awards was $1.6 million and $1.4 million, respectively, which is expected to be recognized over a weighted average period of 3.3 and 2.9 years,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2019, the Company recorded no income tax benefit for the net operating losses incurred in each year, due its uncertainty of realizing a benefit from those items and recorded a full valuation allowance on its net deferred tax assets.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using the statutory federal tax rate to that reflected in operations as of December 31, 2018 and 2019 are as follows:</w:t>
      </w:r>
    </w:p>
    <w:p>
      <w:pPr>
        <w:spacing w:after="0" w:line="124"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41275</wp:posOffset>
            </wp:positionV>
            <wp:extent cx="15684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298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8"/>
                <w:szCs w:val="18"/>
                <w:color w:val="auto"/>
              </w:rPr>
            </w:pPr>
          </w:p>
        </w:tc>
      </w:tr>
      <w:tr>
        <w:trPr>
          <w:trHeight w:val="47"/>
        </w:trPr>
        <w:tc>
          <w:tcPr>
            <w:tcW w:w="3560" w:type="dxa"/>
            <w:vAlign w:val="bottom"/>
            <w:tcBorders>
              <w:bottom w:val="single" w:sz="8" w:color="CCEEFF"/>
            </w:tcBorders>
          </w:tcPr>
          <w:p>
            <w:pPr>
              <w:spacing w:after="0"/>
              <w:rPr>
                <w:sz w:val="4"/>
                <w:szCs w:val="4"/>
                <w:color w:val="auto"/>
              </w:rPr>
            </w:pPr>
          </w:p>
        </w:tc>
        <w:tc>
          <w:tcPr>
            <w:tcW w:w="20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0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local taxes, net of federal benefit</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0"/>
        </w:trPr>
        <w:tc>
          <w:tcPr>
            <w:tcW w:w="3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3"/>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40"/>
        </w:trPr>
        <w:tc>
          <w:tcPr>
            <w:tcW w:w="3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84"/>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4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6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2"/>
        </w:trPr>
        <w:tc>
          <w:tcPr>
            <w:tcW w:w="35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color w:val="auto"/>
              </w:rPr>
              <w:t>F-56</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92" w:name="page293"/>
    <w:bookmarkEnd w:id="2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were as follows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7"/>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7"/>
        </w:trPr>
        <w:tc>
          <w:tcPr>
            <w:tcW w:w="4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31"/>
        </w:trPr>
        <w:tc>
          <w:tcPr>
            <w:tcW w:w="4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
        </w:trPr>
        <w:tc>
          <w:tcPr>
            <w:tcW w:w="42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57"/>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7,256</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18,078</w:t>
            </w:r>
          </w:p>
        </w:tc>
      </w:tr>
      <w:tr>
        <w:trPr>
          <w:trHeight w:val="41"/>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739</w:t>
            </w:r>
          </w:p>
        </w:tc>
      </w:tr>
      <w:tr>
        <w:trPr>
          <w:trHeight w:val="27"/>
        </w:trPr>
        <w:tc>
          <w:tcPr>
            <w:tcW w:w="42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8,157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21,476</w:t>
            </w:r>
          </w:p>
        </w:tc>
      </w:tr>
      <w:tr>
        <w:trPr>
          <w:trHeight w:val="23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2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r>
      <w:tr>
        <w:trPr>
          <w:trHeight w:val="228"/>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21,467</w:t>
            </w:r>
          </w:p>
        </w:tc>
        <w:tc>
          <w:tcPr>
            <w:tcW w:w="140" w:type="dxa"/>
            <w:vAlign w:val="bottom"/>
            <w:gridSpan w:val="2"/>
          </w:tcPr>
          <w:p>
            <w:pPr>
              <w:spacing w:after="0"/>
              <w:rPr>
                <w:sz w:val="19"/>
                <w:szCs w:val="19"/>
                <w:color w:val="auto"/>
              </w:rPr>
            </w:pPr>
          </w:p>
        </w:tc>
      </w:tr>
      <w:tr>
        <w:trPr>
          <w:trHeight w:val="36"/>
        </w:trPr>
        <w:tc>
          <w:tcPr>
            <w:tcW w:w="4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5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(8,114)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(21,467)</w:t>
            </w:r>
          </w:p>
        </w:tc>
      </w:tr>
      <w:tr>
        <w:trPr>
          <w:trHeight w:val="24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56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1"/>
                <w:szCs w:val="21"/>
                <w:color w:val="auto"/>
              </w:rPr>
            </w:pPr>
          </w:p>
        </w:tc>
      </w:tr>
      <w:tr>
        <w:trPr>
          <w:trHeight w:val="20"/>
        </w:trPr>
        <w:tc>
          <w:tcPr>
            <w:tcW w:w="4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December 31, 2018, the Company had federal net operating loss carryforwards of $7.6 million that are subject to expire at various dates through 2037, and net operating loss carryforwards of $19.0 million, which have no expiration date, can be carried forward indefinitely, and are limited to a deduction to 80% of annual taxable income. The Company has state tax net operating loss carryforwards of $26.5 million, which may be available to offset future income tax liabilities and expire at various dates through 2037. The Company also has federal and state research and development tax credit carryforwards of $0.4 million and $0.1 million, respectively, which expire at various dates through 2038.</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December 31, 2019, the Company had federal net operating loss carryforwards of $7.6 million that are subject to expire at various dates through 2037, and net operating loss carryforwards of $58.9 million, which have no expiration date, can be carried forward indefinitely, and are limited to a deduction to 80% of annual taxable income. The Company has state tax net operating loss carryforwards of $65.1 million, which may be available to offset future income tax liabilities and expire at various dates through 2039. The Company also has federal and state research and development tax credit carryforwards of $2.1 million and $0.7 million, respectively, which expire at various dates through 2039.</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deferred income tax assets will not be realized. As such, there is a full valuation allowance against the net deferred tax assets as of December 31, 2018 and 2019. The valuation allowance increased by $5.9 million during the year ended December 31, 2018 and $13.4 million during the year ended December 31, 2019 primarily as a result of net operating losses generated during the periods. The Company reevaluates the positive and negative evidence at each reporting period.</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Net operating loss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conducted a study to</w:t>
      </w:r>
    </w:p>
    <w:p>
      <w:pPr>
        <w:spacing w:after="0" w:line="1"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determine if any such changes have occurred that could limit its ability to use the net operating loss and tax credit carryforwards.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3" w:name="page294"/>
    <w:bookmarkEnd w:id="2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Income taxes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 study of research and development credit carryforwards, once undertaken by the Company, may result in an adjustment to its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 or statement of operations if an adjustment is required.</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Company has not recorded any liabilities for unrecognized tax benefits as of December 31, 2018 and 2019. The Company will recognize interest and penalties related to uncertain tax positions in income tax expense. As of December 31, 2018 and 2019, the Company had no accrued interest or penalties related to uncertain tax positions.</w:t>
      </w:r>
    </w:p>
    <w:p>
      <w:pPr>
        <w:spacing w:after="0" w:line="9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Company is subject to U.S. federal income tax and Massachusetts state income tax. The statute of limitations for assessment by the IRS and state tax authorities is open for the tax years since 2016; currently, no federal or state income tax returns are under examination by the respective taxing authorities. However, the federal and state tax returns are subject to tax examination from the year of formation to the present.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passed by the U.S. Congress and signed into law by the President of the U.S. The CARES Act, among other things, includes certain provisions for individuals and corporations; however, these benefits do not impact the company’s income tax provision.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6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attributable to common stockholders of the Company (in thousands, except share and per share amounts):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6"/>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r>
      <w:tr>
        <w:trPr>
          <w:trHeight w:val="212"/>
        </w:trPr>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 September 30,</w:t>
            </w:r>
          </w:p>
        </w:tc>
      </w:tr>
      <w:tr>
        <w:trPr>
          <w:trHeight w:val="47"/>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20"/>
                <w:szCs w:val="20"/>
                <w:color w:val="auto"/>
              </w:rPr>
            </w:pPr>
          </w:p>
        </w:tc>
      </w:tr>
      <w:tr>
        <w:trPr>
          <w:trHeight w:val="47"/>
        </w:trPr>
        <w:tc>
          <w:tcPr>
            <w:tcW w:w="3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gridSpan w:val="5"/>
          </w:tcPr>
          <w:p>
            <w:pPr>
              <w:spacing w:after="0"/>
              <w:rPr>
                <w:sz w:val="4"/>
                <w:szCs w:val="4"/>
                <w:color w:val="auto"/>
              </w:rPr>
            </w:pPr>
          </w:p>
        </w:tc>
      </w:tr>
      <w:tr>
        <w:trPr>
          <w:trHeight w:val="230"/>
        </w:trPr>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46"/>
        </w:trPr>
        <w:tc>
          <w:tcPr>
            <w:tcW w:w="3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84"/>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(20,167)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(41,400)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(31,733)</w:t>
            </w: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(26,522)</w:t>
            </w:r>
          </w:p>
        </w:tc>
      </w:tr>
      <w:tr>
        <w:trPr>
          <w:trHeight w:val="277"/>
        </w:trPr>
        <w:tc>
          <w:tcPr>
            <w:tcW w:w="3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5"/>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4,811,641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5,171,537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5,133,773</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5,507,900</w:t>
            </w:r>
          </w:p>
        </w:tc>
      </w:tr>
      <w:tr>
        <w:trPr>
          <w:trHeight w:val="277"/>
        </w:trPr>
        <w:tc>
          <w:tcPr>
            <w:tcW w:w="3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Company’s unvested restricted common shares have been excluded from the computation of basic net loss per share attributable to common stockholders.</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options, unvested restricted stock, convertible preferred stock and warrants to purchase convertible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4" w:name="page295"/>
    <w:bookmarkEnd w:id="2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Net loss per share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21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3580" w:type="dxa"/>
            <w:vAlign w:val="bottom"/>
          </w:tcPr>
          <w:p>
            <w:pPr>
              <w:spacing w:after="0"/>
              <w:rPr>
                <w:sz w:val="18"/>
                <w:szCs w:val="18"/>
                <w:color w:val="auto"/>
              </w:rPr>
            </w:pPr>
          </w:p>
        </w:tc>
        <w:tc>
          <w:tcPr>
            <w:tcW w:w="21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7"/>
        </w:trPr>
        <w:tc>
          <w:tcPr>
            <w:tcW w:w="3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30"/>
        </w:trPr>
        <w:tc>
          <w:tcPr>
            <w:tcW w:w="3580" w:type="dxa"/>
            <w:vAlign w:val="bottom"/>
          </w:tcPr>
          <w:p>
            <w:pPr>
              <w:spacing w:after="0"/>
              <w:rPr>
                <w:sz w:val="20"/>
                <w:szCs w:val="20"/>
                <w:color w:val="auto"/>
              </w:rPr>
            </w:pPr>
          </w:p>
        </w:tc>
        <w:tc>
          <w:tcPr>
            <w:tcW w:w="9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108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20"/>
                <w:szCs w:val="20"/>
                <w:color w:val="auto"/>
              </w:rPr>
            </w:pPr>
          </w:p>
        </w:tc>
        <w:tc>
          <w:tcPr>
            <w:tcW w:w="10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7"/>
        </w:trPr>
        <w:tc>
          <w:tcPr>
            <w:tcW w:w="3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360" w:type="dxa"/>
            <w:vAlign w:val="bottom"/>
            <w:tcBorders>
              <w:bottom w:val="single" w:sz="8" w:color="auto"/>
            </w:tcBorders>
            <w:gridSpan w:val="3"/>
          </w:tcPr>
          <w:p>
            <w:pPr>
              <w:spacing w:after="0"/>
              <w:rPr>
                <w:sz w:val="4"/>
                <w:szCs w:val="4"/>
                <w:color w:val="auto"/>
              </w:rPr>
            </w:pPr>
          </w:p>
        </w:tc>
      </w:tr>
      <w:tr>
        <w:trPr>
          <w:trHeight w:val="231"/>
        </w:trPr>
        <w:tc>
          <w:tcPr>
            <w:tcW w:w="3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3"/>
          </w:tcPr>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tc>
      </w:tr>
      <w:tr>
        <w:trPr>
          <w:trHeight w:val="46"/>
        </w:trPr>
        <w:tc>
          <w:tcPr>
            <w:tcW w:w="3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(as converted to</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55"/>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39,722,088</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39,722,088</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39,722,088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39,722,088</w:t>
            </w: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preferred stock (as converted to</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9,916,375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9,102,345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24,790,938</w:t>
            </w:r>
          </w:p>
        </w:tc>
      </w:tr>
      <w:tr>
        <w:trPr>
          <w:trHeight w:val="40"/>
        </w:trPr>
        <w:tc>
          <w:tcPr>
            <w:tcW w:w="3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63"/>
        </w:trPr>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694,150</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428,657</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495,032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229,532</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6,782,422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8,540,318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7,610,107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8,123,997</w:t>
            </w:r>
          </w:p>
        </w:tc>
      </w:tr>
      <w:tr>
        <w:trPr>
          <w:trHeight w:val="41"/>
        </w:trPr>
        <w:tc>
          <w:tcPr>
            <w:tcW w:w="3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to purchase shares of Series A</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6"/>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(as converted to common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5"/>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0"/>
        </w:trPr>
        <w:tc>
          <w:tcPr>
            <w:tcW w:w="3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43"/>
        </w:trPr>
        <w:tc>
          <w:tcPr>
            <w:tcW w:w="35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47,198,660</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58,677,438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56,999,572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72,936,555</w:t>
            </w:r>
          </w:p>
        </w:tc>
      </w:tr>
      <w:tr>
        <w:trPr>
          <w:trHeight w:val="20"/>
        </w:trPr>
        <w:tc>
          <w:tcPr>
            <w:tcW w:w="3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December 31, 2019, the Company has several ongoing clinical studies in various clinical trial stages. Its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has an operating lease agreement for its office and laboratory space, which commenced in June 2018 and extends for five years through May 2023. The lease agreement includes annual rent escalations throughout the term of the lease, which the Company records total expense on a straight-line basis over the term of the lease agreement. The lease required the Company to provide a security deposit in the amount of $223 thousand. The Company provided the landlord an irrevocable standby letter of credit in the name of the landlord for its security deposit and collateralized that letter of credit through its bank, which is included on the balance sheets as restricted cash. The Company is also required to pay certain operating costs. Rent expense for the years ended December 31, 2018 and 2019 and for the nine months ended September 30, 2019 and 2020 (unaudited) was $827 thousand, $964 thousand, $723 thousand and $899 thousand, respectively.</w:t>
      </w:r>
    </w:p>
    <w:p>
      <w:pPr>
        <w:spacing w:after="0" w:line="10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Minimum annual rent payments under this lease for the remaining term, excluding operating expenses and taxes which are not fixed for future periods as of December 31, 2019, are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0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5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5" w:name="page296"/>
    <w:bookmarkEnd w:id="2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2018 License Agreement as of December 31, 2018 and 2019, and September 30, 2020 (unaudited).</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2019 License Agreement as of December 31, 2018 and 2019, and September 30, 2020 (unaudited).</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December 31, 2018 and 2019, and September 30, 2020 (unaudited), do not include liabilities with respect to this agreement as the Company has not yet generated revenue and the achievement of certain milestones is not probable.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6" w:name="page297"/>
    <w:bookmarkEnd w:id="2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financial statements as of December 31, 2018 or 2019, or September 30, 2020 (unaudited).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in the ordinary course of business. As of December 31, 2018 and 2019, and September 30, 2020 (unaudited), the Company was not a party to any material legal matters or claims.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 Benefit plans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Prior to 2019, matching contributions to the plan were made at the discretion of the Company’s management. During the year ended December 31, 2018, the Company contributed a discretionary match of $33 thousand. Beginning in 2019, the Company provides contributions equal to fifty percent (50%) up to six percent (6%) of each participant’s salary. Employees are immediately and fully vested in the Company’s contribution. During the year ended December 31, 2019 and the nine months ended September 30, 2019 and 2020 (unaudited), the Company contributed $124 thousand, $96 thousand and $103 thousand to the plan, respectively.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Company engaged a firm managed by an executive of the Company for professional services related to accounting, finance and other administrative functions. For the nine months ended September 30, 2020, the costs incurred under this arrangement totaled $366 thousand, which was recorded as general and administrative expense in the accompanying statement of operations. As of September 30, 2020, amounts owed under this arrangement totaled $322 thousand and is included in accounts payable in the accompanying balance sheet.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Company has evaluated subsequent events through October 30, 2020, the issuance date of its financial statements as of December 31, 2019, to ensure that these financial statements include appropriate disclosure of events both recognized in the financial statements as of December 31, 2019, and events which occurred subsequently but were not recognized in the financial statements. The Company has concluded that no events or transactions have occurred that require disclosure in the accompanying financial statements, except as follows: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B preferred stock financing</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January 21, 2020, the Company issued 14,874,563 shares of Series B preferred stock at a price of $1.3513 per share in exchange for net proceeds of $20.1 million.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Deferral of principal payments due under term loan facility</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April 7, 2020, the Company entered into a deferral agreement with Silicon Valley Bank to defer scheduled principal repayments on its term loan by six months. The deferral agreement was offered to the Company in connection with SVB’s venture debt relief initiative, which was started due to the COVID-19 pandemic. Refer to Note 6 for further details.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promissory notes</w:t>
      </w:r>
    </w:p>
    <w:p>
      <w:pPr>
        <w:spacing w:after="0" w:line="16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August 21, 2020, the Company entered into a purchase agreement with various investors to issue $14,000,000 in convertible promissory notes (the “Notes”). The Notes accrue simple interest at 8% per annum and mature on February 21,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7" w:name="page298"/>
    <w:bookmarkEnd w:id="2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16. Subsequent events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2021. If the Notes remain outstanding at the maturity date, the principal and unpaid interest of the Notes will automatically be converted into Series B Preferred Stock at $1.3513 per share on the maturity date.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Notes served as a bridge loan prior to a PIPE transaction in connection with the proposed merger of the Company and FS Development Corp. The Notes were intended to automatically convert into common stock shares issued in the PIPE at a per share conversion price equal to the lowest per share price paid for such shares of common stock in the PIPE. Per the definitive business combination agreement, the Notes will be amended to allow for the principal and interest to be converted into Series B Preferred Stock at the per share conversion price of $1.3513 prior to the closing of the merger.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Merger of FS Development and Gemini</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On October 15, 2020, Gemini executed a definitive business combination agreement between it and FS Development Corp. As a result of the proposed business combination, FS Development Corp. will be renamed to Gemini Therapeutics, Inc., or Combined Entity, and Gemini will become a wholly owned subsidiary of Combined Entity. Upon the completion of the proposed business combination transaction, the shareholders of Gemini will exchange their interests in Gemini for shares of common stock of Combined Entity. In addition, Gemini’s existing equity incentive plan will be terminated; awards issued under Gemini’s existing equity incentive plan will be exchanged for awards issued under a new equity incentive plan to be adopted by Combined Entity. Lastly, immediately after the completion of the Business Combination, certain investors have agreed to subscribe for and purchase an aggregate of $95.1 million of common stock of Combined Entity. The combined company is expected to receive net proceeds of approximately $191.2 million at the closing of the transaction (assuming no redemptions are effected by shareholders of FS Development Corp.) and will continue to operate under the Gemini management team, led by chief executive officer Jason Meyenburg. The boards of directors of both FS Development Corp. and Gemini have approved the proposed transaction. Completion of the transaction, which is expected by the first quarter of 2021, is subject to approval of FS Development Corp.’s shareholders and the satisfaction or waiver of certain other customary closing conditions.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 Grants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October 2020, the Company granted under the 2017 Plan 3,965,552 stock options to fourteen (14) individuals, which included employees, executives, board members and one non-employee executive deemed to be a related party. Such stock options were issued with an exercise price of $1.66 per share and a grant date fair value per share of $1.12. The stock option awards vest in accordance with terms typically granted under the 2017 Plan. The Company will record equity-based compensation expense of $4.4 million related to the grant over the vesting term.</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 Subsequent events (unaudited)</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the Company’s interim financial statements as of September 30, 2020 and for the nine months then ended, it evaluated subsequent events through December 7, 2020, the date on which those interim financial statements were issued.</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 Option Grant</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December 2020, the Company granted under the 2017 Plan 306,222 stock options to an employee with an exercise price of $1.66 per share and a grant date fair value per share of $1.12. The stock option award vests in accordance with terms typically granted under the 2017 Plan. The Company will record equity-based compensation expense of $0.3 million related to the grant over the vesting term.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8" w:name="page299"/>
    <w:bookmarkEnd w:id="2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15, 2020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Shareholder Representative Services LLC, as the Stockholders’ Representative,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274320</wp:posOffset>
            </wp:positionV>
            <wp:extent cx="51435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9" w:name="page300"/>
    <w:bookmarkEnd w:id="299"/>
    <w:p>
      <w:pPr>
        <w:spacing w:after="0" w:line="25"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63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362"/>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7"/>
        </w:trPr>
        <w:tc>
          <w:tcPr>
            <w:tcW w:w="7280" w:type="dxa"/>
            <w:vAlign w:val="bottom"/>
            <w:tcBorders>
              <w:bottom w:val="single" w:sz="8" w:color="CCEEFF"/>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Merger Effective Time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the Merger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Tax Treatment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Closing; Effective Time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of Directors of Parent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2.9</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Further Ownership Rights in Company Securities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2.10</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Appraisal Rights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[INTENTIONALLY OMITTED]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CONSIDERATION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 of Company Securities; Convertible Notes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A-14</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4.2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Fractional 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A-15</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Records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A-17</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Subsidiaries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Books and Records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Internal Accounting Controls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Properties; Title to the Company’s Assets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A-19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Licenses and Permits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A-20</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Compliance with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5.18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A-21</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5.19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FDA</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Affiliate Loans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Employees; Employment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A-24</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Benefits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A-25</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00" cy="5715"/>
                    </a:xfrm>
                    <a:prstGeom prst="rect">
                      <a:avLst/>
                    </a:prstGeom>
                    <a:noFill/>
                  </pic:spPr>
                </pic:pic>
              </a:graphicData>
            </a:graphic>
          </wp:anchor>
        </w:drawing>
      </w:r>
    </w:p>
    <w:p>
      <w:pPr>
        <w:sectPr>
          <w:pgSz w:w="11900" w:h="16864" w:orient="portrait"/>
          <w:cols w:equalWidth="0" w:num="1">
            <w:col w:w="9019"/>
          </w:cols>
          <w:pgMar w:left="1440" w:top="270" w:right="1440" w:bottom="0" w:gutter="0" w:footer="0" w:header="0"/>
        </w:sectPr>
      </w:pPr>
    </w:p>
    <w:bookmarkStart w:id="300" w:name="page301"/>
    <w:bookmarkEnd w:id="3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0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0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7"/>
        </w:trPr>
        <w:tc>
          <w:tcPr>
            <w:tcW w:w="900" w:type="dxa"/>
            <w:vAlign w:val="bottom"/>
            <w:tcBorders>
              <w:bottom w:val="single" w:sz="8" w:color="CCEEFF"/>
            </w:tcBorders>
          </w:tcPr>
          <w:p>
            <w:pPr>
              <w:spacing w:after="0"/>
              <w:rPr>
                <w:sz w:val="4"/>
                <w:szCs w:val="4"/>
                <w:color w:val="auto"/>
              </w:rPr>
            </w:pPr>
          </w:p>
        </w:tc>
        <w:tc>
          <w:tcPr>
            <w:tcW w:w="63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A-27</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Environmental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Finders’ Fees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Powers of Attorney and Suretyships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5.29</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and Officers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5.30</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REPRESENTATIONS AND WARRANTIES OF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Authorization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Governmental Authorization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Non-Contravention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A-29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Finders’ Fees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Shares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Information Supplied</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6.9</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Fund</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6.10</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Listing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Approval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Parent SEC Documents and Financial Statements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Business Practices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A-31</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Anti-Money Laundering Laws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6.15</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 Transactions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6.16</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6.17</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 Indebtedness and Other Liabilities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6.18</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A-32</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COVENANTS OF THE PARTIES PENDING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A-33</w:t>
            </w:r>
          </w:p>
        </w:tc>
      </w:tr>
      <w:tr>
        <w:trPr>
          <w:trHeight w:val="283"/>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Conduct of the Business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A-33</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Exclusivity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7.3</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Access to Information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A-35</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7.4</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A-36</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7.5</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Cooperation with Form S-4/Proxy Statement; Other Filings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A-36</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7.6</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Trust Account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7.7</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7.8</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Private Placement, Parent Support Agreements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1"/>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COVENANTS OF THE COMPANY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9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8.1</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Reporting; Compliance with Laws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8.2</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Commercially Reasonable Efforts to Obtain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8.3</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Stockholders Approval</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A-38</w:t>
            </w:r>
          </w:p>
        </w:tc>
      </w:tr>
      <w:tr>
        <w:trPr>
          <w:trHeight w:val="41"/>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8.4</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280G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84"/>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COVENANTS OF ALL PARTIES HERETO</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84"/>
        </w:trPr>
        <w:tc>
          <w:tcPr>
            <w:tcW w:w="9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9.1</w:t>
            </w: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Commercially Reasonable Efforts; Further Assurances; Governmental Consents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A-39</w:t>
            </w:r>
          </w:p>
        </w:tc>
      </w:tr>
      <w:tr>
        <w:trPr>
          <w:trHeight w:val="243"/>
        </w:trPr>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9.2</w:t>
            </w: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40"/>
        </w:trPr>
        <w:tc>
          <w:tcPr>
            <w:tcW w:w="900" w:type="dxa"/>
            <w:vAlign w:val="bottom"/>
          </w:tcPr>
          <w:p>
            <w:pPr>
              <w:spacing w:after="0"/>
              <w:rPr>
                <w:sz w:val="3"/>
                <w:szCs w:val="3"/>
                <w:color w:val="auto"/>
              </w:rPr>
            </w:pPr>
          </w:p>
        </w:tc>
        <w:tc>
          <w:tcPr>
            <w:tcW w:w="63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9.3</w:t>
            </w: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Directors’ and Officers’ Indemnification and Liability Insurance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A-40</w:t>
            </w:r>
          </w:p>
        </w:tc>
      </w:tr>
      <w:tr>
        <w:trPr>
          <w:trHeight w:val="41"/>
        </w:trPr>
        <w:tc>
          <w:tcPr>
            <w:tcW w:w="900" w:type="dxa"/>
            <w:vAlign w:val="bottom"/>
            <w:shd w:val="clear" w:color="auto" w:fill="CCEEFF"/>
          </w:tcPr>
          <w:p>
            <w:pPr>
              <w:spacing w:after="0"/>
              <w:rPr>
                <w:sz w:val="3"/>
                <w:szCs w:val="3"/>
                <w:color w:val="auto"/>
              </w:rPr>
            </w:pPr>
          </w:p>
        </w:tc>
        <w:tc>
          <w:tcPr>
            <w:tcW w:w="6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sectPr>
      </w:pPr>
    </w:p>
    <w:bookmarkStart w:id="301" w:name="page302"/>
    <w:bookmarkEnd w:id="3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94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Annex A</w:t>
            </w:r>
          </w:p>
        </w:tc>
      </w:tr>
      <w:tr>
        <w:trPr>
          <w:trHeight w:val="212"/>
        </w:trPr>
        <w:tc>
          <w:tcPr>
            <w:tcW w:w="9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Page No.</w:t>
            </w:r>
          </w:p>
        </w:tc>
      </w:tr>
      <w:tr>
        <w:trPr>
          <w:trHeight w:val="47"/>
        </w:trPr>
        <w:tc>
          <w:tcPr>
            <w:tcW w:w="940" w:type="dxa"/>
            <w:vAlign w:val="bottom"/>
            <w:tcBorders>
              <w:bottom w:val="single" w:sz="8" w:color="CCEEFF"/>
            </w:tcBorders>
          </w:tcPr>
          <w:p>
            <w:pPr>
              <w:spacing w:after="0"/>
              <w:rPr>
                <w:sz w:val="4"/>
                <w:szCs w:val="4"/>
                <w:color w:val="auto"/>
              </w:rPr>
            </w:pPr>
          </w:p>
        </w:tc>
        <w:tc>
          <w:tcPr>
            <w:tcW w:w="63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4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Nasdaq Listing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Tax Matters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9.6</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Incentive Plan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CONDITIONS TO CLOSING</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84"/>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 to the Obligations of the Parties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Obligations of Parent and Merger Sub</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A-42</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10.3</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Conditions to Obligations of the Company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A-43</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INDEMNIFICATION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84"/>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Indemnification of Parent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Procedure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A-44</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11.3</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Escrow of Escrow Shares by Escrow Participants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A-45</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11.4</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Indemnification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11.5</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11.6</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Survival of Indemnification Rights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A-46</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11.7</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Sole and Exclusive Remedy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83"/>
        </w:trPr>
        <w:tc>
          <w:tcPr>
            <w:tcW w:w="728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7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 DISPUTE RESOLUTION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84"/>
        </w:trPr>
        <w:tc>
          <w:tcPr>
            <w:tcW w:w="94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12.1</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Arbitration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A-47</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12.2</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Jury Trial; Exemplary Damages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940" w:type="dxa"/>
            <w:vAlign w:val="bottom"/>
            <w:shd w:val="clear" w:color="auto" w:fill="CCEEFF"/>
          </w:tcPr>
          <w:p>
            <w:pPr>
              <w:spacing w:after="0"/>
              <w:rPr>
                <w:sz w:val="24"/>
                <w:szCs w:val="24"/>
                <w:color w:val="auto"/>
              </w:rPr>
            </w:pPr>
          </w:p>
        </w:tc>
        <w:tc>
          <w:tcPr>
            <w:tcW w:w="6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Without Default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 Upon Default</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A-48</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Termination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72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7280" w:type="dxa"/>
            <w:vAlign w:val="bottom"/>
            <w:gridSpan w:val="2"/>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MISCELLANEOUS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4"/>
        </w:trPr>
        <w:tc>
          <w:tcPr>
            <w:tcW w:w="940" w:type="dxa"/>
            <w:vAlign w:val="bottom"/>
            <w:shd w:val="clear" w:color="auto" w:fill="CCEEFF"/>
          </w:tcPr>
          <w:p>
            <w:pPr>
              <w:spacing w:after="0"/>
              <w:rPr>
                <w:sz w:val="24"/>
                <w:szCs w:val="24"/>
                <w:color w:val="auto"/>
              </w:rPr>
            </w:pPr>
          </w:p>
        </w:tc>
        <w:tc>
          <w:tcPr>
            <w:tcW w:w="6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A-49</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Amendments; No Waivers; Remedies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Arm’s Length Bargaining; No Presumption Against Drafter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Publicity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A-50</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14.6</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Assignment or Delegation</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14.7</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14.8</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Counterparts; Facsimile Signatures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14.9</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14.10</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14.11</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3"/>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14.12</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14.13</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40"/>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64"/>
        </w:trPr>
        <w:tc>
          <w:tcPr>
            <w:tcW w:w="94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14.14</w:t>
            </w:r>
          </w:p>
        </w:tc>
        <w:tc>
          <w:tcPr>
            <w:tcW w:w="6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Stockholders’ Representative</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A-51</w:t>
            </w:r>
          </w:p>
        </w:tc>
      </w:tr>
      <w:tr>
        <w:trPr>
          <w:trHeight w:val="243"/>
        </w:trPr>
        <w:tc>
          <w:tcPr>
            <w:tcW w:w="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14.15</w:t>
            </w:r>
          </w:p>
        </w:tc>
        <w:tc>
          <w:tcPr>
            <w:tcW w:w="6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Non-Recourse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A-52</w:t>
            </w:r>
          </w:p>
        </w:tc>
      </w:tr>
      <w:tr>
        <w:trPr>
          <w:trHeight w:val="41"/>
        </w:trPr>
        <w:tc>
          <w:tcPr>
            <w:tcW w:w="940" w:type="dxa"/>
            <w:vAlign w:val="bottom"/>
          </w:tcPr>
          <w:p>
            <w:pPr>
              <w:spacing w:after="0"/>
              <w:rPr>
                <w:sz w:val="3"/>
                <w:szCs w:val="3"/>
                <w:color w:val="auto"/>
              </w:rPr>
            </w:pPr>
          </w:p>
        </w:tc>
        <w:tc>
          <w:tcPr>
            <w:tcW w:w="63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3"/>
        </w:trPr>
        <w:tc>
          <w:tcPr>
            <w:tcW w:w="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14.16</w:t>
            </w:r>
          </w:p>
        </w:tc>
        <w:tc>
          <w:tcPr>
            <w:tcW w:w="6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 Other Representations; No Reliance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A-53</w:t>
            </w:r>
          </w:p>
        </w:tc>
      </w:tr>
      <w:tr>
        <w:trPr>
          <w:trHeight w:val="41"/>
        </w:trPr>
        <w:tc>
          <w:tcPr>
            <w:tcW w:w="940" w:type="dxa"/>
            <w:vAlign w:val="bottom"/>
            <w:shd w:val="clear" w:color="auto" w:fill="CCEEFF"/>
          </w:tcPr>
          <w:p>
            <w:pPr>
              <w:spacing w:after="0"/>
              <w:rPr>
                <w:sz w:val="3"/>
                <w:szCs w:val="3"/>
                <w:color w:val="auto"/>
              </w:rPr>
            </w:pPr>
          </w:p>
        </w:tc>
        <w:tc>
          <w:tcPr>
            <w:tcW w:w="6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893" w:gutter="0" w:footer="0" w:header="0"/>
        </w:sectPr>
      </w:pPr>
    </w:p>
    <w:bookmarkStart w:id="302" w:name="page303"/>
    <w:bookmarkEnd w:id="302"/>
    <w:p>
      <w:pPr>
        <w:ind w:left="460"/>
        <w:spacing w:after="0"/>
        <w:rPr>
          <w:rFonts w:ascii="Times New Roman" w:cs="Times New Roman" w:eastAsia="Times New Roman" w:hAnsi="Times New Roman"/>
          <w:sz w:val="17"/>
          <w:szCs w:val="17"/>
          <w:u w:val="single" w:color="auto"/>
          <w:color w:val="0000EE"/>
        </w:rPr>
      </w:pPr>
      <w:hyperlink w:anchor="page11">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9019"/>
          </w:cols>
          <w:pgMar w:left="1440" w:top="270" w:right="1440" w:bottom="1440" w:gutter="0" w:footer="0" w:header="0"/>
        </w:sectPr>
      </w:pP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A</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B</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F</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G</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H</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I</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J</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K</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L</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Exhibit M</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Exhibit 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Support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Support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Escrow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Parent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Bylaws of Parent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Equity Incentive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FIRPTA Certificate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Lockup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Merger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representation Letters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representation Letters</w:t>
      </w:r>
    </w:p>
    <w:p>
      <w:pPr>
        <w:spacing w:after="0" w:line="200" w:lineRule="exact"/>
        <w:rPr>
          <w:sz w:val="20"/>
          <w:szCs w:val="20"/>
          <w:color w:val="auto"/>
        </w:rPr>
      </w:pPr>
    </w:p>
    <w:p>
      <w:pPr>
        <w:sectPr>
          <w:pgSz w:w="11900" w:h="16838" w:orient="portrait"/>
          <w:cols w:equalWidth="0" w:num="2">
            <w:col w:w="1180" w:space="520"/>
            <w:col w:w="7319"/>
          </w:cols>
          <w:pgMar w:left="1440" w:top="270" w:right="1440"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Company Disclosure Schedules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Parent Disclosure Schedules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3" w:name="page304"/>
    <w:bookmarkEnd w:id="3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AGREEMENT AND PLAN OF MERGER, dated as of October 15,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agent and attorney-in-fact of the Company Securityholders (the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WITNESETH:</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 The Company is in the business of therapeutic drug development and commercialization and related activities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C. The Company Securityholders are listed on </w:t>
      </w:r>
      <w:r>
        <w:rPr>
          <w:rFonts w:ascii="Times New Roman" w:cs="Times New Roman" w:eastAsia="Times New Roman" w:hAnsi="Times New Roman"/>
          <w:sz w:val="18"/>
          <w:szCs w:val="18"/>
          <w:u w:val="single" w:color="auto"/>
          <w:color w:val="auto"/>
        </w:rPr>
        <w:t>the Capitalization Schedule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5.5(a)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and own 100% of the issued and outstanding Company Securities;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after which the Company will be the surviving company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 wholly-owned subsidiary of Parent and Parent shall change its name to “Gemini Therapeutics, Inc.”;</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E. Contemporaneously with the execution of, and as a condition and an inducement to Parent and the Company entering into this Agreement, Company Securityholders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Specified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Securityholders</w:t>
      </w:r>
      <w:r>
        <w:rPr>
          <w:rFonts w:ascii="Times New Roman" w:cs="Times New Roman" w:eastAsia="Times New Roman" w:hAnsi="Times New Roman"/>
          <w:sz w:val="18"/>
          <w:szCs w:val="18"/>
          <w:color w:val="auto"/>
        </w:rPr>
        <w:t xml:space="preserve">”)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pursuant to which each of the Specified Company Securityholders has agreed to vote in favor of this Agreement and the Merger;</w:t>
      </w:r>
    </w:p>
    <w:p>
      <w:pPr>
        <w:spacing w:after="0" w:line="1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F. Contemporaneously with the execution of, and as a condition and an inducement to Parent and the Company entering into this Agreement, the Specified Company Securityholders and certain other Company Securityholders and third parties have entered into subscription agreements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pursuant to which, at the Closing, such Persons have agreed, subject to the terms and conditions set forth therein, to subscribe for and purchase shares of Parent Class A Common Stock at a purchase price of $10.00 per share, for an aggregate cash amount of $95,000,000 (the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G. The Subscription Agreements entered into by the Specified Company Securityholders represent an aggregate portion of the Private Placement equal to $15,600,000;</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H. Contemporaneously with the execution of, and as a condition and an inducement to Parent and the Company entering into this Agreement, specified stockholders of Parent are entering into and delivering Support Agreements,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Parent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each such Parent stockholder has agreed (x) not to transfer or redeem any shares of Parent Common Stock held by such Parent stockholder and (y) to vote in favor of this Agreement and the Merger at the Parent Stockholder Meeting; and</w:t>
      </w:r>
    </w:p>
    <w:p>
      <w:pPr>
        <w:spacing w:after="0" w:line="10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I. The Company’s Board of Directors has unanimously (i) approved and declared advisable this Agreement and the transactions contemplated by this Agreement and the Additional Agreements to which the Company is or will be party, including the Merger, on the terms and subject to the conditions set forth herein,</w:t>
      </w:r>
    </w:p>
    <w:p>
      <w:pPr>
        <w:spacing w:after="0" w:line="1" w:lineRule="exact"/>
        <w:rPr>
          <w:sz w:val="20"/>
          <w:szCs w:val="20"/>
          <w:color w:val="auto"/>
        </w:rPr>
      </w:pPr>
    </w:p>
    <w:p>
      <w:pPr>
        <w:jc w:val="both"/>
        <w:ind w:left="460" w:right="459" w:hanging="6"/>
        <w:spacing w:after="0" w:line="253" w:lineRule="auto"/>
        <w:tabs>
          <w:tab w:leader="none" w:pos="7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this Agreement and such transactions are fair to, and in the best interests of, the Company and the Company Stockholders and (iii) resolved to recommend that the Company Stockholders approve the Merger and such other transactions and adopt this Agreement and the Additional Agreements to which the Company is or will be a party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4" w:name="page305"/>
    <w:bookmarkEnd w:id="3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legal action, litigation, suit, claim, hearing or proceeding, including any audit, claim or assessment for Taxes or otherwise, by or before any Authority.</w:t>
      </w:r>
    </w:p>
    <w:p>
      <w:pPr>
        <w:spacing w:after="0" w:line="8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Agreements</w:t>
      </w:r>
      <w:r>
        <w:rPr>
          <w:rFonts w:ascii="Times New Roman" w:cs="Times New Roman" w:eastAsia="Times New Roman" w:hAnsi="Times New Roman"/>
          <w:sz w:val="18"/>
          <w:szCs w:val="18"/>
          <w:color w:val="auto"/>
        </w:rPr>
        <w:t xml:space="preserve">” means the Voting Agreement, substantially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Registration Rights Agreement, the Escrow Agreement, the Company Support Agreements, the Subscription Agreements, the Parent Support Agreements, and the Lockup Agreement.</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“Affiliate” shall also include, with respect to any individual natural Person, (a) such Peron’s a spouse, Parent, lineal descendant, sibling, aunt, uncle, niece, nephew, mother-in-law, father-in-law, sister-in-law, or brother-in-law or (b) a trust for the benefit of such Person and/or the individuals described in the foregoing clause (a) or of which such Person is a trustee.</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5.32</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Transaction Proceeds</w:t>
      </w:r>
      <w:r>
        <w:rPr>
          <w:rFonts w:ascii="Times New Roman" w:cs="Times New Roman" w:eastAsia="Times New Roman" w:hAnsi="Times New Roman"/>
          <w:sz w:val="18"/>
          <w:szCs w:val="18"/>
          <w:color w:val="auto"/>
        </w:rPr>
        <w:t xml:space="preserve">” means an amount equal to (a)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of (i) the aggregate cash proceeds available for release to Parent from the Trust Fund in connection with the transactions contemplated hereby (net of the Parent Redemption Amount);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aggregate cash proceeds actually received by Parent on the Closing Date in respect of the Private Placement,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Unpaid Parent Liabilities.</w:t>
      </w:r>
    </w:p>
    <w:p>
      <w:pPr>
        <w:spacing w:after="0" w:line="1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means any governmental, regulatory or administrative body, agency or authority, any court or judicial authority, any arbitrator, or any public, private or industry regulatory authority, whether international, national, foreign, Federal, state, or local.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9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 legal holiday on which commercial banking institutions in New York, New York are authorized to close for business.</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Schedule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Schedule 4.1(j)</w:t>
      </w:r>
      <w:r>
        <w:rPr>
          <w:rFonts w:ascii="Times New Roman" w:cs="Times New Roman" w:eastAsia="Times New Roman" w:hAnsi="Times New Roman"/>
          <w:sz w:val="18"/>
          <w:szCs w:val="18"/>
          <w:color w:val="auto"/>
        </w:rPr>
        <w:t>, as updated as contemplated herein.</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5" w:name="page306"/>
    <w:bookmarkEnd w:id="3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Consideration Conversion Ratio</w:t>
      </w:r>
      <w:r>
        <w:rPr>
          <w:rFonts w:ascii="Times New Roman" w:cs="Times New Roman" w:eastAsia="Times New Roman" w:hAnsi="Times New Roman"/>
          <w:sz w:val="18"/>
          <w:szCs w:val="18"/>
          <w:color w:val="auto"/>
        </w:rPr>
        <w:t>” shall mean a number of Parent Class A Shares equal to the quotient obtained by dividing (a) the Closing Payment Shares; by (b) the Fully Diluted Company Shares, in each case, as listed on the Capitalization Schedule delivered prior to Closing.</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Payment Shares</w:t>
      </w:r>
      <w:r>
        <w:rPr>
          <w:rFonts w:ascii="Times New Roman" w:cs="Times New Roman" w:eastAsia="Times New Roman" w:hAnsi="Times New Roman"/>
          <w:sz w:val="18"/>
          <w:szCs w:val="18"/>
          <w:color w:val="auto"/>
        </w:rPr>
        <w:t>” means an aggregate number of Parent Class A Shares, which for the avoidance of doubt is inclusive of the Escrow Shares, equal to the difference between (a) 21,500,000 Parent Class A Shares; minus (b) a number of Parent Class A Shares equal to one half (1/2) of the initial unallocated shares of Parent Class A Stock reserved for issuance under the Parent Equity Incentive Plan (which shall not exceed two and one-half percent (2.5%) of the issued and outstanding Parent Class A Shares as of immediately following the Effective Time as set forth in the Capitalization Schedule delivered prior to Closing (and approved by Parent, such approval not to be unreasonably withheld, conditioned or delayed)).</w:t>
      </w:r>
    </w:p>
    <w:p>
      <w:pPr>
        <w:spacing w:after="0" w:line="108"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means collectively, the requirements of Sections 601 through 606 of ERISA and Section 4980B of the Code.</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means Company Common Stock, Company Series A Preferred Stock and Company Series B Preferred Stock.</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Certificate of Incorporation</w:t>
      </w:r>
      <w:r>
        <w:rPr>
          <w:rFonts w:ascii="Times New Roman" w:cs="Times New Roman" w:eastAsia="Times New Roman" w:hAnsi="Times New Roman"/>
          <w:sz w:val="18"/>
          <w:szCs w:val="18"/>
          <w:color w:val="auto"/>
        </w:rPr>
        <w:t>” means the Third Amended and Restated Certificate of Incorporation of the Company, as filed on or about September 26, 2019 with the Secretary of State of the State of Delaware pursuant to the DGCL.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common stock of the Company, par value $0.001 per share.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of the Company set forth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each option to purchase Company Common Stock granted, and that remains outstanding, under the Equity Incentive Plans.</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means any outstanding shares of Company Capital Stock that are unvested or subject to a risk of forfeiture or repurchase option in favor of the Company.</w:t>
      </w:r>
    </w:p>
    <w:p>
      <w:pPr>
        <w:spacing w:after="0" w:line="9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means the Company Common Stock, the Company Preferred Stock, the Company Options and the Company Warrant.</w:t>
      </w:r>
    </w:p>
    <w:p>
      <w:pPr>
        <w:spacing w:after="0" w:line="8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Securityholder</w:t>
      </w:r>
      <w:r>
        <w:rPr>
          <w:rFonts w:ascii="Times New Roman" w:cs="Times New Roman" w:eastAsia="Times New Roman" w:hAnsi="Times New Roman"/>
          <w:sz w:val="18"/>
          <w:szCs w:val="18"/>
          <w:color w:val="auto"/>
        </w:rPr>
        <w:t>” means each Person who holds Company Securities immediately prior to the Effective Time, each of which is listed on the Capitalization Schedule delivered prior to Closing.</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A Preferred Stock</w:t>
      </w:r>
      <w:r>
        <w:rPr>
          <w:rFonts w:ascii="Times New Roman" w:cs="Times New Roman" w:eastAsia="Times New Roman" w:hAnsi="Times New Roman"/>
          <w:sz w:val="18"/>
          <w:szCs w:val="18"/>
          <w:color w:val="auto"/>
        </w:rPr>
        <w:t>” means the series A preferred stock of the Company, par value $0.0001 per share.</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B Preferred Stock</w:t>
      </w:r>
      <w:r>
        <w:rPr>
          <w:rFonts w:ascii="Times New Roman" w:cs="Times New Roman" w:eastAsia="Times New Roman" w:hAnsi="Times New Roman"/>
          <w:sz w:val="18"/>
          <w:szCs w:val="18"/>
          <w:color w:val="auto"/>
        </w:rPr>
        <w:t>” means the series B preferred stock of the Company, par value $0.0001 per share.</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means, at any given time, the holders of Company Common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6" w:name="page307"/>
    <w:bookmarkEnd w:id="3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Support Agreement</w:t>
      </w:r>
      <w:r>
        <w:rPr>
          <w:rFonts w:ascii="Times New Roman" w:cs="Times New Roman" w:eastAsia="Times New Roman" w:hAnsi="Times New Roman"/>
          <w:sz w:val="18"/>
          <w:szCs w:val="18"/>
          <w:color w:val="auto"/>
        </w:rPr>
        <w:t>” has the meaning set forth in the recitals to this Agreement.</w:t>
      </w:r>
    </w:p>
    <w:p>
      <w:pPr>
        <w:spacing w:after="0" w:line="131"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w:t>
      </w:r>
      <w:r>
        <w:rPr>
          <w:rFonts w:ascii="Times New Roman" w:cs="Times New Roman" w:eastAsia="Times New Roman" w:hAnsi="Times New Roman"/>
          <w:sz w:val="18"/>
          <w:szCs w:val="18"/>
          <w:color w:val="auto"/>
        </w:rPr>
        <w:t>” means the Warrant to Purchase Stock dated February 8, 2019, issued to Silicon Valley Bank, pursuant to which Silicon Valley Bank is entitled to purchase shares of Company Series A Preferred Stock.</w:t>
      </w:r>
    </w:p>
    <w:p>
      <w:pPr>
        <w:spacing w:after="0" w:line="81"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the Company is a party or by which any of its respective assets is bound.</w:t>
      </w:r>
    </w:p>
    <w:p>
      <w:pPr>
        <w:spacing w:after="0" w:line="72"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w:t>
      </w:r>
      <w:r>
        <w:rPr>
          <w:rFonts w:ascii="Times New Roman" w:cs="Times New Roman" w:eastAsia="Times New Roman" w:hAnsi="Times New Roman"/>
          <w:sz w:val="18"/>
          <w:szCs w:val="18"/>
          <w:u w:val="single" w:color="auto"/>
          <w:color w:val="auto"/>
        </w:rPr>
        <w:t>Controlled Person</w:t>
      </w:r>
      <w:r>
        <w:rPr>
          <w:rFonts w:ascii="Times New Roman" w:cs="Times New Roman" w:eastAsia="Times New Roman" w:hAnsi="Times New Roman"/>
          <w:sz w:val="18"/>
          <w:szCs w:val="18"/>
          <w:color w:val="auto"/>
        </w:rPr>
        <w:t>”) shall be deemed Controlled by any other Person (the “</w:t>
      </w:r>
      <w:r>
        <w:rPr>
          <w:rFonts w:ascii="Times New Roman" w:cs="Times New Roman" w:eastAsia="Times New Roman" w:hAnsi="Times New Roman"/>
          <w:sz w:val="18"/>
          <w:szCs w:val="18"/>
          <w:u w:val="single" w:color="auto"/>
          <w:color w:val="auto"/>
        </w:rPr>
        <w:t>50% Owner</w:t>
      </w:r>
      <w:r>
        <w:rPr>
          <w:rFonts w:ascii="Times New Roman" w:cs="Times New Roman" w:eastAsia="Times New Roman" w:hAnsi="Times New Roman"/>
          <w:sz w:val="18"/>
          <w:szCs w:val="18"/>
          <w:color w:val="auto"/>
        </w:rPr>
        <w:t>”) (i) owning beneficially, as meant in Rule 13d-3 under the Exchange Act, securities entitling such Person to cast 50% or more of the votes for election of directors or equivalent governing authority of the Controlled Person or (ii) entitled to be allocated or receive 50% or more of the profits, losses, or distributions of the Controlled Person.</w:t>
      </w:r>
    </w:p>
    <w:p>
      <w:pPr>
        <w:spacing w:after="0" w:line="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Notes</w:t>
      </w:r>
      <w:r>
        <w:rPr>
          <w:rFonts w:ascii="Times New Roman" w:cs="Times New Roman" w:eastAsia="Times New Roman" w:hAnsi="Times New Roman"/>
          <w:sz w:val="18"/>
          <w:szCs w:val="18"/>
          <w:color w:val="auto"/>
        </w:rPr>
        <w:t>” means those certain Convertible Promissory Notes of the Company in the aggregate principal amount of $14,000,000, issued on August 21, 2020 to certain Company Securityholders pursuant to the Convertible Promissory Note Purchase Agreement dated August 21, 2020 among the Company and such Company Securityholders.</w:t>
      </w:r>
    </w:p>
    <w:p>
      <w:pPr>
        <w:spacing w:after="0" w:line="7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Laws worldwide relating to the processing, privacy or security of Personal Information and all regulations or guidance issued thereunder, including the EU General Data Protection Regulation (EU) 2016/679 and all laws implementing it, HIPAA, the regulations set forth in 42 C.F.R. Part 495 and 45 C.F.R. Parts 160, 164 and 170, the HITECH Act, Section 5 of the Federal Trade Commission Act, the FTC Red Flag Rules, the CAN SPAM Act and associated regulations set forth in 16 C.F.R. Part 316, the Children’s Online Privacy Protection Act, state social security number protection laws, state data breach notification laws, state data privacy laws including the California Consumer Privacy Act, as amended, state data security laws, state consumer protection Laws, PCI-DSS regulatory standards and any law concerning requirements for website and mobile application privacy policies and practices, or any outbound commercial communications (including e-mail marketing, telemarketing and text messaging), tracking and marketing.</w:t>
      </w:r>
    </w:p>
    <w:p>
      <w:pPr>
        <w:spacing w:after="0" w:line="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75"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Incentive Plans</w:t>
      </w:r>
      <w:r>
        <w:rPr>
          <w:rFonts w:ascii="Times New Roman" w:cs="Times New Roman" w:eastAsia="Times New Roman" w:hAnsi="Times New Roman"/>
          <w:sz w:val="18"/>
          <w:szCs w:val="18"/>
          <w:color w:val="auto"/>
        </w:rPr>
        <w:t>” means the Company’s 2015 Employee, Director and Consultant Stock Option Plan and the Company’s 2017 Stock Option and Grant Plan.</w:t>
      </w:r>
    </w:p>
    <w:p>
      <w:pPr>
        <w:spacing w:after="0" w:line="67"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with respect to any Person, any capital stock of, or other ownership, membership, partnership, voting, joint venture, equity interest, preemptive right, stock appreciation, phantom stock, profit participation or similar rights in, such Person or any indebtedness, securities, options, warrants, call, subscription or other rights or entitlements of, or granted by, such Person that are convertible into, or are exercisable or exchangeable for, or give any person any right or entitlement to acquire any such capital stock or other ownership, partnership,</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7" w:name="page308"/>
    <w:bookmarkEnd w:id="3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1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voting, joint venture, equity interest, preemptive right, stock appreciation, phantom stock, profit participation or similar rights, in all cases, whether vested or unvested, of such Person or any similar security or right that is derivative or provides any economic benefit based, directly or indirectly, on the value or price of any such capital stock or other ownership, partnership, voting, joint venture, equity interest, preemptive right, stock appreciation, phantom stock, profit participation or similar rights, in all cases, whether vested or unvested.</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13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entity, trade or business that is, or was at the relevant time, a member of a group described in Section 414(b), (c), (m) or (o) of the Code or Section 4001(b)(1) of ERISA that includes or included the Company, or that is, or was at the relevant time, a member of the same “controlled group” as the Company pursuant to Section 4001(a)(14) of ERISA.</w:t>
      </w:r>
    </w:p>
    <w:p>
      <w:pPr>
        <w:spacing w:after="0" w:line="8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Continental Stock Transfer &amp; Trust Company.</w:t>
      </w:r>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xml:space="preserve">” means an agreement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between the Stockholders’ Representative, the Escrow Agent and Parent with respect to the Escrow Shares to reflect the terms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w:t>
      </w:r>
      <w:r>
        <w:rPr>
          <w:rFonts w:ascii="Times New Roman" w:cs="Times New Roman" w:eastAsia="Times New Roman" w:hAnsi="Times New Roman"/>
          <w:sz w:val="18"/>
          <w:szCs w:val="18"/>
          <w:color w:val="auto"/>
        </w:rPr>
        <w:t>” means each Person who holds Company Common Stock or Company Preferred Stock, in each case, as of immediately prior to the Effective Time.</w:t>
      </w:r>
    </w:p>
    <w:p>
      <w:pPr>
        <w:spacing w:after="0" w:line="79" w:lineRule="exact"/>
        <w:rPr>
          <w:sz w:val="20"/>
          <w:szCs w:val="20"/>
          <w:color w:val="auto"/>
        </w:rPr>
      </w:pPr>
    </w:p>
    <w:p>
      <w:pPr>
        <w:jc w:val="both"/>
        <w:ind w:left="460" w:right="459" w:firstLine="86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Participant Company Securities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p>
    <w:p>
      <w:pPr>
        <w:ind w:left="460" w:right="479" w:hanging="6"/>
        <w:spacing w:after="0" w:line="260" w:lineRule="auto"/>
        <w:tabs>
          <w:tab w:leader="none" w:pos="72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Company Preferred Stock (on an as converted to Company Common Stock basis) that are issued and outstanding immediately prior to the Effective Time.</w:t>
      </w:r>
    </w:p>
    <w:p>
      <w:pPr>
        <w:spacing w:after="0" w:line="8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Shares</w:t>
      </w:r>
      <w:r>
        <w:rPr>
          <w:rFonts w:ascii="Times New Roman" w:cs="Times New Roman" w:eastAsia="Times New Roman" w:hAnsi="Times New Roman"/>
          <w:sz w:val="18"/>
          <w:szCs w:val="18"/>
          <w:color w:val="auto"/>
        </w:rPr>
        <w:t>” means 2,150,000 Parent Class A Shares to be held in escrow for indemnification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purposes.</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 or any successor agency thereto.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 Diluted Company Shares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u w:val="single" w:color="auto"/>
          <w:color w:val="auto"/>
        </w:rPr>
        <w:t>sum</w:t>
      </w:r>
      <w:r>
        <w:rPr>
          <w:rFonts w:ascii="Times New Roman" w:cs="Times New Roman" w:eastAsia="Times New Roman" w:hAnsi="Times New Roman"/>
          <w:sz w:val="18"/>
          <w:szCs w:val="18"/>
          <w:color w:val="auto"/>
        </w:rPr>
        <w:t xml:space="preserve">, without duplication, of (a) shares of Company Common Stock (including Company Restricted Stock)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shares of Company Preferred Stock (on an as converted to Company Common Stock basis) that are issued and outstanding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the aggregate number of shares of Company Common Stock issuable upon exercise of the Company Warrant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(d) the aggregate number of shares of Company Common Stock issuable upon exercise of 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(e) the aggregate number of shares of Company Common Stock issuable upon exercise of Unvested Company Options as of immediately prior to the Effective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(f) the aggregate number of shares of Company Series B Preferred Stock (on an as converted to Company Common Stock basis) issuable upon the conversion of the Convertible Notes as of immediately prior to the Effective Time.</w:t>
      </w:r>
    </w:p>
    <w:p>
      <w:pPr>
        <w:spacing w:after="0" w:line="99"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mean any material, emission, chemical, substance or waste that has been designated by any Authority to be radioactive, toxic, hazardous, a pollutant or a contaminant.</w:t>
      </w:r>
    </w:p>
    <w:p>
      <w:pPr>
        <w:spacing w:after="0" w:line="81"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 Activity</w:t>
      </w:r>
      <w:r>
        <w:rPr>
          <w:rFonts w:ascii="Times New Roman" w:cs="Times New Roman" w:eastAsia="Times New Roman" w:hAnsi="Times New Roman"/>
          <w:sz w:val="18"/>
          <w:szCs w:val="18"/>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102"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means the Health Insurance Portability and Accountability Act of 1996, as amended by the Health Information Technology for Economic and Clinical Health Act.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8" w:name="page309"/>
    <w:bookmarkEnd w:id="3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5.19(a)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means the initial public offering of Parent pursuant to a prospectus dated August 13, 2020.</w:t>
      </w:r>
    </w:p>
    <w:p>
      <w:pPr>
        <w:spacing w:after="0" w:line="158"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 all obligations of such Person for borrowed money, or with respect to deposits or advances of any kind (including amounts by reason of overdrafts and amounts owed by reason of letter of credit reimbursement agreements),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w:t>
      </w:r>
    </w:p>
    <w:p>
      <w:pPr>
        <w:spacing w:after="0" w:line="5" w:lineRule="exact"/>
        <w:rPr>
          <w:sz w:val="20"/>
          <w:szCs w:val="20"/>
          <w:color w:val="auto"/>
        </w:rPr>
      </w:pPr>
    </w:p>
    <w:p>
      <w:pPr>
        <w:ind w:left="680" w:hanging="226"/>
        <w:spacing w:after="0"/>
        <w:tabs>
          <w:tab w:leader="none" w:pos="6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under leases required to be accounted for as capital leases under U.S. GAAP,</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47"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by such Person, (h) all liability of such Person with respect to any hedging obligations, including interest rate or currency exchange swaps, collars, caps or similar hedging obligations, (i) any unfunded or underfunded liabilities pursuant to any pension or nonqualified deferred compensation plan or arrangement and (j) any agreement to incur any of the same. For informational purposes, Indebtedness shall include any grants or loans that are not carried as tangible liabilities on the Financial Statements on a stand-alone basis (whether or not such liabilities are included in the footnotes to the Financial Statements).</w:t>
      </w:r>
    </w:p>
    <w:p>
      <w:pPr>
        <w:spacing w:after="0" w:line="1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technology (including patented, patentable and unpatented inventions and unpatentable proprietary or confidential information, systems or procedures), designs, processes, trademarks, service marks, registrations thereof or applications for registration therefor, trade names, licenses, inventions, patents, patent applications, trade secrets, trade dress, know-how, copyrights, copyrightable materials, copyright registrations, applications for copyright registration, software programs, data bases, u.r.l.s., and any other works of authorship, computer programs, technical data and information and other intellectual property, and all embodiments and fixations thereof and related documentation and registrations and all additions, improvements and accessions thereto, and with respect to each of the forgoing items in this definition, which is owned or licensed or filed by the Company, or used or held for use in the Business, whether registered or unregistered or domestic or foreign.</w:t>
      </w:r>
    </w:p>
    <w:p>
      <w:pPr>
        <w:spacing w:after="0" w:line="1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the 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the Company’s Knowledge</w:t>
      </w:r>
      <w:r>
        <w:rPr>
          <w:rFonts w:ascii="Times New Roman" w:cs="Times New Roman" w:eastAsia="Times New Roman" w:hAnsi="Times New Roman"/>
          <w:sz w:val="18"/>
          <w:szCs w:val="18"/>
          <w:color w:val="auto"/>
        </w:rPr>
        <w:t>” or similar terms (whether or not capitalized) means the actual knowledge of Jason Meyenburg and Gregg Beloff.</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Parent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to Parent’s Knowledge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Known by Parent</w:t>
      </w:r>
      <w:r>
        <w:rPr>
          <w:rFonts w:ascii="Times New Roman" w:cs="Times New Roman" w:eastAsia="Times New Roman" w:hAnsi="Times New Roman"/>
          <w:sz w:val="18"/>
          <w:szCs w:val="18"/>
          <w:color w:val="auto"/>
        </w:rPr>
        <w:t>” or similar terms (whether or not capitalized) means the actual knowledge of Jim Tananbaum and Dennis Ryan.</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domestic or foreign, federal, state, municipality or local law, statute, ordinance, code, rule, or regulation.</w:t>
      </w:r>
    </w:p>
    <w:p>
      <w:pPr>
        <w:spacing w:after="0" w:line="8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xml:space="preserve">” means the lease described on </w:t>
      </w:r>
      <w:r>
        <w:rPr>
          <w:rFonts w:ascii="Times New Roman" w:cs="Times New Roman" w:eastAsia="Times New Roman" w:hAnsi="Times New Roman"/>
          <w:sz w:val="18"/>
          <w:szCs w:val="18"/>
          <w:u w:val="single" w:color="auto"/>
          <w:color w:val="auto"/>
        </w:rPr>
        <w:t>Schedule 1.1(c)</w:t>
      </w:r>
      <w:r>
        <w:rPr>
          <w:rFonts w:ascii="Times New Roman" w:cs="Times New Roman" w:eastAsia="Times New Roman" w:hAnsi="Times New Roman"/>
          <w:sz w:val="18"/>
          <w:szCs w:val="18"/>
          <w:color w:val="auto"/>
        </w:rPr>
        <w:t>, together with all fixtures and improvements erected on the premises leased thereby.</w:t>
      </w:r>
    </w:p>
    <w:p>
      <w:pPr>
        <w:spacing w:after="0" w:line="9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or encumbrance of any kind in respect of such property or asset, and any conditional sale or voting agreement or proxy, including any agreement to give any of the foregoing.</w:t>
      </w:r>
    </w:p>
    <w:p>
      <w:pPr>
        <w:spacing w:after="0" w:line="108"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means the lockup agreements, in each case substantially in the form attached hereto as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9" w:name="page310"/>
    <w:bookmarkEnd w:id="3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 xml:space="preserve">” means a material adverse change or a material adverse effect upon the assets, liabilities, financial condition, net worth, management, earnings, cash flows, business, operations or properties of the Company and the Business,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“Material Adverse Effect” or “Material Adverse Change” shall not include any event, occurrence, fact, condition or change, directly or indirectly, arising out of or attributable to: (a) general economic or political conditions; (b) conditions generally affecting the industries in which the Company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taken (or omitted to be taken) with the written consent of or at the written request of Parent; (f) any changes in applicable Laws or accounting rules (including U.S. GAAP) or the enforcement, implementation or interpretation thereof; (g) the announcement, pendency or completion of the transactions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 in this subclause (g) shall not apply to any representation or warranty contained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5.8</w:t>
      </w:r>
      <w:r>
        <w:rPr>
          <w:rFonts w:ascii="Times New Roman" w:cs="Times New Roman" w:eastAsia="Times New Roman" w:hAnsi="Times New Roman"/>
          <w:sz w:val="18"/>
          <w:szCs w:val="18"/>
          <w:color w:val="auto"/>
        </w:rPr>
        <w:t xml:space="preserve"> or to the determination of whether any inaccuracy in such representations or warranties would reasonably be expected to have a Material Adverse Effect for purposes of </w:t>
      </w:r>
      <w:r>
        <w:rPr>
          <w:rFonts w:ascii="Times New Roman" w:cs="Times New Roman" w:eastAsia="Times New Roman" w:hAnsi="Times New Roman"/>
          <w:sz w:val="18"/>
          <w:szCs w:val="18"/>
          <w:u w:val="single" w:color="auto"/>
          <w:color w:val="auto"/>
        </w:rPr>
        <w:t>Sections 10.2(b)</w:t>
      </w:r>
      <w:r>
        <w:rPr>
          <w:rFonts w:ascii="Times New Roman" w:cs="Times New Roman" w:eastAsia="Times New Roman" w:hAnsi="Times New Roman"/>
          <w:sz w:val="18"/>
          <w:szCs w:val="18"/>
          <w:color w:val="auto"/>
        </w:rPr>
        <w:t>); (h) any natural or man-made disaster or acts of God or the COVID-19 pandemic; or (i) any failure by the Company to meet any internal or published projections, forecasts or revenue or earnings predictions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underlying causes of such failures (subject to the other provisions of this definition) shall not be excluded); except, in the case of subclauses (a), (b), (d), (f) and (h), to the extent such change, event, circumstance or effect has a disproportionate adverse effect on such entity as compared to other Persons engaged in the same industry.</w:t>
      </w:r>
    </w:p>
    <w:p>
      <w:pPr>
        <w:spacing w:after="0" w:line="1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 Common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5.30</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Capital Market.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5.17(b)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decree, order, judgment, writ, award, injunction, rule or consent of or by 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Authority.</w:t>
      </w:r>
    </w:p>
    <w:p>
      <w:pPr>
        <w:spacing w:after="0" w:line="139"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Filings</w:t>
      </w:r>
      <w:r>
        <w:rPr>
          <w:rFonts w:ascii="Times New Roman" w:cs="Times New Roman" w:eastAsia="Times New Roman" w:hAnsi="Times New Roman"/>
          <w:sz w:val="18"/>
          <w:szCs w:val="18"/>
          <w:color w:val="auto"/>
        </w:rPr>
        <w:t>” means any filings to be made by Parent required under the Exchange Act, Securities Act or any other United States federal, foreign or blue sky laws, other than the SEC Statement and the other Offer Documents.</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Parachute Payment Waiver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Certificate of Incorporation</w:t>
      </w:r>
      <w:r>
        <w:rPr>
          <w:rFonts w:ascii="Times New Roman" w:cs="Times New Roman" w:eastAsia="Times New Roman" w:hAnsi="Times New Roman"/>
          <w:sz w:val="18"/>
          <w:szCs w:val="18"/>
          <w:color w:val="auto"/>
        </w:rPr>
        <w:t>” means the Amended and Restated Certificate of Incorporation of the Company, as filed on August 11, 2020 with the Secretary of State of the State of Delaware pursuant to the DGCL.</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A Shares</w:t>
      </w:r>
      <w:r>
        <w:rPr>
          <w:rFonts w:ascii="Times New Roman" w:cs="Times New Roman" w:eastAsia="Times New Roman" w:hAnsi="Times New Roman"/>
          <w:sz w:val="18"/>
          <w:szCs w:val="18"/>
          <w:color w:val="auto"/>
        </w:rPr>
        <w:t>” means the Class A common stock, $0.0001 par value, of Parent.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B Shares</w:t>
      </w:r>
      <w:r>
        <w:rPr>
          <w:rFonts w:ascii="Times New Roman" w:cs="Times New Roman" w:eastAsia="Times New Roman" w:hAnsi="Times New Roman"/>
          <w:sz w:val="18"/>
          <w:szCs w:val="18"/>
          <w:color w:val="auto"/>
        </w:rPr>
        <w:t>” means the Class B common stock, $0.0001 par value, of Parent.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Parent Class A Shares and Parent Class B Shares.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0" w:name="page311"/>
    <w:bookmarkEnd w:id="3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the representations and warranties of Parent set forth in </w:t>
      </w:r>
      <w:r>
        <w:rPr>
          <w:rFonts w:ascii="Times New Roman" w:cs="Times New Roman" w:eastAsia="Times New Roman" w:hAnsi="Times New Roman"/>
          <w:sz w:val="18"/>
          <w:szCs w:val="18"/>
          <w:u w:val="single" w:color="auto"/>
          <w:color w:val="auto"/>
        </w:rPr>
        <w:t>Sections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Finders’ Fees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Liabilities</w:t>
      </w:r>
      <w:r>
        <w:rPr>
          <w:rFonts w:ascii="Times New Roman" w:cs="Times New Roman" w:eastAsia="Times New Roman" w:hAnsi="Times New Roman"/>
          <w:sz w:val="18"/>
          <w:szCs w:val="18"/>
          <w:color w:val="auto"/>
        </w:rPr>
        <w:t>” means, as of any determination time, the aggregate of all debts, liabilities and obligations, whether accrued or fixed, absolute or contingent, known or unknown, matured or unmatured or determined or determinable, including those arising under any Law, Action or Order and those arising under any Contract, of Parent or Merger Sub, whether or not such liabilities are due and payable as of such time, including all fees, expense, commissions or other amounts incurred by or on behalf of, or otherwise payable by, whether or not due, Parent or Merger Sub in connection with the negotiation, preparation or execution of this Agreement or any Additional Agreements, the performance of any covenants or agreements in this Agreement or any Additional Agreement or the consummation of the transactions contemplated hereby or thereby.</w:t>
      </w:r>
    </w:p>
    <w:p>
      <w:pPr>
        <w:spacing w:after="0" w:line="1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each license, franchise, permit, order, approval, consent or other similar authorization required to be obtained and maintained by the Company under applicable Law to carry out or otherwise affecting, or relating in any way to, the Business.</w:t>
      </w:r>
    </w:p>
    <w:p>
      <w:pPr>
        <w:spacing w:after="0" w:line="95"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for amounts (i) that are not delinquent, (ii) that are not material to the business, operations and financial condition of the Company so encumbered, either individually or in the aggregate, and (iii) not resulting from a breach, default or violation by the Company of any Contract or Law; (c) liens for Taxes not yet due and payable or which are being contested in good faith by appropriate proceedings (and for which adequate accruals or reserves have been established on the Company Financial Statements in accordance with U.S. GAAP); and (d) the Liens set forth on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12" w:lineRule="exact"/>
        <w:rPr>
          <w:sz w:val="20"/>
          <w:szCs w:val="20"/>
          <w:color w:val="auto"/>
        </w:rPr>
      </w:pPr>
    </w:p>
    <w:p>
      <w:pPr>
        <w:jc w:val="both"/>
        <w:ind w:left="460" w:right="459" w:firstLine="864"/>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Personal Information</w:t>
      </w:r>
      <w:r>
        <w:rPr>
          <w:rFonts w:ascii="Times New Roman" w:cs="Times New Roman" w:eastAsia="Times New Roman" w:hAnsi="Times New Roman"/>
          <w:sz w:val="17"/>
          <w:szCs w:val="17"/>
          <w:color w:val="auto"/>
        </w:rPr>
        <w:t>” means any data or information, on any media that, alone or in combination with other data or information, can, directly or indirectly, be associated with or be reasonably used to identify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an individual natural Person, or such Person’s vehicle, browser or device), or any other data or information that constitutes personal data, protected health information, personally identifiable information, personal information or similar defined term under any Privacy Law or Healthcare Laws (including protected health information, as defined in 45 C.F.R. §160.103 and personal data, as defined in the EU General Data Protection Regulation).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1" w:name="page312"/>
    <w:bookmarkEnd w:id="3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each “employee benefit plan” within the meaning of Section 3(3) of ERISA and all other compensation and benefits plans, policies, programs, or arrangements,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to make any severance, termination, change of control, or similar payment), consulting, change-of-control, collective bargaining, bonus, incentive, deferred compensation, employee loan, fringe benefit and other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or under which the Company has any current or potential liability.</w:t>
      </w:r>
    </w:p>
    <w:p>
      <w:pPr>
        <w:spacing w:after="0" w:line="1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xml:space="preserve">” shall mean, with respect to each Escrow Participant, an amount equal to the quotient (expressed as a percentage) obtained by </w:t>
      </w:r>
      <w:r>
        <w:rPr>
          <w:rFonts w:ascii="Times New Roman" w:cs="Times New Roman" w:eastAsia="Times New Roman" w:hAnsi="Times New Roman"/>
          <w:sz w:val="18"/>
          <w:szCs w:val="18"/>
          <w:i w:val="1"/>
          <w:iCs w:val="1"/>
          <w:u w:val="single" w:color="auto"/>
          <w:color w:val="auto"/>
        </w:rPr>
        <w:t>dividing</w:t>
      </w:r>
      <w:r>
        <w:rPr>
          <w:rFonts w:ascii="Times New Roman" w:cs="Times New Roman" w:eastAsia="Times New Roman" w:hAnsi="Times New Roman"/>
          <w:sz w:val="18"/>
          <w:szCs w:val="18"/>
          <w:color w:val="auto"/>
        </w:rPr>
        <w:t xml:space="preserve"> (a) the number of Escrow Participant Company Securities held by such Escrow Participant as of immediately prior to the Effective Time (on an as converted to common stock basis) by (b) the total number of shares of Escrow Participant Company Securities as of immediately prior to the Effective Time.</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99"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in substantially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Statement</w:t>
      </w:r>
      <w:r>
        <w:rPr>
          <w:rFonts w:ascii="Times New Roman" w:cs="Times New Roman" w:eastAsia="Times New Roman" w:hAnsi="Times New Roman"/>
          <w:sz w:val="18"/>
          <w:szCs w:val="18"/>
          <w:color w:val="auto"/>
        </w:rPr>
        <w:t>” means the Form S-4, including the Proxy Statement, whether in preliminary or definitive form, and any amendments or supplements thereto.</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Company Securityholder</w:t>
      </w:r>
      <w:r>
        <w:rPr>
          <w:rFonts w:ascii="Times New Roman" w:cs="Times New Roman" w:eastAsia="Times New Roman" w:hAnsi="Times New Roman"/>
          <w:sz w:val="18"/>
          <w:szCs w:val="18"/>
          <w:color w:val="auto"/>
        </w:rPr>
        <w:t>” has the meaning set forth in the recitals to this Agreement.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FS Development Holdings, LLC, a Delaware limited liability company.</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5.15(a)(vi)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each entity of which at least fifty percent (50%) of the capital stock or other equity or voting securities are Controlled or owned, directly or indirectly, by the Company.</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has the meaning set forth in the recitals to this Agreement.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w:t>
      </w:r>
      <w:r>
        <w:rPr>
          <w:rFonts w:ascii="Times New Roman" w:cs="Times New Roman" w:eastAsia="Times New Roman" w:hAnsi="Times New Roman"/>
          <w:sz w:val="18"/>
          <w:szCs w:val="18"/>
          <w:color w:val="auto"/>
        </w:rPr>
        <w:t>” means Silicon Valley Bank.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2" w:name="page313"/>
    <w:bookmarkEnd w:id="3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SVB Loan</w:t>
      </w:r>
      <w:r>
        <w:rPr>
          <w:rFonts w:ascii="Times New Roman" w:cs="Times New Roman" w:eastAsia="Times New Roman" w:hAnsi="Times New Roman"/>
          <w:sz w:val="18"/>
          <w:szCs w:val="18"/>
          <w:color w:val="auto"/>
        </w:rPr>
        <w:t>” means the Loan and Security Agreement, dated as of February 8, 2019, by and between SVB and the Company, pursuant to which SVB made available to the Company term loan advances in an original principal amount of up to Ten Million Dollars ($10,000,000.00).</w:t>
      </w:r>
    </w:p>
    <w:p>
      <w:pPr>
        <w:spacing w:after="0" w:line="108" w:lineRule="exact"/>
        <w:rPr>
          <w:sz w:val="20"/>
          <w:szCs w:val="20"/>
          <w:color w:val="auto"/>
        </w:rPr>
      </w:pPr>
    </w:p>
    <w:p>
      <w:pPr>
        <w:jc w:val="both"/>
        <w:ind w:left="460" w:right="479" w:firstLine="86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Personal Property</w:t>
      </w:r>
      <w:r>
        <w:rPr>
          <w:rFonts w:ascii="Times New Roman" w:cs="Times New Roman" w:eastAsia="Times New Roman" w:hAnsi="Times New Roman"/>
          <w:sz w:val="18"/>
          <w:szCs w:val="18"/>
          <w:color w:val="auto"/>
        </w:rPr>
        <w:t xml:space="preserve">” means all tangible personal property and interests therein, including machinery, computers and accessories, furniture, office equipment, communications equipment, automobiles, laboratory equipment and other equipment owned or leased by the Company and other tangible property, including the items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escheat and other Taxes), together with any interest, penalty, additions to tax or additional amount imposed with respect thereto and shall include any liability for such amounts as a result of (a) being a transferee or successor or member of a combined, consolidated, unitary or affiliated group, or (b) a contractual obligation to indemnify any Person (other than any commercial agreement the principal purpose of which is not Taxes).</w:t>
      </w:r>
    </w:p>
    <w:p>
      <w:pPr>
        <w:spacing w:after="0" w:line="113"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Internal Revenue Service and any other Authority responsible for the collection, assessment or imposition of any Tax or the administration of any Law relating to any Tax.</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for so long as the Parent Class A Shares are listed or admitted for trading on the NYSE American or any other national securities exchange, days on which such securities exchange is open for business; (b) when and if the Parent Class A Shares are quoted on the Nasdaq or any similar system of automated dissemination of quotations of securities prices, days on which trades may be made on such system; or (c) if the Parent Class A Shares are not listed or admitted to trading on any national securities exchange or quoted on the Nasdaq or similar system, days on which the Parent Class A Shares are traded regular way in the over-the- counter market and for which a closing bid and a closing asked price for the Parent Class A Shares are available</w:t>
      </w:r>
    </w:p>
    <w:p>
      <w:pPr>
        <w:spacing w:after="0" w:line="12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this Agreement to occur at or immediately prior to the Closing, including the Merger.</w:t>
      </w:r>
    </w:p>
    <w:p>
      <w:pPr>
        <w:spacing w:after="0" w:line="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5.9(a)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means the Parent Liabilities that remain unpaid as of immediately prior to the Closing.</w:t>
      </w:r>
    </w:p>
    <w:p>
      <w:pPr>
        <w:spacing w:after="0" w:line="9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Unvested Company Option</w:t>
      </w:r>
      <w:r>
        <w:rPr>
          <w:rFonts w:ascii="Times New Roman" w:cs="Times New Roman" w:eastAsia="Times New Roman" w:hAnsi="Times New Roman"/>
          <w:sz w:val="18"/>
          <w:szCs w:val="18"/>
          <w:color w:val="auto"/>
        </w:rPr>
        <w:t>” means each Company Option outstanding as of immediately prior to the Effective Time that is not a Vested Company Option.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3" w:name="page314"/>
    <w:bookmarkEnd w:id="3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means U.S. generally accepted accounting principles, consistently applied.</w:t>
      </w:r>
    </w:p>
    <w:p>
      <w:pPr>
        <w:spacing w:after="0" w:line="158"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Vested Company Option</w:t>
      </w:r>
      <w:r>
        <w:rPr>
          <w:rFonts w:ascii="Times New Roman" w:cs="Times New Roman" w:eastAsia="Times New Roman" w:hAnsi="Times New Roman"/>
          <w:sz w:val="18"/>
          <w:szCs w:val="18"/>
          <w:color w:val="auto"/>
        </w:rPr>
        <w:t>” means each Company Option outstanding as of immediately prior to the Effective Time that is vested as of immediately prior to the Effective Time or will vest solely as a result of the consummation of the Merger.</w:t>
      </w:r>
    </w:p>
    <w:p>
      <w:pPr>
        <w:spacing w:after="0" w:line="1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has the meaning set forth in the definition of Additional Agreements.</w:t>
      </w:r>
    </w:p>
    <w:p>
      <w:pPr>
        <w:spacing w:after="0" w:line="144"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 weighted average price of the Parent Class A Shares for the ten (10) Trading Days ending on the Trading Day immediately preceding the Closing Date.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6" w:lineRule="auto"/>
        <w:tabs>
          <w:tab w:leader="none" w:pos="156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4"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8"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3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4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13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this Agreement, and in accordance with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at the Effective Time, (a) Merger Sub shall be merged with and into the Company, (b) the separate corporate existence of Merger Sub shall thereupon cease, and the Company shall be the Surviving Corporation in the Merger, and (c) the Surviving Corporation shall become a wholly-owned Subsidiary of Parent. The Company Securityholders shall be entitled to the consideration described in, and in accordance with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4" w:name="page315"/>
    <w:bookmarkEnd w:id="3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Merger Effective Time</w:t>
      </w:r>
      <w:r>
        <w:rPr>
          <w:rFonts w:ascii="Times New Roman" w:cs="Times New Roman" w:eastAsia="Times New Roman" w:hAnsi="Times New Roman"/>
          <w:sz w:val="18"/>
          <w:szCs w:val="18"/>
          <w:color w:val="auto"/>
        </w:rPr>
        <w:t>. Subject to the provisions of this Agreement, at the Closing, the Company shall file a certificate of merger in the form attached hereto as Exhibit L with the Secretary of State of the State of Delaware, executed in accordance with the relevant provisions of the DGCL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the Certificate of Merger and the applicable provisions of the DGCL. Without limiting the generality of the foregoing, and subject thereto, at the Effective Time, all the property, rights, privileges, agreements, powers and franchises, debts, liabilities, duties and obligations of the Company and Merger Sub shall become the property, rights, privileges, agreements, powers and franchises, debts, liabilities, duties and obligations of the Surviving Corporation, which shall include the assumption by the Surviving Corporation of any and all agreements, covenants, duties and obligations of the Company and the Merger Sub set forth in this Agreement to be performed after the Closing. Merger Sub will be merged with and into the Company, and the separate corporate existence of Merger Sub will cease, and the Surviving Corporation will become wholly owned directly by Parent, all as provided under the DGCL and the provisions of this Agreement.</w:t>
      </w:r>
    </w:p>
    <w:p>
      <w:pPr>
        <w:spacing w:after="0" w:line="1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U.S. Tax Treatment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9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 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Times New Roman" w:cs="Times New Roman" w:eastAsia="Times New Roman" w:hAnsi="Times New Roman"/>
          <w:sz w:val="18"/>
          <w:szCs w:val="18"/>
          <w:u w:val="single" w:color="auto"/>
          <w:color w:val="auto"/>
        </w:rPr>
        <w:t>Sections 5.25(d)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6.18(e)</w:t>
      </w:r>
      <w:r>
        <w:rPr>
          <w:rFonts w:ascii="Times New Roman" w:cs="Times New Roman" w:eastAsia="Times New Roman" w:hAnsi="Times New Roman"/>
          <w:sz w:val="18"/>
          <w:szCs w:val="18"/>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69" w:lineRule="auto"/>
        <w:tabs>
          <w:tab w:leader="none" w:pos="1594"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connection with the preparation and filing of the Parent SEC Documents, the Additional Parent SEC Documents, the SEC Statement or any Other Filing (each individually, a “</w:t>
      </w:r>
      <w:r>
        <w:rPr>
          <w:rFonts w:ascii="Times New Roman" w:cs="Times New Roman" w:eastAsia="Times New Roman" w:hAnsi="Times New Roman"/>
          <w:sz w:val="17"/>
          <w:szCs w:val="17"/>
          <w:u w:val="single" w:color="auto"/>
          <w:color w:val="auto"/>
        </w:rPr>
        <w:t>Securities Filing</w:t>
      </w:r>
      <w:r>
        <w:rPr>
          <w:rFonts w:ascii="Times New Roman" w:cs="Times New Roman" w:eastAsia="Times New Roman" w:hAnsi="Times New Roman"/>
          <w:sz w:val="17"/>
          <w:szCs w:val="17"/>
          <w:color w:val="auto"/>
        </w:rPr>
        <w:t>”) or the SEC’s review thereof, the SEC requests or requires that a tax opinion (or tax opinions) with respect to the U.S. federal income tax consequences of the Merger be prepared and submitted in such connection (each, a “</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Opinion</w:t>
      </w:r>
      <w:r>
        <w:rPr>
          <w:rFonts w:ascii="Times New Roman" w:cs="Times New Roman" w:eastAsia="Times New Roman" w:hAnsi="Times New Roman"/>
          <w:sz w:val="17"/>
          <w:szCs w:val="17"/>
          <w:color w:val="auto"/>
        </w:rPr>
        <w:t>”), (i) the Company shall use its reasonable best efforts to deliver to Goodwin Procter LLP (“</w:t>
      </w:r>
      <w:r>
        <w:rPr>
          <w:rFonts w:ascii="Times New Roman" w:cs="Times New Roman" w:eastAsia="Times New Roman" w:hAnsi="Times New Roman"/>
          <w:sz w:val="17"/>
          <w:szCs w:val="17"/>
          <w:u w:val="single" w:color="auto"/>
          <w:color w:val="auto"/>
        </w:rPr>
        <w:t>Goodwin</w:t>
      </w:r>
      <w:r>
        <w:rPr>
          <w:rFonts w:ascii="Times New Roman" w:cs="Times New Roman" w:eastAsia="Times New Roman" w:hAnsi="Times New Roman"/>
          <w:sz w:val="17"/>
          <w:szCs w:val="17"/>
          <w:color w:val="auto"/>
        </w:rPr>
        <w:t>”) (or another nationally recognized tax or accounting firm in the United States reasonably acceptable to the Parties), in connection with any Tax Opinion rendered by Goodwin (or such other nationally recognized tax or accounting firm), customary Tax representation letters substantially in the form attached hereto as Exhibits M and N, dated and executed as of the date such relevant filing shall have been declared effective by the SEC and such other date(s) as determined to be reasonably necessary by Goodwin (or such other nationally recognized tax or accounting firm) in connection with the preparation and filing of such Securities Filing, and (ii) the Company shall use its reasonable best efforts to cause Goodwin (or such other nationally recognized tax or accounting firm) to furnish the Tax Opinions, subject to customary assumptions and limitations.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At the Effective Time, the Company Certificate of Incorporation, as in effect immediately prior to the Effective Time, shall cease to have effect and the certificate of incorporation of Merger Sub, as in effect immediately prior to the Effective Time, shall be the certificate of incorporation of the Surviving Corporation, except that reference to the name of Merger Sub shall be replaced by reference to the name of “Gemini Therapeutics Sub, Inc.”.</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Closing; Effective Time</w:t>
      </w:r>
      <w:r>
        <w:rPr>
          <w:rFonts w:ascii="Times New Roman" w:cs="Times New Roman" w:eastAsia="Times New Roman" w:hAnsi="Times New Roman"/>
          <w:sz w:val="18"/>
          <w:szCs w:val="18"/>
          <w:color w:val="auto"/>
        </w:rPr>
        <w:t xml:space="preserve">. Unless this Agreement is earlier terminated in accordance with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virtually at 10:00 a.m. local time, on the second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Business Day after the satisfaction or waiver (to the extent permitted by applicable law) of the conditions set forth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5" w:name="page316"/>
    <w:bookmarkEnd w:id="3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Board of Directors of Parent</w:t>
      </w:r>
      <w:r>
        <w:rPr>
          <w:rFonts w:ascii="Times New Roman" w:cs="Times New Roman" w:eastAsia="Times New Roman" w:hAnsi="Times New Roman"/>
          <w:sz w:val="18"/>
          <w:szCs w:val="18"/>
          <w:color w:val="auto"/>
        </w:rPr>
        <w:t>. Immediately after the Closing, Parent’s Board of Directors will consist of seven (7) directors. Sponsor shall have the right to designate one (1) director and the Company shall designate six (6) directors as set forth in the Voting Agreement. At least a majority of the Board of Directors shall qualify as independent directors under the Securities Act and the Nasdaq rules. The parties to this Agreement and the Specified Company Securityholders shall enter into the Voting Agreement with respect to the election of directors. The officers and directors of Parent after the Closing shall also serve as the officers and directors of the Surviving Corporation.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Taking of Necessary Action; Further Action</w:t>
      </w:r>
      <w:r>
        <w:rPr>
          <w:rFonts w:ascii="Times New Roman" w:cs="Times New Roman" w:eastAsia="Times New Roman" w:hAnsi="Times New Roman"/>
          <w:sz w:val="18"/>
          <w:szCs w:val="18"/>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the Merger Sub, the officers and directors of the Surviving Corporation are fully authorized in the name and on behalf of the Company and the Merger Sub, to take all lawful action necessary or desirable to accomplish such purpose or acts, so long as such action is not inconsistent with this Agreement.</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No Further Ownership Rights in Company Securities</w:t>
      </w:r>
      <w:r>
        <w:rPr>
          <w:rFonts w:ascii="Times New Roman" w:cs="Times New Roman" w:eastAsia="Times New Roman" w:hAnsi="Times New Roman"/>
          <w:sz w:val="18"/>
          <w:szCs w:val="18"/>
          <w:color w:val="auto"/>
        </w:rPr>
        <w:t>. At the Effective Time, the stock transfer books of the Company shall be closed and thereafter there shall be no further registration of transfers of shares of Company Capital Stock or other securities of the Company on the records of the Company. From and after the Effective Time, the holders of certificates evidencing ownership of shares of Company Capital Stock of the Company outstanding immediately prior to the Effective Time shall cease to have any rights with respect to such shares of Company Capital Stock, except as otherwise provided for herein or by Law.</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 Notwithstanding anything to the contrary contained herein, any shares of Company Capital Stock that are issued and outstanding immediately prior to the Effective Time and in respect of which appraisal rights shall have been perfected, and not waived, withdrawn or lost, in accordance with the DGCL in connection with the Merger and that are owned by a holder who complies in all respects with Section 262 of the DGCL (such shares,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not be converted into the right to receive the applicable portion of the Closing Payment Shares, but shall instead be converted into the right to receive such consideration as may be determined to be due with respect to any such Dissenting Shares pursuant to the DGCL. At the Effective Time, (a) all Dissenting Shares shall be cancelled, extinguished and cease to exist and (b) the holders of Dissenting Shares shall be entitled only to such rights as may be granted to them under the DGCL. Each holder of Dissenting Shares who, pursuant to the DGCL, becomes entitled to payment thereunder for such shares shall receive payment therefor in accordance with the DGCL (but only after the value therefor shall have been agreed upon or finally determined pursuant to such provisions). If, after the Effective Time, any Dissenting Shares shall lose their status as Dissenting Shares, then any such shares shall immediately be deemed to have converted at the Effective Time into the right to receive the applicable portion of the Closing Payment Shares (upon the terms and conditions of this Agreement) in respect of such shares as if such shares never had been Dissenting Shares, and Parent shall issue and deliver (or cause to be issued and delivered) to the holder thereof, following the satisfaction of the applicable conditions set forth in this Agreement, the applicable portion of the Closing Payment Shares as if such shares never had been Dissenting Shares. The Company shall give Parent prompt written notice (and in any event within two (2) Business Days) of any demands received by the Company for appraisal of shares of Company Common Stock, attempted withdrawals of such demands and any other instruments served pursuant to the DGCL and received by the Company relating to rights to be paid the fair value of Dissenting Shares, and Parent shall have the right to participate in and, following the Effective Time, direct all negotiations and proceedings with respect to such demands. Prior to the Effective Time, neither the Company nor Parent shall, except with the prior written consent of the other party (in its sole discretion), or as otherwise required under the DGCL, (i) make any payment or offer to make any payment with respect to, or settle or compromise or offer to settle or compromise, any claim or demand in respect of any Dissenting Shares., (ii) waive any failure to timely deliver a written demand for appraisal or otherwise comply with the provisions under Section 262 of the DGCL or (iii) agree or commit to do any of the foregoing.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6" w:name="page317"/>
    <w:bookmarkEnd w:id="3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[INTENTIONALLY OMITTED]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Conversion of Company Securities; Convertible Notes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460" w:right="459" w:firstLine="858"/>
        <w:spacing w:after="0" w:line="253" w:lineRule="auto"/>
        <w:tabs>
          <w:tab w:leader="none" w:pos="1568"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Company Capital Stock</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at the Effective Time, by virtue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Merger and without any action on the part of Parent, Merger Sub, the Company or the Company Securityholders, each share of Company Capital Stock issued and outstanding immediately prior to the Effective Time (other than the Dissenting Shares) shall be canceled and automatically converted into the right to receive a number of Parent Class A Shares equal to the Closing Consideration Conversion Ratio, in each case, as set forth on the Capitalization Schedule delivered prior to Closing,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If any shares of Company Capital Stock issued and outstanding immediately prior to the Effective Time are shares of Company Restricted Stock, then the Parent Class A Shares issued in exchange for such Company Restricted Stock pursuant to the immediately preceding sentence shall to the same extent be unvested and subject to the same repurchase option or risk of forfeiture, and the certificates and/or book entries representing such Parent Class A Shares shall accordingly be marked with appropriate legends.</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2"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Company Options. </w:t>
      </w:r>
      <w:r>
        <w:rPr>
          <w:rFonts w:ascii="Times New Roman" w:cs="Times New Roman" w:eastAsia="Times New Roman" w:hAnsi="Times New Roman"/>
          <w:sz w:val="18"/>
          <w:szCs w:val="18"/>
          <w:color w:val="auto"/>
        </w:rPr>
        <w:t>The Company shall terminate the Equity Incentive Plans at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the Effective Time, contingent on the closing of the Merger. As of the Effective Time, all Company Options shall no longer be outstanding and each Person who previously held Company Options shall cease to have any rights with respect to such Company Options, except as set forth in this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Prior to the Effective Time, the Boards of Directors of the Company and Parent (or any duly authorized committee thereof) shall, as applicable, take all corporate actions necessary, including adopting appropriate resolutions and obtaining consents of the holders of the Company Options, if required, to provide that, as of the Effective Time, that each Company Option shall be assumed by Parent and shall continue in full force and effect, containing the same terms, conditions, vesting and other provisions as are currently applicable to such Company Options;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each such Company Option shall be exercisable for such number of Parent Class A Shares that equals the Closing Consideration Conversion Ratio multiplied by the number of shares of Company Common Stock subject to such Company Option as of immediately prior to the Effective Time, in each case, subject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at such per share exercise price that shall equal the per share exercise price of such Company Option as of immediately prior to the Effective Time divided by the Closing Consideration Conversion Ratio (as so converted, a “</w:t>
      </w:r>
      <w:r>
        <w:rPr>
          <w:rFonts w:ascii="Times New Roman" w:cs="Times New Roman" w:eastAsia="Times New Roman" w:hAnsi="Times New Roman"/>
          <w:sz w:val="18"/>
          <w:szCs w:val="18"/>
          <w:u w:val="single" w:color="auto"/>
          <w:color w:val="auto"/>
        </w:rPr>
        <w:t>Converted Company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w:t>
      </w:r>
    </w:p>
    <w:p>
      <w:pPr>
        <w:jc w:val="both"/>
        <w:ind w:left="460" w:right="459" w:hanging="6"/>
        <w:spacing w:after="0" w:line="251" w:lineRule="auto"/>
        <w:tabs>
          <w:tab w:leader="none" w:pos="77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such Company Option, any fractional shares that would be issuable upon exercise thereof will be rounded down to the nearest whole number of Parent Class A Shares and the per share exercise price will be rounded up to the nearest whole cent. Parent shall adopt the Parent Equity Incentive Plan, which will cover the Company Options, pursuant to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per share exercise price and the number of Parent Class A Shares purchasable pursuant to each Converted Company Option shall be determined in a manner consistent with the requirements of Section 409A of the Code;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xml:space="preserve"> that in the case of any Unvested Company Options to which Section 422 of the Code applies, the exercise price and the number of Parent Class A Shares purchasable pursuant to the applicable Converted Company Option shall be determined in accordance with the foregoing, subject to such adjustments as are necessary in order to satisfy the requirements of Section 424(a) of the Code.</w:t>
      </w:r>
    </w:p>
    <w:p>
      <w:pPr>
        <w:spacing w:after="0" w:line="109" w:lineRule="exact"/>
        <w:rPr>
          <w:rFonts w:ascii="Times New Roman" w:cs="Times New Roman" w:eastAsia="Times New Roman" w:hAnsi="Times New Roman"/>
          <w:sz w:val="18"/>
          <w:szCs w:val="18"/>
          <w:color w:val="auto"/>
        </w:rPr>
      </w:pPr>
    </w:p>
    <w:p>
      <w:pPr>
        <w:ind w:left="460" w:right="459" w:firstLine="858"/>
        <w:spacing w:after="0" w:line="284" w:lineRule="auto"/>
        <w:tabs>
          <w:tab w:leader="none" w:pos="1568"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the Company Warrant</w:t>
      </w:r>
      <w:r>
        <w:rPr>
          <w:rFonts w:ascii="Times New Roman" w:cs="Times New Roman" w:eastAsia="Times New Roman" w:hAnsi="Times New Roman"/>
          <w:sz w:val="18"/>
          <w:szCs w:val="18"/>
          <w:color w:val="auto"/>
        </w:rPr>
        <w:t>. At the Effective Time, the Company Warrant will be treated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its terms.</w:t>
      </w:r>
    </w:p>
    <w:p>
      <w:pPr>
        <w:spacing w:after="0" w:line="90" w:lineRule="exact"/>
        <w:rPr>
          <w:rFonts w:ascii="Times New Roman" w:cs="Times New Roman" w:eastAsia="Times New Roman" w:hAnsi="Times New Roman"/>
          <w:sz w:val="18"/>
          <w:szCs w:val="18"/>
          <w:color w:val="auto"/>
        </w:rPr>
      </w:pPr>
    </w:p>
    <w:p>
      <w:pPr>
        <w:jc w:val="both"/>
        <w:ind w:left="460" w:right="459" w:firstLine="858"/>
        <w:spacing w:after="0" w:line="267" w:lineRule="auto"/>
        <w:tabs>
          <w:tab w:leader="none" w:pos="1592"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Treatment of Convertible Notes. </w:t>
      </w:r>
      <w:r>
        <w:rPr>
          <w:rFonts w:ascii="Times New Roman" w:cs="Times New Roman" w:eastAsia="Times New Roman" w:hAnsi="Times New Roman"/>
          <w:sz w:val="18"/>
          <w:szCs w:val="18"/>
          <w:color w:val="auto"/>
        </w:rPr>
        <w:t>Prior to the Closing, each Convertible Note will be converted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Company Series B Preferred Stock in accordance with the terms thereof, in each case, as set forth on Capitalization Schedule delivered prior to Closing.</w:t>
      </w:r>
    </w:p>
    <w:p>
      <w:pPr>
        <w:spacing w:after="0" w:line="105"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2"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of Shares of Merger Sub</w:t>
      </w:r>
      <w:r>
        <w:rPr>
          <w:rFonts w:ascii="Times New Roman" w:cs="Times New Roman" w:eastAsia="Times New Roman" w:hAnsi="Times New Roman"/>
          <w:sz w:val="18"/>
          <w:szCs w:val="18"/>
          <w:color w:val="auto"/>
        </w:rPr>
        <w:t>. Each share of Merger Sub that is issued and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Effective Time will, by virtue of the Merger and without further action on the part of the sole shareholder of Merger Sub, be converted into and become one share of the Surviving Corporation (and the shares of Surviving Corporation into which the shares of Merger Sub are so converted shall be the only shares of the Surviving Corporation that are issued and outstanding immediately after the Effective Time). Each certificate evidencing ownership of shares of Merger Sub will, as of the Effective Time, be deemed to evidence ownership of such shares of the Surviving Corporation.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7" w:name="page318"/>
    <w:bookmarkEnd w:id="3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79" w:firstLine="858"/>
        <w:spacing w:after="0" w:line="267" w:lineRule="auto"/>
        <w:tabs>
          <w:tab w:leader="none" w:pos="154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Shares of Company Common Stock Owned by the Company</w:t>
      </w:r>
      <w:r>
        <w:rPr>
          <w:rFonts w:ascii="Times New Roman" w:cs="Times New Roman" w:eastAsia="Times New Roman" w:hAnsi="Times New Roman"/>
          <w:sz w:val="18"/>
          <w:szCs w:val="18"/>
          <w:color w:val="auto"/>
        </w:rPr>
        <w:t>. At the Effective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shares of Company Common Stock that are owned by the Company as treasury shares immediately prior to the Effective Time shall be canceled and extinguished without any conversion thereof.</w:t>
      </w:r>
    </w:p>
    <w:p>
      <w:pPr>
        <w:spacing w:after="0" w:line="10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4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Surrender of Certificates</w:t>
      </w:r>
      <w:r>
        <w:rPr>
          <w:rFonts w:ascii="Times New Roman" w:cs="Times New Roman" w:eastAsia="Times New Roman" w:hAnsi="Times New Roman"/>
          <w:sz w:val="18"/>
          <w:szCs w:val="18"/>
          <w:color w:val="auto"/>
        </w:rPr>
        <w:t>. All Closing Payment Shares issued upon the surrender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cancellation of the Company Common Stock, in accordance with the terms hereof, shall be deemed to have been issued in full satisfaction of all rights pertaining to such securities, other than the additional obligations of Parent and the rights of the Stockholders pursuant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0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Lost or Destroyed Certificates</w:t>
      </w:r>
      <w:r>
        <w:rPr>
          <w:rFonts w:ascii="Times New Roman" w:cs="Times New Roman" w:eastAsia="Times New Roman" w:hAnsi="Times New Roman"/>
          <w:sz w:val="18"/>
          <w:szCs w:val="18"/>
          <w:color w:val="auto"/>
        </w:rPr>
        <w:t>. In the event any certificates representing shares of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shall have been lost, stolen or destroyed, Parent shall issue in exchange for such lost, stolen or destroyed certificates or securities, as the case may be, upon the making of an affidavit of that fact by the holder thereof (without the requirement to post a bond), such securities, as may be required pursuant to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7" w:lineRule="auto"/>
        <w:tabs>
          <w:tab w:leader="none" w:pos="1593"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Escrow Shares</w:t>
      </w:r>
      <w:r>
        <w:rPr>
          <w:rFonts w:ascii="Times New Roman" w:cs="Times New Roman" w:eastAsia="Times New Roman" w:hAnsi="Times New Roman"/>
          <w:sz w:val="18"/>
          <w:szCs w:val="18"/>
          <w:color w:val="auto"/>
        </w:rPr>
        <w:t>. Notwithstanding anything to the contrary in the other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Parent shall withhold from the Closing Payment Shares issued to each applicable holder of Company Capital Stock at Closing the portion of the Escrow Shares set forth next to such holder of Company Capital Stock’s name on the Capitalization Schedule, all of which shall, as reflected in the Capitalization Schedule, be withheld on a pro rata basis in proportion to each Escrow Participant’s Pro Rata Portion. The aggregate amount of such shares withheld shall equal Escrow Shares.</w:t>
      </w:r>
    </w:p>
    <w:p>
      <w:pPr>
        <w:spacing w:after="0" w:line="114"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55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Capitalization Schedule</w:t>
      </w:r>
      <w:r>
        <w:rPr>
          <w:rFonts w:ascii="Times New Roman" w:cs="Times New Roman" w:eastAsia="Times New Roman" w:hAnsi="Times New Roman"/>
          <w:sz w:val="18"/>
          <w:szCs w:val="18"/>
          <w:color w:val="auto"/>
        </w:rPr>
        <w:t>. No later than three (3) Business Days prior to the Closing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shall deliver to Parent a final and updated Capitalization Schedule, which (A) updates the number of shares of Company Series B Preferred Stock that are issued upon conversion of the Convertible Notes, updates the number of shares of Company Common Stock outstanding to reflect the issuance of such Company Common Stock upon exercise of Company Options after the date hereof and updates the of Vested Company Options prior to the Closing Date and (B) sets forth the following information: (i) the name of each Company Securityholder; (ii) the number and type or class of each Company Security held by each Company Securityholder, including, if applicable to such Company Securityholder, the number of shares of Company Common Stock issuable upon conversion or exercise of such Company Security and the exercise price per share for such Company Security; (iii) the vesting arrangements with respect to each Company Security held by such Company Securityholder (including the vesting schedule, vesting commencement date, date fully vested and the extent to which such Company Security is or will be vested as of the Effective Time); (iv) the total number of Parent Class A Shares issuable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in respect of each share of Company Capital Stock held by such Company Securityholder; (v) the total number of Parent Class A Shares issuable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upon conversion of each Company Option and the Company Warrant, respectively, held by such Company Securityholder, and the respective exercise price per share applicable to such Company Option and the Company Warrant following the Effective Time; (vi) the number of Escrow Shares deposited into the Escrow Fund on behalf of such Company Securityholder pursuant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(vii) such Company Securityholder’s Pro Rata Portion, if any. Nothing contained in this </w:t>
      </w:r>
      <w:r>
        <w:rPr>
          <w:rFonts w:ascii="Times New Roman" w:cs="Times New Roman" w:eastAsia="Times New Roman" w:hAnsi="Times New Roman"/>
          <w:sz w:val="18"/>
          <w:szCs w:val="18"/>
          <w:u w:val="single" w:color="auto"/>
          <w:color w:val="auto"/>
        </w:rPr>
        <w:t>Section 4.1(j)</w:t>
      </w:r>
      <w:r>
        <w:rPr>
          <w:rFonts w:ascii="Times New Roman" w:cs="Times New Roman" w:eastAsia="Times New Roman" w:hAnsi="Times New Roman"/>
          <w:sz w:val="18"/>
          <w:szCs w:val="18"/>
          <w:color w:val="auto"/>
        </w:rPr>
        <w:t xml:space="preserve"> or in the updated Capitalization Schedule delivered pursuant hereto shall be construed or deemed to: (x) modify the Company’s obligations to obtain Parent’s prior consent to the issuance of any securities pursuant to </w:t>
      </w:r>
      <w:r>
        <w:rPr>
          <w:rFonts w:ascii="Times New Roman" w:cs="Times New Roman" w:eastAsia="Times New Roman" w:hAnsi="Times New Roman"/>
          <w:sz w:val="18"/>
          <w:szCs w:val="18"/>
          <w:u w:val="single" w:color="auto"/>
          <w:color w:val="auto"/>
        </w:rPr>
        <w:t>Section 7.1(a)(xvi)</w:t>
      </w:r>
      <w:r>
        <w:rPr>
          <w:rFonts w:ascii="Times New Roman" w:cs="Times New Roman" w:eastAsia="Times New Roman" w:hAnsi="Times New Roman"/>
          <w:sz w:val="18"/>
          <w:szCs w:val="18"/>
          <w:color w:val="auto"/>
        </w:rPr>
        <w:t>; or (y) alter or amend the total aggregate number of Closing Payment Shares issuable or reserved for issuance to the Company Securityholders; or (z) alter or amend the definition of Closing Consideration Conversion Ratio.</w:t>
      </w:r>
    </w:p>
    <w:p>
      <w:pPr>
        <w:spacing w:after="0" w:line="13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xml:space="preserve">. No fractional Parent Class A Shares, or certificates or scrip representing fractional Parent Class A Shares, will be issued upon the conversion of the Company Capital Stock pursuant to the Merger, including with respect to any release of the Escrow Shares pursuant to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and the Escrow Agreement, and such fractional share interests will not entitle the owner thereof to vote or to any rights of a stockholder of Parent. Any fractional Parent Class A Shares will be rounded down to the nearest whole number of Parent Class A Shares.</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the Company and the Surviving Corporation shall provide recipients of consideration with a reasonable opportunity to provide documentation establishing exemptions from or reductions of such withholdings.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8" w:name="page319"/>
    <w:bookmarkEnd w:id="3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2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Except as set forth in the disclosure schedules delivered by the Company to Parent prior to the execution of this Agreement, the Company hereby represents and warrants to Parent that each of the following representations and warranties are true, correct and complete as of the date of this Agreement and as of the Closing Date.</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xml:space="preserve">. The Company is a corporation duly organized and validly existing under the laws of the State of Delaware The Company has all power and authority, corporate and otherwise, required to own and operate its properties and assets and to carry on the Business as presently conducted and as proposed to be conducted. The Company has the corporate power and authority to own or lease all of its properties and assets and to carry on its Business as it is now being conducted. The Company is duly licensed or qualified to do business in each jurisdiction in which its properties are owned or leased by it or the operation of its Business as currently conducted makes such licensing or qualification necessary, except where the failure to be so licensed or qualified would not have a Material Adverse Effect. The Company has offices located only at the addresses set forth on </w:t>
      </w:r>
      <w:r>
        <w:rPr>
          <w:rFonts w:ascii="Times New Roman" w:cs="Times New Roman" w:eastAsia="Times New Roman" w:hAnsi="Times New Roman"/>
          <w:sz w:val="18"/>
          <w:szCs w:val="18"/>
          <w:u w:val="single" w:color="auto"/>
          <w:color w:val="auto"/>
        </w:rPr>
        <w:t>Schedule 5.1</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4" w:lineRule="auto"/>
        <w:tabs>
          <w:tab w:leader="none" w:pos="157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Additional Agreements to which the Company is or will be a party and the consummation by the Company of the transactions contemplated hereby and thereby are within the corporate powers of the Company and have been duly authorized by all necessary action on the part of the Company. This Agreement constitutes, and, upon the execution and delivery thereof, each Additional Agreement to which the Company is or will be a party will constitute, a valid and legally binding agreement of the Company, enforceable against the Company in accordance with its terms, except as may be limited by bankruptcy, insolvency, reorganization or other similar laws affecting the enforcement of creditors’ rights generally and by general principles of equity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resolutions duly adopted (and not thereafter modified or rescinded) by the requisite vote of the Board of Directors of the Company, the Board of Directors of the Company has (i) approved this Agreement, the Additional Agreements and the transactions contemplated hereby and thereby in accordance with the provisions of the DGCL and the Company Certificate of Incorporation; (ii) determined that this Agreement, the Additional Agreements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votes or written consents of (a) Persons holding more than fifty percent (50%) (on an as-converted basis) of the voting power of the Company Stockholders; (b) Persons holding more than fifty percent (50%) of outstanding shares of Company Preferred Stock, voting as a separate class; and (c) Persons holding more than fifty percent (50%) of outstanding shares of Company Series B Preferred Stock, voting as a separate class, in each case, who deliver written consents or are present in person or by proxy at such meeting and voting thereon are required to, and shall be sufficient to, approve this Agreement and the transactions contemplated hereby (the “</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is the only vote or consent of any of the holders of any of the Company Capital Stock necessary to adopt this Agreement and approve the Merger and the consummation of the other transactions contemplated hereby.</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the filing of the Certificate of Merger with the Secretary of State of the State of Delaware pursuant to the DGCL.</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None of the execution, delivery or performance by the Company of this Agreement or any Additional Agreement to which the Company is or will be a party does or will (a) contravene or conflict with the organizational documents of the Company, (b) contravene or conflict with or constitute a violation of any provision of any Law or Order binding upon or applicable to the Company or by which any of the Company’s assets is or may be bound, (c) except for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requiring the Company (but only as to the need to obtain such Company Consents), constitute a default under or breach of (with or without the giving of notice or the passage of time or both) or violate or give rise to any right of termination, cancellation, amendment or acceleration of any right or obligation of the Company or require any payment or reimbursement or to a loss of any material benefit relating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9" w:name="page320"/>
    <w:bookmarkEnd w:id="3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the Business to which the Company is entitled under any provision of any Permit, Contract or other instrument or obligations binding upon the Company or by which any of the Company’s assets is or may be bound or any Permit, (d) cause a loss of any material benefit relating to the Business to which the Company is entitled under any provision of any Permit or Contract binding upon the Company or by which any of the Company’s assets is or may be bound, (e) result in the creation or imposition of any Lien (except for Permitted Liens) on any of the Company’s assets or any of the Company Securities, or (f) require any consent, approval or waiver from any Person pursuant to any provision of the Company Certificate of Incorporation or by-laws, except for such consent, approval or waiver which shall be obtained (and a copy provided to Parent) prior to the Closing.</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2" w:lineRule="auto"/>
        <w:tabs>
          <w:tab w:leader="none" w:pos="159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95,000,000 shares of the Company Common Stock, par value $0.001 per share, and 76,723,489 shares of preferred stock, par value $0.001 per share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xml:space="preserve">”), of which 5,858,662 shares of Company Common Stock, 39,722,088 shares of Company Series A Preferred Stock and 24,790,938 shares of Company Series B Preferred Stock are issued and outstanding as of the date of this Agreement. There are 8,129,358 shares of Company Common Stock reserved for issuance pursuant to outstanding unexercised Company Options. There are 2,342,148 shares of Company Common Stock reserved for issuance under the Equity Incentive Plans. In addition, the Company Warrant to purchase 70,000 shares of Company Series A Preferred Stock is issued and outstanding as of the date of this Agreement. No other shares of capital stock or other voting securities of the Company are issued, reserved for issuance or outstanding. All issued and outstanding shares of Company Common Stock and Company Preferred Stock are duly authorized, validly issued, fully paid and nonassessable. No shares of Company Common Stock or Company Preferred Stock were or are subject to, or were issued in violation of any purchase option, right of first refusal, preemptive right, subscription right or any similar right (including under any provision of the DGCL Corporation Law, the Company Certificate of Incorporation or any Contract to which the Company is a party or by which the Company is bound). </w:t>
      </w:r>
      <w:r>
        <w:rPr>
          <w:rFonts w:ascii="Times New Roman" w:cs="Times New Roman" w:eastAsia="Times New Roman" w:hAnsi="Times New Roman"/>
          <w:sz w:val="18"/>
          <w:szCs w:val="18"/>
          <w:u w:val="single" w:color="auto"/>
          <w:color w:val="auto"/>
        </w:rPr>
        <w:t>Schedule 5.5(a)</w:t>
      </w:r>
      <w:r>
        <w:rPr>
          <w:rFonts w:ascii="Times New Roman" w:cs="Times New Roman" w:eastAsia="Times New Roman" w:hAnsi="Times New Roman"/>
          <w:sz w:val="18"/>
          <w:szCs w:val="18"/>
          <w:color w:val="auto"/>
        </w:rPr>
        <w:t xml:space="preserve"> contains a true, correct and complete list of each Company Option outstanding as of the date of this Agreement, the holder thereof, the number of shares of Company Common Stock issuable thereunder or otherwise subject thereto, the grant date thereof and the exercise price and expiration date thereof.</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Company Restricted Stock, Company Options, the Company Warrant and the Convertible Notes, there are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0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all outstanding shares of the Company Capital Stock are owned of record by the Persons set forth on the Capitalization Schedule in the amounts set forth opposite their respective names. All of the outstanding shares of Company Capital Stock are validly issued and outstanding, fully paid and nonassessable with no personal liability attaching to the ownership thereof.</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complete and accurate.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0" w:name="page321"/>
    <w:bookmarkEnd w:id="3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directly or indirectly own, or hold any rights to acquire, any capital stock or any other securities or interests in any Person.</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The Contracts listed on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are the only Contracts binding upon the Company or by which any of the Company’s assets are bound,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Times New Roman" w:cs="Times New Roman" w:eastAsia="Times New Roman" w:hAnsi="Times New Roman"/>
          <w:sz w:val="18"/>
          <w:szCs w:val="18"/>
          <w:u w:val="single" w:color="auto"/>
          <w:color w:val="auto"/>
        </w:rPr>
        <w:t>Company Consent</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87"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Parent (a) the audited balance sheets of the Company, and the related statements of operations and comprehensive loss, convertible preferred stock and stockholders’ equity (deficit) and cash flows, for the years ended December 31, 2018 and December 31, 2019 including the notes thereto (collectively, the “</w:t>
      </w: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and (b) the unaudited balance sheet of the Company as of June 30, 2020 (the “</w:t>
      </w:r>
      <w:r>
        <w:rPr>
          <w:rFonts w:ascii="Times New Roman" w:cs="Times New Roman" w:eastAsia="Times New Roman" w:hAnsi="Times New Roman"/>
          <w:sz w:val="18"/>
          <w:szCs w:val="18"/>
          <w:u w:val="single" w:color="auto"/>
          <w:color w:val="auto"/>
        </w:rPr>
        <w:t>Interim Balance Sheet</w:t>
      </w:r>
      <w:r>
        <w:rPr>
          <w:rFonts w:ascii="Times New Roman" w:cs="Times New Roman" w:eastAsia="Times New Roman" w:hAnsi="Times New Roman"/>
          <w:sz w:val="18"/>
          <w:szCs w:val="18"/>
          <w:color w:val="auto"/>
        </w:rPr>
        <w:t>”) and the related statements of operations and comprehensive loss, convertible preferred stock and stockholders’ equity (deficit) and cash flows for the six (6) months ended June 30, 2019 and June 30, 2020 (collectively, the “</w:t>
      </w:r>
      <w:r>
        <w:rPr>
          <w:rFonts w:ascii="Times New Roman" w:cs="Times New Roman" w:eastAsia="Times New Roman" w:hAnsi="Times New Roman"/>
          <w:sz w:val="18"/>
          <w:szCs w:val="18"/>
          <w:u w:val="single" w:color="auto"/>
          <w:color w:val="auto"/>
        </w:rPr>
        <w:t>Unaudited Financial Statements</w:t>
      </w:r>
      <w:r>
        <w:rPr>
          <w:rFonts w:ascii="Times New Roman" w:cs="Times New Roman" w:eastAsia="Times New Roman" w:hAnsi="Times New Roman"/>
          <w:sz w:val="18"/>
          <w:szCs w:val="18"/>
          <w:color w:val="auto"/>
        </w:rPr>
        <w:t>” and, together with the Annual Financial Statements,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The Company Financial Statements have been prepared in conformity with U.S. GAAP applied on a consistent basis and in accordance with the requirements of the Public Company Accounting Oversight Board for public companies.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in all material respects. Since June 30, 2020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127"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 specifically disclosed, reflected or fully reserved against on the Balance Sheet;</w:t>
      </w:r>
    </w:p>
    <w:p>
      <w:pPr>
        <w:spacing w:after="0" w:line="27"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and obligations incurred in the ordinary course of business since the date of the Balance Sheet;</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that are executory obligations arising under Contracts to which the Company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Times New Roman" w:cs="Times New Roman" w:eastAsia="Times New Roman" w:hAnsi="Times New Roman"/>
          <w:sz w:val="18"/>
          <w:szCs w:val="18"/>
          <w:u w:val="single" w:color="auto"/>
          <w:color w:val="auto"/>
        </w:rPr>
        <w:t>Schedule 5.9(b)</w:t>
      </w:r>
      <w:r>
        <w:rPr>
          <w:rFonts w:ascii="Times New Roman" w:cs="Times New Roman" w:eastAsia="Times New Roman" w:hAnsi="Times New Roman"/>
          <w:sz w:val="18"/>
          <w:szCs w:val="18"/>
          <w:color w:val="auto"/>
        </w:rPr>
        <w:t>, the Company does not have any material liabilities, debts or obligations of any nature (whether accrued, fixed or contingent, liquidated or unliquidated, asserted or unasserted or otherwise) of the type required to be reflected on a balance sheet in accordance with U.S. GAAP. The Company represents that neither its annual sales nor its total assets exceed the current threshold of $18,800,000 under Section 18a(a)(2)(B)(ii) of the Hart-Scott-Rodino Antitrust Improvements Act of 1976.</w:t>
      </w:r>
    </w:p>
    <w:p>
      <w:pPr>
        <w:spacing w:after="0" w:line="12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Books and Records accurately and fairly, in reasonable detail, reflect the transactions and dispositions of assets of and the providing of services by the Company. The Company maintains procedures of internal controls sufficient to provide reasonable assurance that: (i) transactions are executed only in accordance with the respective management’s authorization; (ii) all income and expense items are promptly and properly recorded for the relevant periods in accordance with the revenue recognition and expense policies maintained by the Company, as permitted by U.S. GAAP; and (iii) access to assets is permitted only in accordance with the respective management’s authorization. The Books and Records of the Company have been maintained, in all material respects in accordance with reasonable business practices.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Internal Accounting Controls</w:t>
      </w:r>
      <w:r>
        <w:rPr>
          <w:rFonts w:ascii="Times New Roman" w:cs="Times New Roman" w:eastAsia="Times New Roman" w:hAnsi="Times New Roman"/>
          <w:sz w:val="18"/>
          <w:szCs w:val="18"/>
          <w:color w:val="auto"/>
        </w:rPr>
        <w:t>. The Company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the Company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1" w:name="page322"/>
    <w:bookmarkEnd w:id="3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xml:space="preserve">. From the Balance Sheet Date until the date of this Agreement, (a) the Company and the Company Subsidiaries have conducted in all material respects their respective businesses in the ordinary course and in a manner consistent with past practice; (b) there has not been any Material Adverse Effect; and (c) the Company has not taken any action that, if taken after the date of this Agreement and prior to the consummation of the Merger, would require the consent of Parent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Properties; Title to the Company’s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58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Tangible Personal Property have no defects, are in good operating condition and repair and function in accordance with their intended uses (ordinary wear and tear excepted), have been properly maintained and are suitable for their present uses and meet all specifications and warranty requirements with respect thereto. All of the Tangible Personal Property is located at the office of the Company.</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good, valid and marketable title in and to, or in the case of the Lease and the assets which are leased or licensed pursuant to Contracts, a valid leasehold interest or license in or a right to use all of the tangible assets reflected on the Balance Sheet. Except as set forth on </w:t>
      </w:r>
      <w:r>
        <w:rPr>
          <w:rFonts w:ascii="Times New Roman" w:cs="Times New Roman" w:eastAsia="Times New Roman" w:hAnsi="Times New Roman"/>
          <w:sz w:val="18"/>
          <w:szCs w:val="18"/>
          <w:u w:val="single" w:color="auto"/>
          <w:color w:val="auto"/>
        </w:rPr>
        <w:t>Schedule 5.13(b),</w:t>
      </w:r>
      <w:r>
        <w:rPr>
          <w:rFonts w:ascii="Times New Roman" w:cs="Times New Roman" w:eastAsia="Times New Roman" w:hAnsi="Times New Roman"/>
          <w:sz w:val="18"/>
          <w:szCs w:val="18"/>
          <w:color w:val="auto"/>
        </w:rPr>
        <w:t xml:space="preserve"> no such tangible asset is subject to any Lien other than Permitted Liens. The Company’s assets constitute all of the rights, property and other assets of any kind or description whatsoever, including goodwill, necessary for the Company to operate the Business immediately after the Closing, in all material respects, in the same manner as the Business is currently being conducted.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pending or, to the Knowledge of the Company, threatened in writing against or affecting the Company, any of the officers or directors of the Company (in their capacities as such), the Business, any of the Company’s assets or any Contract before any Authority that any manner challenges or seeks to prevent, enjoin, alter or delay the transactions contemplated by this Agreement or any Additional Agreement. There are no outstanding judgments against the Company. The Company is not, and has not been in the past five (5) years, subject to any Action by any Authority.</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66" w:lineRule="auto"/>
        <w:tabs>
          <w:tab w:leader="none" w:pos="156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xml:space="preserve"> lists all of the following Contracts (collectively, such Contracts that are listed or should be listed on </w:t>
      </w: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to which, as of the date of this Agreement, the Company is a party or by which any of its assets is bound and which are currently in effect:</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181"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require annual payments or expenses incurred by, or annual payments or income to, the Company of $500,000 or more (other than standard purchase and sale orders entered into in the ordinary course of business consistent with past practice);</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272"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advertising, agency, lobbying, broker, sales promotion, market research, marketing or similar contracts and agreements, in each case requiring the payment of any commissions by the Company in excess of $500,000 annually;</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4" w:lineRule="auto"/>
        <w:tabs>
          <w:tab w:leader="none" w:pos="2327"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employment Contract, employee leasing Contract and consultant and sales representatives Contract with any current officer, director, employee or consultant of the Company, under which the Company (A) has continuing obligations for payment of annual compensation of at least $250,000, and which is not terminable for any reason or no reason upon reasonable notice without payment of any penalty, severance or other obligation; (B) has severance or post-termination obligations to such Person (other than COBRA obligations); or (C) has an obligation to make a payment upon consummation of the transactions contemplated hereby or as a result of a change of control of the Company;</w:t>
      </w:r>
    </w:p>
    <w:p>
      <w:pPr>
        <w:spacing w:after="0" w:line="12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285"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a joint venture, strategic alliance, limited liability company or partnership arrangement to which the Company is a party;</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5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any acquisitions or dispositions of material assets by the Company (other than acquisitions or dispositions of inventory in the ordinary course of business consistent with past practice);</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265"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the Company is obligated to pay royalties under a license for the use of Intellectual Property Rights, and all other material licensing Contracts, including those pursuant to which any Intellectual Property Rights are licensed by or to the Company and including material transfer agreements, services agreements and scientific advisory board agreements, other than (A) “shrink wrap” or other licenses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2" w:name="page323"/>
    <w:bookmarkEnd w:id="3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generally commercially available software (including open source software) or hosted services,</w:t>
      </w:r>
    </w:p>
    <w:p>
      <w:pPr>
        <w:spacing w:after="0" w:line="27" w:lineRule="exact"/>
        <w:rPr>
          <w:sz w:val="20"/>
          <w:szCs w:val="20"/>
          <w:color w:val="auto"/>
        </w:rPr>
      </w:pPr>
    </w:p>
    <w:p>
      <w:pPr>
        <w:jc w:val="both"/>
        <w:ind w:left="880" w:right="459" w:firstLine="6"/>
        <w:spacing w:after="0" w:line="255" w:lineRule="auto"/>
        <w:tabs>
          <w:tab w:leader="none" w:pos="1168"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or channel partner Contracts substantially on Company’s standard forms, (C) Contracts with the Company’s employees or contractors substantially on Company’s standard forms, and (D) non-disclosure agreements (the “</w:t>
      </w:r>
      <w:r>
        <w:rPr>
          <w:rFonts w:ascii="Times New Roman" w:cs="Times New Roman" w:eastAsia="Times New Roman" w:hAnsi="Times New Roman"/>
          <w:sz w:val="18"/>
          <w:szCs w:val="18"/>
          <w:u w:val="single" w:color="auto"/>
          <w:color w:val="auto"/>
        </w:rPr>
        <w:t>Standard Contracts</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ind w:left="880" w:right="459" w:firstLine="1086"/>
        <w:spacing w:after="0" w:line="282" w:lineRule="auto"/>
        <w:tabs>
          <w:tab w:leader="none" w:pos="2321" w:val="left"/>
        </w:tabs>
        <w:numPr>
          <w:ilvl w:val="3"/>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limiting the freedom of the Company to compete in any line of business or industry, with any Person or in any geographic area;</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400" w:val="left"/>
        </w:tabs>
        <w:numPr>
          <w:ilvl w:val="3"/>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patents, trademarks, service marks, trade names, brands, copyrights, trade secrets and other Intellectual Property Rights of the Company, other than Standard Contracts, material transfer agreements, services agreements and scientific advisory board agreements;</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86" w:val="left"/>
        </w:tabs>
        <w:numPr>
          <w:ilvl w:val="3"/>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providing for guarantees, indemnification arrangements and other hold harmless arrangements made or provided by the Company, including all ongoing agreements for repair, warranty, maintenance, service, indemnification or similar obligations, other than Standard Contracts;</w:t>
      </w:r>
    </w:p>
    <w:p>
      <w:pPr>
        <w:spacing w:after="0" w:line="108"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218" w:val="left"/>
        </w:tabs>
        <w:numPr>
          <w:ilvl w:val="3"/>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or pertaining to the Company to which any Affiliate of the Company is a party, other than any Contracts relating to such Affiliate’s status as a Company Securityholder;</w:t>
      </w:r>
    </w:p>
    <w:p>
      <w:pPr>
        <w:spacing w:after="0" w:line="94"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307" w:val="left"/>
        </w:tabs>
        <w:numPr>
          <w:ilvl w:val="3"/>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property or assets (whether real or personal, tangible or intangible) in which the Company holds a leasehold interest (including the Lease) and which involve payments to the lessor thereunder in excess of $500,000 per year;</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39" w:val="left"/>
        </w:tabs>
        <w:numPr>
          <w:ilvl w:val="3"/>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creating or otherwise relating to outstanding Indebtedness (other than intercompany Indebtedness);</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76" w:val="left"/>
        </w:tabs>
        <w:numPr>
          <w:ilvl w:val="3"/>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voting or control of the equity interests of the Company or the election of directors of the Company (other than the organizational documents of the Company);</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82" w:val="left"/>
        </w:tabs>
        <w:numPr>
          <w:ilvl w:val="3"/>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not cancellable by the Company with no more than sixty (60) days’ notice if the effect of such cancellation would result in monetary penalty to the Company in excess of $500,000 per the terms of such contract;</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16" w:val="left"/>
        </w:tabs>
        <w:numPr>
          <w:ilvl w:val="3"/>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may be terminated, or the provisions of which may be altered, as a result of the consummation of the transactions contemplated by this Agreement or any Additional Agreement to which the Company is a party;</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61" w:lineRule="auto"/>
        <w:tabs>
          <w:tab w:leader="none" w:pos="2387" w:val="left"/>
        </w:tabs>
        <w:numPr>
          <w:ilvl w:val="3"/>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under which any of the benefits, compensation or payments (or the vesting thereof) will be increased or accelerated by the consummation of the transactions contemplated hereby, or the amount or value thereof will be calculated on the basis of, the transactions contemplated by this Agreement;</w:t>
      </w:r>
    </w:p>
    <w:p>
      <w:pPr>
        <w:spacing w:after="0" w:line="112" w:lineRule="exact"/>
        <w:rPr>
          <w:rFonts w:ascii="Times New Roman" w:cs="Times New Roman" w:eastAsia="Times New Roman" w:hAnsi="Times New Roman"/>
          <w:sz w:val="18"/>
          <w:szCs w:val="18"/>
          <w:color w:val="auto"/>
        </w:rPr>
      </w:pPr>
    </w:p>
    <w:p>
      <w:pPr>
        <w:ind w:left="2500" w:hanging="534"/>
        <w:spacing w:after="0"/>
        <w:tabs>
          <w:tab w:leader="none" w:pos="2500" w:val="left"/>
        </w:tabs>
        <w:numPr>
          <w:ilvl w:val="3"/>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collective  bargaining  or  other  agreements  with  a  labor  union  or  labor</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w:t>
      </w:r>
    </w:p>
    <w:p>
      <w:pPr>
        <w:spacing w:after="0" w:line="125" w:lineRule="exact"/>
        <w:rPr>
          <w:rFonts w:ascii="Times New Roman" w:cs="Times New Roman" w:eastAsia="Times New Roman" w:hAnsi="Times New Roman"/>
          <w:sz w:val="18"/>
          <w:szCs w:val="18"/>
          <w:color w:val="auto"/>
        </w:rPr>
      </w:pPr>
    </w:p>
    <w:p>
      <w:pPr>
        <w:ind w:left="2460" w:hanging="494"/>
        <w:spacing w:after="0"/>
        <w:tabs>
          <w:tab w:leader="none" w:pos="2460" w:val="left"/>
        </w:tabs>
        <w:numPr>
          <w:ilvl w:val="3"/>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address the provisions for business associate contracts required by</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w:t>
      </w:r>
    </w:p>
    <w:p>
      <w:pPr>
        <w:spacing w:after="0" w:line="139"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(i) a valid and binding agreement, (ii) in full force and effect and</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82"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enforceable by and against the Company and each counterparty that is party thereto, subject, in the case of this clause (iii), to the Enforceability Exceptions. Neither the Company nor, to the Company’s Knowledge, any other party to a Material Contract is in material breach or default (whether with or without the passage of time or the giving of notice or both) under the terms of any such Material Contract. The Company has not assigned, delegated or otherwise transferred any of its rights or obligations under any Material Contract or granted any power of attorney with respect thereto.</w:t>
      </w:r>
    </w:p>
    <w:p>
      <w:pPr>
        <w:spacing w:after="0" w:line="12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with all covenants, including all financial covenants, in all notes, indentures, bonds and other instruments or Contracts establishing or evidencing any Indebtedness.</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correctly lists each license, franchise, permit, order or approval or other similar authorization required under applicable law to carry out or otherwise affecting, or relating in any way to, the Business, together with the name of the Authority issuing the same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Such Permits are valid and in full force and effect, and none of the Permits will, assuming the related Company Consent has been obtained or waived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3" w:name="page324"/>
    <w:bookmarkEnd w:id="3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prior to the Closing Date, be terminated or impaired or become terminable as a result of the transactions contemplated hereby. The Company has all material Permits necessary to operate the Business, including those administered by the FDA or by any foreign, federal, state or local governmental or regulatory authority performing functions similar to those performed by the FDA necessary to conduct the Business. The Company is not in material breach or violation of, or material default under, any such Permit, and, to the Company’s Knowledge, no basis exists which, with notice or lapse of time or both, would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3" w:lineRule="auto"/>
        <w:tabs>
          <w:tab w:leader="none" w:pos="1573"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in any material respect of, and, since January 1, 2018, has been in compliance in all material respects with all applicable Laws. Since January 1, 2018, the Company has not been threatened in writing or given written notice of any violation of any Law or any judgment, order or decree entered by any Authority. Without limiting the generality of the foregoing, the Company is, and during the last three (3) years has been, in material compliance with: (i) every Law applicable to the Company due to the specific nature of the Business, including Data Protection Laws and Laws applicable to lending activities;</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47"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(the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and any comparable or similar Law of any jurisdiction applicable to the Company; and (iii) every Law regulating or covering conduct in the workplace, including regarding sexual harassment or, on any legally impermissible basis, a hostile work environment. During the last three (3) years, the Company has not been threatened or charged in writing (or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is not under any investigations with respect to any such Law.</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8"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Knowledge of the Company, any director, officer, agent, employee, Affiliate or Person acting on behalf of the Company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1" w:lineRule="auto"/>
        <w:tabs>
          <w:tab w:leader="none" w:pos="160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sets forth a true, correct and complete list of all unexpired or pending registered Intellectual Property Rights and applications for registration of Intellectual Property Rights owned (whether exclusively, jointly with another Person or otherwise) or filed by the Company or in which the Company has or purports to have an exclusive interest of any nature, specifying as to each, as applicable: (i) the nature of such Intellectual Property Right; (ii) the owner of such Intellectual Property Right and the nature of such ownership; (iii) the jurisdictions by or in which such Intellectual Property Right has been issued or registered or in which an application for such issuance or registration has been filed; and (iv) other than Standard Contracts, all licenses, sublicenses and other agreements pursuant to which any Person is authorized to use such Intellectual Property Right. In the past two (2) years, the Company has not abandoned any patents or non-provisional patent applications. The Company owns, has valid and enforceable licenses for or otherwise has adequate rights to use Intellectual Property Rights as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Intellectual Property Rights of the Company have not been adjudged by a court of competent jurisdiction invalid or unenforceable in whole or in part. As of the date of this Agreement, no Intellectual Property Right that is listed or required to be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is challenged in any interference, opposition, reissue, reexamination, revocation or equivalent proceeding, and to the Knowledge of the Company, no such proceeding has been threatened in writing with respect to any such Intellectual Property Rights. As of the date hereof, all registration, maintenance and renewal fees currently due in connection with such registered Intellectual Property Rights have been paid and all documents, recordations and certificates in connection with such registered Intellectual Property Rights currently required to be filed have been filed with the relevant patent, copyright, trademark or other authorities in the United States or foreign jurisdictions, as the case may be, for the purposes of prosecuting, maintaining and perfecting such registered Intellectual Property Rights and recording the Company’s ownership interests therein.</w:t>
      </w:r>
    </w:p>
    <w:p>
      <w:pPr>
        <w:spacing w:after="0" w:line="124"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12"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the sole and exclusive owner of each item of Intellectual Property Rights owned or purported to be owned by the Company, including the items of Intellectual Property Rights identified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as being owned by the Company (other than any co-owners disclosed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The Company has a valid right to use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that are used (but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4" w:name="page325"/>
    <w:bookmarkEnd w:id="3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not owned) by it in the operation of the Business as presently conducted. The product candidates under material development by the Company, the methods of manufacturing, and using the product candidates fall within the scope of the claims of one or more patent or pending patent applications owned by, or exclusively licensed to, the Company.</w:t>
      </w:r>
    </w:p>
    <w:p>
      <w:pPr>
        <w:spacing w:after="0" w:line="112" w:lineRule="exact"/>
        <w:rPr>
          <w:sz w:val="20"/>
          <w:szCs w:val="20"/>
          <w:color w:val="auto"/>
        </w:rPr>
      </w:pPr>
    </w:p>
    <w:p>
      <w:pPr>
        <w:jc w:val="both"/>
        <w:ind w:left="460" w:right="459" w:firstLine="858"/>
        <w:spacing w:after="0" w:line="253" w:lineRule="auto"/>
        <w:tabs>
          <w:tab w:leader="none" w:pos="162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the Company, all registered Intellectual Property Rights listed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are subsisting and all the granted patents are valid and enforceable. To the Knowledge of the Company, there is no granted patent owned by any third party containing a valid claim that (i) is required by the Company to conduct its material business as currently conducted and (ii) the Company is not currently authorized to use. To the Knowledge of the Company, the use of any Intellectual Property Rights in connection with the operation of the material business of the Company do not conflict with, infringe, misappropriate or otherwise violate the Intellectual Property Rights, including rights of privacy, publicity and endorsement, of any third party. The Company is not challenging the patentability of a third party patent. The Intellectual Property Rights set forth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xml:space="preserve"> include all of the material patent rights owned by or licensed to the Company used in the ordinary day-to-day conduct of the business of the Company. To the Knowledge of the Company, there is no prior art that may render any patent within the Intellectual Property Rights invalid. To the Knowledge of the Company, there are no material defects in any of the patents or patent applications within the Intellectual Property Rights.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7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5.18(d)</w:t>
      </w:r>
      <w:r>
        <w:rPr>
          <w:rFonts w:ascii="Times New Roman" w:cs="Times New Roman" w:eastAsia="Times New Roman" w:hAnsi="Times New Roman"/>
          <w:sz w:val="18"/>
          <w:szCs w:val="18"/>
          <w:color w:val="auto"/>
        </w:rPr>
        <w:t xml:space="preserve">, to the Knowledge of the Company (i) there are no rights of third parties to any of the Intellectual Property Rights, including liens, security interests or other encumbrances; (ii) there is no infringement by third parties of any Intellectual Property Right owned by, or licensed to, the Company; (iii) as of the date of this Agreement, there is no pending or, to the Knowledge of the Company, threatened Action by any Person challenging the rights of the Company in or to any Intellectual Property Rights owned by, or licensed to, the Company; (iv) as of the date of this Agreement, there is no pending or, to the Knowledge of the Company, threatened Action by any Person challenging the validity, enforceability or scope of any Intellectual Property Rights owned by, or licensed to, the Company; (v) as of the date of this Agreement, there is no pending or, to the Knowledge of the Company, threatened Action by any Person (nor has the Company received any claim from a third party) alleging that the Company use of any Intellectual Property Right infringes or otherwise violates, or would, upon the commercialization of any product or service described on </w:t>
      </w:r>
      <w:r>
        <w:rPr>
          <w:rFonts w:ascii="Times New Roman" w:cs="Times New Roman" w:eastAsia="Times New Roman" w:hAnsi="Times New Roman"/>
          <w:sz w:val="18"/>
          <w:szCs w:val="18"/>
          <w:u w:val="single" w:color="auto"/>
          <w:color w:val="auto"/>
        </w:rPr>
        <w:t>Schedule 5.18(a)</w:t>
      </w:r>
      <w:r>
        <w:rPr>
          <w:rFonts w:ascii="Times New Roman" w:cs="Times New Roman" w:eastAsia="Times New Roman" w:hAnsi="Times New Roman"/>
          <w:sz w:val="18"/>
          <w:szCs w:val="18"/>
          <w:color w:val="auto"/>
        </w:rPr>
        <w:t>, infringe or otherwise violate, any patent, trademark, tradename, service name, copyright, trade secret or other proprietary right of any other Person. Within the past five (5) years (or prior thereto if the same is still pending or subject to appeal or reinstatement), the Company has not been sued or charged in writing with or been a defendant in any Action that involves a claim of infringement or misappropriation of any Intellectual Property Rights.</w:t>
      </w:r>
    </w:p>
    <w:p>
      <w:pPr>
        <w:spacing w:after="0" w:line="113"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4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 unauthorized use, unauthorized disclosure, infringement or misappropriation of any Intellectual Property Right owned or exclusively in-licensed by the Company, by any third party. As of the date hereof, the Company has not instituted any Action for infringement or misappropriation of any Intellectual Property Right owned by or exclusively in-licensed to the Company.</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4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disputes or Actions with respect to any Intellectual Property Rights and the Company is not a party to any dispute or Action relating to any Intellectual Property Rights, including any disputes or Actions relating to the ownership, validity, registrability, enforceability, violation or use of any Intellectual Property Rights owned by or exclusively in-licensed to the Company. To the Knowledge of the Company, the Company has complied with the terms of each Contract pursuant to which Intellectual Property Rights have been licensed to the Company, and all such Contracts are in full force and effect. Each Intellectual Property Right used by the Company in the performance of any services under any Contract is, and upon the performance of such Contract remains, owned by or in-licensed to the Company, and no client, customer or other Person has any claim of ownership to the Intellectual Property Rights used by the Company in the performance of any such Contract.</w:t>
      </w:r>
    </w:p>
    <w:p>
      <w:pPr>
        <w:spacing w:after="0" w:line="126" w:lineRule="exact"/>
        <w:rPr>
          <w:rFonts w:ascii="Times New Roman" w:cs="Times New Roman" w:eastAsia="Times New Roman" w:hAnsi="Times New Roman"/>
          <w:sz w:val="18"/>
          <w:szCs w:val="18"/>
          <w:color w:val="auto"/>
        </w:rPr>
      </w:pPr>
    </w:p>
    <w:p>
      <w:pPr>
        <w:jc w:val="both"/>
        <w:ind w:left="460" w:right="479" w:firstLine="858"/>
        <w:spacing w:after="0" w:line="254" w:lineRule="auto"/>
        <w:tabs>
          <w:tab w:leader="none" w:pos="159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5.18(g</w:t>
      </w:r>
      <w:r>
        <w:rPr>
          <w:rFonts w:ascii="Times New Roman" w:cs="Times New Roman" w:eastAsia="Times New Roman" w:hAnsi="Times New Roman"/>
          <w:sz w:val="18"/>
          <w:szCs w:val="18"/>
          <w:color w:val="auto"/>
        </w:rPr>
        <w:t xml:space="preserve">), each employee, agent, consultant and contractor who has made material contributions to the creation or development of any copyrightable, patentable or trade secret material on behalf of the Company or any predecessor in interest thereto either: (i) is a party to a “work-for-hire” agreement under which the Company is deemed to be the original owner/author of all property rights therein; (ii) has executed an assignment in favor of the Company (or such predecessor in interest, as applicable) all right, title and interest in such material; or (iii) only with respect to rights that cannot be assigned pursuant to an agreement described in clause (i) or (ii) of this </w:t>
      </w:r>
      <w:r>
        <w:rPr>
          <w:rFonts w:ascii="Times New Roman" w:cs="Times New Roman" w:eastAsia="Times New Roman" w:hAnsi="Times New Roman"/>
          <w:sz w:val="18"/>
          <w:szCs w:val="18"/>
          <w:u w:val="single" w:color="auto"/>
          <w:color w:val="auto"/>
        </w:rPr>
        <w:t>Section 5.18(g)</w:t>
      </w:r>
      <w:r>
        <w:rPr>
          <w:rFonts w:ascii="Times New Roman" w:cs="Times New Roman" w:eastAsia="Times New Roman" w:hAnsi="Times New Roman"/>
          <w:sz w:val="18"/>
          <w:szCs w:val="18"/>
          <w:color w:val="auto"/>
        </w:rPr>
        <w:t>, has licensed to the Company rights to use such Intellectual Property Rights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5" w:name="page326"/>
    <w:bookmarkEnd w:id="3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6" w:lineRule="auto"/>
        <w:tabs>
          <w:tab w:leader="none" w:pos="1628"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on Schedule 5.18(h), no (i) government funding or (ii) facility of a university, college, other educational institution or research center was used in the development of any item of Intellectual Property Right owned or purported to be owned by, or exclusively licensed to, the Company.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3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Intellectual Property Rights owned or used or held for use by the Company is subject to any pending or outstanding Order or other disposition of dispute that adversely restricts the use, transfer, registration or licensing of any such Intellectual Property Rights by the Company.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4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by the Company of this Agreement or any of the Additional Agreements to which the Company is or will be a party or the consummation by the Company of the transactions contemplated hereby or thereby will (i) cause any item of Intellectual Property Rights owned or purported to be owned by, or any material item of Intellectual Property Rights licensed, used or held for use by the Company immediately prior to the Closing, to not be owned, licensed or available for use by the Company on substantially the same terms and conditions immediately following the Closing or (ii) require any additional payment obligations by the Company in order to use or exploit any other such Intellectual Property Rights to the same extent as the Company was permitted before the Closing.</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agreements listed on </w:t>
      </w:r>
      <w:r>
        <w:rPr>
          <w:rFonts w:ascii="Times New Roman" w:cs="Times New Roman" w:eastAsia="Times New Roman" w:hAnsi="Times New Roman"/>
          <w:sz w:val="18"/>
          <w:szCs w:val="18"/>
          <w:u w:val="single" w:color="auto"/>
          <w:color w:val="auto"/>
        </w:rPr>
        <w:t>Schedule 5.15(a)(vi)</w:t>
      </w:r>
      <w:r>
        <w:rPr>
          <w:rFonts w:ascii="Times New Roman" w:cs="Times New Roman" w:eastAsia="Times New Roman" w:hAnsi="Times New Roman"/>
          <w:sz w:val="18"/>
          <w:szCs w:val="18"/>
          <w:color w:val="auto"/>
        </w:rPr>
        <w:t>, the Company is not obligated under any Contract to make any payments by way of royalties, fees, or otherwise to any owner or licensor of, or other claimant to, any Intellectual Property Rights.</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Company’s information technology networks and software applications are free of all viruses, worms, Trojan horses and other material known contaminants and do not contain any bugs, errors, or problems of a material nature that would disrupt or have an adverse impact on the operation of the information technology networks and software applications. The Company has implemented adequate policies and commercially reasonable security (i) regarding the collection, use, disclosure, confidentiality, integrity, availability and value of Personal Information (including health information), and business proprietary or sensitive information (including all trade secrets, items of Intellectual Property Rights that are confidential, confidential information, data and materials licensed by the Company or otherwise used in the operation of the Business); and (ii) regarding the integrity and availability of the information technology networks and software applications the Company owns, operates, or outsources. The Company has not experienced any information security incident that has compromised the integrity or availability of the information technology networks and software applications the Company owns, operates, or outsources, and there has been no loss, damage, or unauthorized access, disclosure, use, or breach of security of any Company information in its possession, custody, or control, or otherwise held or processed on its behalf. The transactions contemplated by this Agreement will not result in the violation of any Data Protection Laws or the privacy policies of the Company.</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7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since January 1, 2018, in compliance in all material respects with all applicable healthcare Laws, including (i) the Federal Food, Drug and Cosmetic Act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(ii) the Public Health Service Act (“</w:t>
      </w:r>
      <w:r>
        <w:rPr>
          <w:rFonts w:ascii="Times New Roman" w:cs="Times New Roman" w:eastAsia="Times New Roman" w:hAnsi="Times New Roman"/>
          <w:sz w:val="18"/>
          <w:szCs w:val="18"/>
          <w:u w:val="single" w:color="auto"/>
          <w:color w:val="auto"/>
        </w:rPr>
        <w:t>PHSA</w:t>
      </w:r>
      <w:r>
        <w:rPr>
          <w:rFonts w:ascii="Times New Roman" w:cs="Times New Roman" w:eastAsia="Times New Roman" w:hAnsi="Times New Roman"/>
          <w:sz w:val="18"/>
          <w:szCs w:val="18"/>
          <w:color w:val="auto"/>
        </w:rPr>
        <w:t>”); (iii) all federal or state criminal or civil fraud and abuse Laws (including the federal Anti-Kickback Statute (42 U.S.C. §1320a-7(b)), the Civil Monetary Penalties Law (42 U.S.C. §1320a-7(a)), the Sunshine Act (42 U.S.C. §1320a-7(h)), the Exclusion Law (42 U.S.C. §1320a-7), the Criminal False Statements Law (42 U.S.C. §1320a-7b(a), Stark Law (42 U.S.C. §1395nn), the False Claims Act (31 U.S.C. §§3729 et seq. 42 U.S.C. §1320a-7b(a)), HIPAA, (42 U.S.C. §§1320d et seq.), and any comparable state or local Laws) and; (iv) any applicable state licensing, disclosure and reporting requirements (all of the foregoing, collectively, “</w:t>
      </w:r>
      <w:r>
        <w:rPr>
          <w:rFonts w:ascii="Times New Roman" w:cs="Times New Roman" w:eastAsia="Times New Roman" w:hAnsi="Times New Roman"/>
          <w:sz w:val="18"/>
          <w:szCs w:val="18"/>
          <w:u w:val="single" w:color="auto"/>
          <w:color w:val="auto"/>
        </w:rPr>
        <w:t>Healthcare Laws</w:t>
      </w:r>
      <w:r>
        <w:rPr>
          <w:rFonts w:ascii="Times New Roman" w:cs="Times New Roman" w:eastAsia="Times New Roman" w:hAnsi="Times New Roman"/>
          <w:sz w:val="18"/>
          <w:szCs w:val="18"/>
          <w:color w:val="auto"/>
        </w:rPr>
        <w:t>”). The Company has not received written notification of any pending Action from the FDA or any other similar regulatory authority alleging that any operation or activity of the Company is in material violation of any applicable Healthcare Law.</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preclinical and clinical investigations conducted or sponsored by the Company and intended to be submitted to a regulatory authority to support a regulatory approval are being conducted in compliance in all material respects with all applicable Healthcare Laws administered or issued by the applicable Authority, including, as applicable, (i) the FDA regulations for conducting non-clinical laboratory studies contained in Title 21 part 58 of the Code of Federal Regulations, (ii) applicable FDA standards for the design, conduct, performance, monitoring, auditing, recording, analysis and reporting of clinical trials contained in Title 21 parts 50, 54, 56 and 312 of the Code of Federal Regulations and (iii) applicable federal, state and foreign Healthcare Laws restricting the use and disclosure of individually identifiable health information, including</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6" w:name="page327"/>
    <w:bookmarkEnd w:id="3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4" w:lineRule="auto"/>
        <w:tabs>
          <w:tab w:leader="none" w:pos="1579"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reports, documents, claims, permits and notices required to be filed, maintained or furnished to the FDA or any other regulatory authority by the Company have been so filed, maintained or furnished. To the Knowledge of the Company, all such reports, documents, claims, permits and notices were complete and accurate on the date filed (or were corrected in or supplemented by a subsequent filing). Neither the Company nor, to the Knowledge of the Company, any officer, employee or agent of the Company has</w:t>
      </w:r>
    </w:p>
    <w:p>
      <w:pPr>
        <w:spacing w:after="0" w:line="3"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8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an untrue statement of a material fact or any fraudulent statement to the FDA or any other regulatory authority, (ii) failed to disclose a material fact required to be disclosed to the FDA or any other regulatory authority or (iii) committed an act, made a statement, or failed to make a statement that, at the time such disclosure was made, would reasonably be expected to provide a reasonable basis for the FDA or any other regulatory authority to invoke its policy respecting “Fraud, Untrue Statements of Material Facts, Bribery, and Illegal Gratuities”, set forth in 56 Fed. Reg. 46191 (September 10, 1991) or any similar policy. Neither the Company nor, to the Knowledge of the Company, any officer, employee or agent of the Company has been convicted of any crime or engaged in any conduct for which debarment is mandated by 21 U.S.C. §335a(a) or any similar Healthcare Law or authorized by 21 U.S.C. §335a(b) or any similar Healthcare Law. Neither the Company nor, to the Knowledge of the Company, any officer, employee or agent of Company has been convicted of any crime or engaged in any conduct for which such person could be excluded from participating in the federal health care programs under Section 1128 of the Social Security Act of 1935 or any Healthcare Law. As of the date of this Agreement, no Actions that would reasonably be expected to result in material debarment or exclusion are pending or, to the Company’s Knowledge, threatened in writing against the Company or, to Company’s Knowledge, any of its officers, employees, contractors, suppliers (in their capacities as such) or other entities or individuals performing research or work on behalf of the Company. The Company is not party to any corporate integrity agreements, monitoring agreements, consent decrees, settlement orders, or similar agreements with or imposed by any Authority.</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9"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written notice, correspondence or other communication from the FDA or any other regulatory authority or from any institutional review board requiring the termination, suspension or material modification of any ongoing or planned clinical trials conducted by, or on behalf of, the Company.</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72"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no data generated by the Company with respect to its products is the subject of any written regulatory Action, either pending or, to the Company’s Knowledge, threatened, by any Authority relating to the truthfulness or scientific integrity of such data.</w:t>
      </w:r>
    </w:p>
    <w:p>
      <w:pPr>
        <w:spacing w:after="0" w:line="94"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product manufactured or distributed by the Company is</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7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adulterated within the meaning of 21 U.S.C. §351 (or any similar Healthcare Law), or (ii) misbranded within the meaning of 21 U.S.C. § 352 (or any similar Healthcare Law). As of the date of this Agreement, neither the Company nor, to the Company’s Knowledge, any of its respective contract manufacturers has received any FDA Form 483, warning letter, untitled letter, or other similar correspondence or written notice from the FDA or any other regulatory authority alleging or asserting material noncompliance with any applicable Healthcare Laws or Permits issued to the Company by the FDA or any other regulatory authority. No manufacturing site owned by the Company or, to the Company’s Knowledge, any of their respective contract manufacturers, is or has been subject to a shutdown or import or export prohibition imposed by FDA or another regulatory authority.</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Accounts Payable; Affiliate Loans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58"/>
        <w:spacing w:after="0" w:line="266" w:lineRule="auto"/>
        <w:tabs>
          <w:tab w:leader="none" w:pos="159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2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xml:space="preserve"> separately identifies any and all accounts, receivables or notes of the Company which are owed by any Affiliate of the Company. Except as set forth on </w:t>
      </w:r>
      <w:r>
        <w:rPr>
          <w:rFonts w:ascii="Times New Roman" w:cs="Times New Roman" w:eastAsia="Times New Roman" w:hAnsi="Times New Roman"/>
          <w:sz w:val="18"/>
          <w:szCs w:val="18"/>
          <w:u w:val="single" w:color="auto"/>
          <w:color w:val="auto"/>
        </w:rPr>
        <w:t>Schedule 5.20(b)</w:t>
      </w:r>
      <w:r>
        <w:rPr>
          <w:rFonts w:ascii="Times New Roman" w:cs="Times New Roman" w:eastAsia="Times New Roman" w:hAnsi="Times New Roman"/>
          <w:sz w:val="18"/>
          <w:szCs w:val="18"/>
          <w:color w:val="auto"/>
        </w:rPr>
        <w:t>, the Company is not indebted to any of its Affiliates and no Affiliates are indebted to the Company.</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Employees; Employment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60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5.21(a)</w:t>
      </w:r>
      <w:r>
        <w:rPr>
          <w:rFonts w:ascii="Times New Roman" w:cs="Times New Roman" w:eastAsia="Times New Roman" w:hAnsi="Times New Roman"/>
          <w:sz w:val="18"/>
          <w:szCs w:val="18"/>
          <w:color w:val="auto"/>
        </w:rPr>
        <w:t xml:space="preserve"> sets forth a true, correct and complete list of each of the five highest compensated officers or employees of the Company as of the date hereof, setting forth the name, title, current salary or compensation rate for each such person and total compensation (including bonuses and commissions) paid to each such person for the fiscal years ended December 31, 2019 and 2018.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7" w:name="page328"/>
    <w:bookmarkEnd w:id="3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5" w:lineRule="auto"/>
        <w:tabs>
          <w:tab w:leader="none" w:pos="1617"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5.21(b</w:t>
      </w:r>
      <w:r>
        <w:rPr>
          <w:rFonts w:ascii="Times New Roman" w:cs="Times New Roman" w:eastAsia="Times New Roman" w:hAnsi="Times New Roman"/>
          <w:sz w:val="18"/>
          <w:szCs w:val="18"/>
          <w:color w:val="auto"/>
        </w:rPr>
        <w:t>), the Company is not a party to or subject to any collective bargaining agreement, or any similar agreement, and there has been no activity or proceeding by a labor union or representative thereof to organize any employees of the Company. There is no labor strike, material slowdown or material work stoppage or lockout pending or, to the Knowledge of the Company, threatened against or affecting the Company, and none of the Company has experienced any strike, material slowdown or material work stoppage, lockout or other collective labor action by or with respect to its employees.</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pending or, to the Knowledge of the Company, threatened Actions against the Company under any worker’s compensation policy or long-term disability policy. There is no unfair labor practice charge or complaint pending before any applicable governmental authority relating to the Company or any employee or other service provider thereof.</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has been in compliance in all material respects with all applicable Laws relating to employment of labor, including all applicable Laws relating to wages, hours, overtime, collective bargaining, employment discrimination, civil rights, safety and health, workers’ compensation, pay equity, classification of employees and independent contractors, and the collection and payment of withholding or social security Taxes. The Company has met in all material respects all requirements required by Law relating to the employment of foreign citizens, and the Company does not currently employ, or has ever employed, any Person who was not permitted to work in the jurisdiction in which such Person was employed.</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7"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of the Company, in the ordinary course of his or her duties, has breached or will breach any obligation to a former employer in respect of any covenant against competition or soliciting clients or employees or servicing clients or any confidentiality or proprietary right of any former employer.</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7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in the last five (5) years, no substantiated allegations of sexual harassment have been made to the Company against any individual in his or her capacity as director or an employee of the Company at a level of Senior Vice President or above.</w:t>
      </w:r>
    </w:p>
    <w:p>
      <w:pPr>
        <w:spacing w:after="0" w:line="108"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5.21(g)</w:t>
      </w:r>
      <w:r>
        <w:rPr>
          <w:rFonts w:ascii="Times New Roman" w:cs="Times New Roman" w:eastAsia="Times New Roman" w:hAnsi="Times New Roman"/>
          <w:sz w:val="18"/>
          <w:szCs w:val="18"/>
          <w:color w:val="auto"/>
        </w:rPr>
        <w:t>, the Company has not paid or promised to pay any bonus to any employee in connection with the consummation of the transactions contemplated hereby.</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xml:space="preserve"> all obligations of the Company applicable to its employees, whether arising by operation of Law, by Contract, by past custom or otherwise, or attributable to payments by the Company to trusts or other funds or to any governmental agency, with respect to unemployment compensation benefits, social security benefits or any other benefits for its employees through the date hereof have been paid or adequate accruals therefor have been made on the Company Financial Statements. Except as disclosed on </w:t>
      </w:r>
      <w:r>
        <w:rPr>
          <w:rFonts w:ascii="Times New Roman" w:cs="Times New Roman" w:eastAsia="Times New Roman" w:hAnsi="Times New Roman"/>
          <w:sz w:val="18"/>
          <w:szCs w:val="18"/>
          <w:u w:val="single" w:color="auto"/>
          <w:color w:val="auto"/>
        </w:rPr>
        <w:t>Schedule 5.22</w:t>
      </w:r>
      <w:r>
        <w:rPr>
          <w:rFonts w:ascii="Times New Roman" w:cs="Times New Roman" w:eastAsia="Times New Roman" w:hAnsi="Times New Roman"/>
          <w:sz w:val="18"/>
          <w:szCs w:val="18"/>
          <w:color w:val="auto"/>
        </w:rPr>
        <w:t>, all reasonably anticipated obligations of the Company with respect to such employees (except for those related to wages during the pay period immediately prior to the Closing Date and arising in the ordinary course of business),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prior to the Closing Date.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4" w:lineRule="auto"/>
        <w:tabs>
          <w:tab w:leader="none" w:pos="156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5.23(a)</w:t>
      </w:r>
      <w:r>
        <w:rPr>
          <w:rFonts w:ascii="Times New Roman" w:cs="Times New Roman" w:eastAsia="Times New Roman" w:hAnsi="Times New Roman"/>
          <w:sz w:val="18"/>
          <w:szCs w:val="18"/>
          <w:color w:val="auto"/>
        </w:rPr>
        <w:t xml:space="preserve"> sets forth a correct and complete list of all material Plans. With respect to each material Plan, the Company has made available to Parent or its counsel a true and complete copy, to the extent applicable, of: (i) each writing constituting a part of such Plan and all amendments thereto, including all plan documents, material employee communications, benefit schedules, trust agreements, and insurance contracts and other funding vehicles; (ii) the most recent annual report and accompanying schedule; (iii) the current summary plan description and any material modifications thereto; (iv) the most recent annual financial and actuarial reports; (v) the most recent determination letter received by the Company from the Internal Revenue Service regarding the tax-qualified status of such Plan and (vi) the most recent written results of all required compliance testing.</w:t>
      </w:r>
    </w:p>
    <w:p>
      <w:pPr>
        <w:spacing w:after="0" w:line="107"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is (i) subject to Title IV or Section 302 of ERISA or Section 412 or 4971 of the Code,</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6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“multiemployer plan” (as defined in Section 3(37) of ERISA) or (iii) a plan that has two or more contributing sponsors at least two of whom are not under common control, within the meaning of Section 4063 of ERISA, and none of the Company, or any ERISA Affiliate, has withdrawn at any time within the preceding six (6) years from any multiemployer plan or incurred any withdrawal liability which remains unsatisfied, and no events have occurred and no circumstances exist that could reasonably be expected to result in any such liability to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8" w:name="page329"/>
    <w:bookmarkEnd w:id="3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4" w:lineRule="auto"/>
        <w:tabs>
          <w:tab w:leader="none" w:pos="1569"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Plan that is intended to qualify under Section 401(a) of the Code, such Plan, including its related trust, has received a determination letter (or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 or the imposition of any material liability, penalty or tax under ERISA or the Code. No stock or other securities issued by the Company forms or has formed any part of the assets of any Plan that is intended to qualify under Section 401(a) of the Code.</w:t>
      </w:r>
    </w:p>
    <w:p>
      <w:pPr>
        <w:spacing w:after="0" w:line="12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12"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Knowledge of the Company, threatened Actions against or relating to the Plans or the assets of any of the trusts under such Plans (other than routine benefits claims). No Plan is presently under audit or examination (nor has written notice been received by the Company of a potential audit or examination) by any Authority.</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has been established, administered and funded in all material respects accordance with its terms and in compliance in all material respects with the applicable provisions of ERISA, the Code and other applicable Laws. There is not now, nor, to the Knowledge of the Company, do any circumstances exist that could give rise to, any requirement for the posting of security with respect to any Plan or the imposition of any Lien on the assets of the Company under ERISA or the Code.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10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5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Plans provide retiree health or life insurance benefits, except as may be required by Section 4980B of the Code, Section 601 of ERISA or any other applicable Law.</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55" w:lineRule="auto"/>
        <w:tabs>
          <w:tab w:leader="none" w:pos="1587"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with respect to any Plan; (ii) increase any benefits otherwise payable under any Plan; or</w:t>
      </w:r>
    </w:p>
    <w:p>
      <w:pPr>
        <w:spacing w:after="0" w:line="2"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7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acceleration of the time of payment or vesting of any such compensation or benefits. No Person is entitled to receive any additional payment (including any tax gross-up or other payment) from the Company as a result of the imposition of the excise taxes required by Section 4999 of the Code or any taxes required by Section 409A of the Code.</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7"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3"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that is a “nonqualified deferred compensation plan” (as defined in Section 409A(d)(1) of the Code) is in all material respects in documentary compliance with, and has been administered in all material respects in compliance with Section 409A of the Code.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5" w:lineRule="auto"/>
        <w:tabs>
          <w:tab w:leader="none" w:pos="157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xml:space="preserve">, the Company does not own, or otherwise have an interest in, any Real Property, including under any Real Property lease, sublease, space sharing, license or other occupancy agreement. The Lease is the only Contract pursuant to which the Company leases any real property or right in any Real Property. The Company has good, valid and subsisting title to its respective leasehold estates in the offices described on </w:t>
      </w:r>
      <w:r>
        <w:rPr>
          <w:rFonts w:ascii="Times New Roman" w:cs="Times New Roman" w:eastAsia="Times New Roman" w:hAnsi="Times New Roman"/>
          <w:sz w:val="18"/>
          <w:szCs w:val="18"/>
          <w:u w:val="single" w:color="auto"/>
          <w:color w:val="auto"/>
        </w:rPr>
        <w:t>Schedule 5.24</w:t>
      </w:r>
      <w:r>
        <w:rPr>
          <w:rFonts w:ascii="Times New Roman" w:cs="Times New Roman" w:eastAsia="Times New Roman" w:hAnsi="Times New Roman"/>
          <w:sz w:val="18"/>
          <w:szCs w:val="18"/>
          <w:color w:val="auto"/>
        </w:rPr>
        <w:t>, free and clear of all Liens. The Company has not breached or violated any local zoning ordinance, and no notice from any Person has been received by the Company or served upon the Company claiming any violation of any local zoning ordinance.</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Lease: (i) it is valid, binding and in full force and effect;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default or event of default thereunder by the Company or, to the Company’s Knowledge, by any other party thereto; (vi) there exists no occurrence, condition or act which, with the giving of notice, the lapse of time or the happening of any further event or condition, would become a default or event of default by the Company thereunder; and (vii) there are no outstanding claims of breach or indemnification or notice of default or termination thereunder. The Company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9" w:name="page330"/>
    <w:bookmarkEnd w:id="3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holds the leasehold estate established under the Lease free and clear of all Liens, except for Liens of mortgagees of the Real Property on which such leasehold estate is located. The Real Property leased by the Company is in a state of maintenance and repair in all material respects adequate and suitable for the purposes for which it is presently being used, and there are no material repair or restoration works likely to be required in connection with such leased Real Property. The Company is in physical possession and actual and exclusive occupation of the whole of the leased premises, none of which is subleased or assigned to another Person. The Lease leases all useable square footage of the premises located at the leased Real Property. The Company does not owe any brokerage commission with respect to any Real Property.</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7" w:lineRule="auto"/>
        <w:tabs>
          <w:tab w:leader="none" w:pos="1574"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has duly and timely filed all income and other material Tax Returns which are required to be filed by or with respect to it, and has paid all income and other material Taxes which have become due; (ii) all such Tax Returns are true, correct and complete and accurate in all material respects;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8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within the past five years (or pending or proposed in writing), with respect to Taxes of the Company; (iv) no statute of limitations in respect of the assessment or collection of any Taxes of the Company has been waived or extended, which waiver or extension is in effect and the Company is not presently contesting the Tax liability before any Taxing Authority or other Authority; (v) the Company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(vi) no stock transfer Tax, sales Tax, use Tax, real estate transfer Tax or other similar Tax will be imposed on the transfer of the shares of Company Common Stock by the Company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(viii) there is no Lien (other than Permitted Liens) for Taxes upon the Company or any of the assets of the Company; (ix) no claim has ever been made by a Taxing Authority in a jurisdiction where the Company has not paid any Tax or filed Tax Returns, asserting that the Company is or may be subject to Tax in such jurisdiction, the Company is not nor has it ever been subject to Tax in any country other than the country of incorporation of the Company by virtue of having a permanent establishment or other place of business in that country, and the Company is and has always been tax resident solely in its country of incorporation; (x) the Company has provided to Parent true, complete and correct copies of all Tax Returns relating to, and all audit reports and correspondence relating to each proposed adjustment, if any, made by any Taxing Authority with respect to, any taxable period ending after December 31, 2015; (xi) the Company is not, and has never been, a party to any Tax sharing, allocation, indemnification or similar Contract; (xii) the Company is and has never been included in any consolidated, combined or unitary Tax Return and the Company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the Company), or has any liability for the Taxes of any Person (other than the Company)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(xiii) to the Knowledge of the Company, no issue has been raised by a Taxing Authority in any prior Action relating to the Company with respect to any Tax for any period which, by application of the same or similar principles, could reasonably be expected to result in a proposed Tax deficiency of the Company for any other period; and (xiv) the Company has not requested any extension of time within which to file any Tax Return, which Tax Return has since not been filed.</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1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 Section 1.1502-13 or an excess loss account under United States Treasury regulations Section 1.1502-19, (v) a change in the accounting method of the Company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0" w:name="page331"/>
    <w:bookmarkEnd w:id="3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08" w:lineRule="exact"/>
        <w:rPr>
          <w:sz w:val="20"/>
          <w:szCs w:val="20"/>
          <w:color w:val="auto"/>
        </w:rPr>
      </w:pPr>
    </w:p>
    <w:p>
      <w:pPr>
        <w:jc w:val="both"/>
        <w:ind w:left="460" w:right="459" w:firstLine="858"/>
        <w:spacing w:after="0" w:line="258" w:lineRule="auto"/>
        <w:tabs>
          <w:tab w:leader="none" w:pos="1572"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Taxes of the Company (i) did not, as of the most recent fiscal month end, exceed the reserve for Tax liability (rather than any reserve for deferred Taxes established to reflect timing differences between book and Tax income) set forth on the Unaudited Financial Statements in accordance with U.S. GAAP and (ii) will not exceed that reserve as adjusted for the passage of time through the Closing Date in accordance with the past custom and practice of the Company in filing its Tax Return.</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6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in compliance in all respects with all applicable transfer pricing laws and legal requirements. The prices for any property or services (or for the use of any property), including interest and other prices for financial services, provided by or to the Company are arm’s-length prices for purposes of the relevant transfer pricing laws.</w:t>
      </w:r>
    </w:p>
    <w:p>
      <w:pPr>
        <w:spacing w:after="0" w:line="11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“United States real property holding corporation” within the meaning of Section 897(c)(2) of the Code at any time during the five-year period ending on the Closing Date.</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engaged in a “reportable transaction” within the meaning of United States Treasury regulations Section 1.6011-4(b).</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has not (i) received any written notice of any alleged claim, violation of or liability under any Environmental Law which has not heretofore been cured or for which there is any remaining liability; (ii) disposed of, emitted, discharged, handled, stored, transported, used or released any Hazardous Materials; arranged for the disposal, discharge, storage or release of any Hazardous Materials; or exposed any employee or other individual to any Hazardous Materials so as to give rise to any liability or corrective or remedial obligation under any Environmental Laws; or (iii) entered into any agreement that may require it to guarantee, reimburse, pledge, defend, hold harmless or indemnify any other Person with respect to liabilities arising out of Environmental Laws or the Hazardous Material Activities of the Company. There are no Hazardous Materials in, on or under any properties owned, leased or used at any time by the Company that could give rise to any material liability or corrective or remedial obligation of the Company under any Environmental Laws.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Company or any of its Affiliates who might be entitled to any fee or commission from the Company, Merger Sub, Parent or any of their Affiliates upon consummation of the transactions contemplated by this Agreement.</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5.28 </w:t>
      </w:r>
      <w:r>
        <w:rPr>
          <w:rFonts w:ascii="Times New Roman" w:cs="Times New Roman" w:eastAsia="Times New Roman" w:hAnsi="Times New Roman"/>
          <w:sz w:val="18"/>
          <w:szCs w:val="18"/>
          <w:u w:val="single" w:color="auto"/>
          <w:color w:val="auto"/>
        </w:rPr>
        <w:t>Powers of Attorney and Suretyships</w:t>
      </w:r>
      <w:r>
        <w:rPr>
          <w:rFonts w:ascii="Times New Roman" w:cs="Times New Roman" w:eastAsia="Times New Roman" w:hAnsi="Times New Roman"/>
          <w:sz w:val="18"/>
          <w:szCs w:val="18"/>
          <w:color w:val="auto"/>
        </w:rPr>
        <w:t>. The Company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9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5.29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5.29</w:t>
      </w:r>
      <w:r>
        <w:rPr>
          <w:rFonts w:ascii="Times New Roman" w:cs="Times New Roman" w:eastAsia="Times New Roman" w:hAnsi="Times New Roman"/>
          <w:sz w:val="18"/>
          <w:szCs w:val="18"/>
          <w:color w:val="auto"/>
        </w:rPr>
        <w:t xml:space="preserve"> sets forth a true, correct and complete list of all directors and officers of the Company.</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5.30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the Company are and have been conducted at all times in compliance with anti-money laundering Laws in all applicable jurisdictions and any related or similar rules, regulations or guidelines, issued, administered or enforced by any Authority (collectively, the “</w:t>
      </w:r>
      <w:r>
        <w:rPr>
          <w:rFonts w:ascii="Times New Roman" w:cs="Times New Roman" w:eastAsia="Times New Roman" w:hAnsi="Times New Roman"/>
          <w:sz w:val="18"/>
          <w:szCs w:val="18"/>
          <w:u w:val="single" w:color="auto"/>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Laundering Laws</w:t>
      </w:r>
      <w:r>
        <w:rPr>
          <w:rFonts w:ascii="Times New Roman" w:cs="Times New Roman" w:eastAsia="Times New Roman" w:hAnsi="Times New Roman"/>
          <w:sz w:val="18"/>
          <w:szCs w:val="18"/>
          <w:color w:val="auto"/>
        </w:rPr>
        <w:t>”), and no Action involving the Company with respect to the Money Laundering Laws is pending or, to the Knowledge of the Company, threatened.</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All forms of insurance owned or held by and insuring the Company are set forth on </w:t>
      </w:r>
      <w:r>
        <w:rPr>
          <w:rFonts w:ascii="Times New Roman" w:cs="Times New Roman" w:eastAsia="Times New Roman" w:hAnsi="Times New Roman"/>
          <w:sz w:val="18"/>
          <w:szCs w:val="18"/>
          <w:u w:val="single" w:color="auto"/>
          <w:color w:val="auto"/>
        </w:rPr>
        <w:t>Schedule 5.31</w:t>
      </w:r>
      <w:r>
        <w:rPr>
          <w:rFonts w:ascii="Times New Roman" w:cs="Times New Roman" w:eastAsia="Times New Roman" w:hAnsi="Times New Roman"/>
          <w:sz w:val="18"/>
          <w:szCs w:val="18"/>
          <w:color w:val="auto"/>
        </w:rPr>
        <w:t>, and such policies are in full force and effect. All premiums with respect to such policies covering all periods up to and including the Closing Date have been or will be paid when due, and no notice of cancellation or termination has been received with respect to any such policy which was not replaced on substantially similar terms prior to the date of such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1" w:name="page332"/>
    <w:bookmarkEnd w:id="3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cancellation or termination. There is no existing default or event which, with or without the passage of time or the giving of notice or both, would constitute noncompliance with, or a default under, any such policy or entitle any insurer to terminate or cancel any such policy. Such policies will not in any way be affected by or terminate or lapse by reason of the transactions contemplated by this Agreement or the Additional Agreements. The insurance policies to which the Company is a party are sufficient for compliance with all requirements of all Contracts to which the Company is a party or by which the Company is bound. The Company has not been refused any insurance with respect to its assets or operations or had its coverage limited by any insurance carrier to which it has applied for any such insurance or with which it has carried insurance. The Company does not have any self-insurance arrangements.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as contemplated by this Agreement or as provided in the Company Financial Statements, no Company Stockholder, Affiliate of the Company, current or former director, manager, officer or employee of the Company or any immediate family member or Affiliate of any of the foregoing (a) is a party to any Contract, or has otherwise entered into any transaction, understanding or arrangement, with the Company or (b) owns any property or right, tangible or intangible, which is used by the Company (each,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xml:space="preserve">”). None of the Contracts listed in </w:t>
      </w:r>
      <w:r>
        <w:rPr>
          <w:rFonts w:ascii="Times New Roman" w:cs="Times New Roman" w:eastAsia="Times New Roman" w:hAnsi="Times New Roman"/>
          <w:sz w:val="18"/>
          <w:szCs w:val="18"/>
          <w:u w:val="single" w:color="auto"/>
          <w:color w:val="auto"/>
        </w:rPr>
        <w:t>Schedule 5.32</w:t>
      </w:r>
      <w:r>
        <w:rPr>
          <w:rFonts w:ascii="Times New Roman" w:cs="Times New Roman" w:eastAsia="Times New Roman" w:hAnsi="Times New Roman"/>
          <w:sz w:val="18"/>
          <w:szCs w:val="18"/>
          <w:color w:val="auto"/>
        </w:rPr>
        <w:t xml:space="preserve"> was entered into on a basis other than on arm’s length.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Except as disclosed in the Parent SEC Documents filed with or furnished to the SEC prior to the date of this Agreement (other than any risk factor disclosures or other similar cautionary or predictive statements therein), Parent and Merger Sub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hereby represent and warrant to the Company that each of the following representations and warranties are true, correct and complete as of the date of this Agreement and as of the Closing Date:</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Corporate Existence and Power</w:t>
      </w:r>
      <w:r>
        <w:rPr>
          <w:rFonts w:ascii="Times New Roman" w:cs="Times New Roman" w:eastAsia="Times New Roman" w:hAnsi="Times New Roman"/>
          <w:sz w:val="18"/>
          <w:szCs w:val="18"/>
          <w:color w:val="auto"/>
        </w:rPr>
        <w:t>. The Parent and Merger Sub are each corporations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Corporate Authorization</w:t>
      </w:r>
      <w:r>
        <w:rPr>
          <w:rFonts w:ascii="Times New Roman" w:cs="Times New Roman" w:eastAsia="Times New Roman" w:hAnsi="Times New Roman"/>
          <w:sz w:val="18"/>
          <w:szCs w:val="18"/>
          <w:color w:val="auto"/>
        </w:rPr>
        <w:t>. The execution, delivery and performance by the Parent Parties of this Agreement and the Additional Agreements to which they are or will be parties and the consummation by the Parent Parties of the transactions contemplated hereby and thereby are within the corporate powers of the Parent Parties and have been duly authorized by all necessary corporate action on the part of the Parent Parties. This Agreement has been duly executed and delivered by the Parent Parties and constitutes, and upon the execution and delivery thereof, each Additional Agreement to which a Parent Party is party, will constitute, a valid and legally binding agreement of the applicable Parent Party, enforceable against it in accordance with its terms, except as may be limited by the Enforceability Exceptions. This Agreement and the Additional Agreements to which a Parent Party is or will be party and the transactions contemplated hereby and thereby have been duly approved by Parent, on behalf of itself and in its capacity as the sole shareholder of Merger Sub. The affirmative vote of holders of a majority of the outstanding shares of Parent Common Stock present in person or by proxy and entitled to vote at the Parent Stockholder Meeting, assuming a quorum is present (the “</w:t>
      </w:r>
      <w:r>
        <w:rPr>
          <w:rFonts w:ascii="Times New Roman" w:cs="Times New Roman" w:eastAsia="Times New Roman" w:hAnsi="Times New Roman"/>
          <w:sz w:val="18"/>
          <w:szCs w:val="18"/>
          <w:u w:val="single" w:color="auto"/>
          <w:color w:val="auto"/>
        </w:rPr>
        <w:t>Parent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is the only vote of the holders of any of Parent’s capital stock necessary to adopt this Agreement and approve the Merger and the consummation of the other transactions contemplated hereby.</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xml:space="preserve">. Assuming the accuracy of the representations and warranties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neither the execution, delivery or performance of this Agreement requires any consent, approval, license or other action by or in respect of, or registration, declaration or filing with any Authority except for the filing of the Certificate of Merger with the Secretary of State of the State of Delaware pursuant to the DGCL.</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by the Parent Parties of this Agreement do not and will not (a) contravene or conflict with the organizational or constitutive documents of the Parent Parties, or (b) contravene or conflict with or constitute a violation of any provision of any Law or any Order binding upon the Parent Parties.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2" w:name="page333"/>
    <w:bookmarkEnd w:id="3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xml:space="preserve">. Except for the Persons identified on </w:t>
      </w:r>
      <w:r>
        <w:rPr>
          <w:rFonts w:ascii="Times New Roman" w:cs="Times New Roman" w:eastAsia="Times New Roman" w:hAnsi="Times New Roman"/>
          <w:sz w:val="18"/>
          <w:szCs w:val="18"/>
          <w:u w:val="single" w:color="auto"/>
          <w:color w:val="auto"/>
        </w:rPr>
        <w:t>Schedule 5.27</w:t>
      </w:r>
      <w:r>
        <w:rPr>
          <w:rFonts w:ascii="Times New Roman" w:cs="Times New Roman" w:eastAsia="Times New Roman" w:hAnsi="Times New Roman"/>
          <w:sz w:val="18"/>
          <w:szCs w:val="18"/>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Closing Payment Shares, when issued in accordance with this Agreement, will be duly authorized and validly issued, and will be fully paid and nonassessable.</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1"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100,000,000 Parent Class A Shares of which 12,516,500 are outstanding, 10,000,000 Parent Class B Shares of which 3,018,750 are issued and outstanding, and 1,000,000 shares of preferred stock, par value $0.0001 per share (“</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none of which are issued and outstanding. No other shares of capital stock or other voting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122" w:lineRule="exact"/>
        <w:rPr>
          <w:rFonts w:ascii="Times New Roman" w:cs="Times New Roman" w:eastAsia="Times New Roman" w:hAnsi="Times New Roman"/>
          <w:sz w:val="18"/>
          <w:szCs w:val="18"/>
          <w:color w:val="auto"/>
        </w:rPr>
      </w:pPr>
    </w:p>
    <w:p>
      <w:pPr>
        <w:jc w:val="both"/>
        <w:ind w:left="460" w:right="479" w:firstLine="858"/>
        <w:spacing w:after="0" w:line="253" w:lineRule="auto"/>
        <w:tabs>
          <w:tab w:leader="none" w:pos="159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Sub is authorized to issue 100 shares, par value $0.0001 per share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which 100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the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As of the date of this Agreement, Parent has at least $120,750,000 in the trust fund established by Parent for the benefit of its public stockholders (the “</w:t>
      </w:r>
      <w:r>
        <w:rPr>
          <w:rFonts w:ascii="Times New Roman" w:cs="Times New Roman" w:eastAsia="Times New Roman" w:hAnsi="Times New Roman"/>
          <w:sz w:val="18"/>
          <w:szCs w:val="18"/>
          <w:u w:val="single" w:color="auto"/>
          <w:color w:val="auto"/>
        </w:rPr>
        <w:t>Trust Fund</w:t>
      </w:r>
      <w:r>
        <w:rPr>
          <w:rFonts w:ascii="Times New Roman" w:cs="Times New Roman" w:eastAsia="Times New Roman" w:hAnsi="Times New Roman"/>
          <w:sz w:val="18"/>
          <w:szCs w:val="18"/>
          <w:color w:val="auto"/>
        </w:rPr>
        <w:t>”) in a trust account (the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maintained by Continental Stock Transfer &amp; Trust Company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at J.P. Morgan Chase Bank, N.A., and such monies are invested in “government securities” (as such term is defined in the Investment Company Act of 1940) and held in trust by the Trustee pursuant to the Investment Management Trust Agreement dated as of August 11, 2020, between Parent and the Trustee (the “</w:t>
      </w:r>
      <w:r>
        <w:rPr>
          <w:rFonts w:ascii="Times New Roman" w:cs="Times New Roman" w:eastAsia="Times New Roman" w:hAnsi="Times New Roman"/>
          <w:sz w:val="18"/>
          <w:szCs w:val="18"/>
          <w:u w:val="single" w:color="auto"/>
          <w:color w:val="auto"/>
        </w:rPr>
        <w:t>Trust Agreement</w:t>
      </w:r>
      <w:r>
        <w:rPr>
          <w:rFonts w:ascii="Times New Roman" w:cs="Times New Roman" w:eastAsia="Times New Roman" w:hAnsi="Times New Roman"/>
          <w:sz w:val="18"/>
          <w:szCs w:val="18"/>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Parent Class A Shares sold in Parent’s IPO who shall have elected to redeem their Parent Class A Shares pursuant to Parent’s amended and restated certificate of incorporation) to any portion of the proceeds in the Trust Account. Prior to the Closing, none of the funds held in the Trust Account may be released except in accordance with the Trust Agreement and Parent’s amended and restated certificate of incorporation. The Parent has performed all material</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3" w:name="page334"/>
    <w:bookmarkEnd w:id="3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constitute such a material default thereunder. There are no claims or proceedings pending with respect to the Trust Account.</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Parent Class A Shares are listed on Nasdaq, with trading ticker “FSDC.”</w:t>
      </w:r>
    </w:p>
    <w:p>
      <w:pPr>
        <w:spacing w:after="0" w:line="13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Board Approval</w:t>
      </w:r>
      <w:r>
        <w:rPr>
          <w:rFonts w:ascii="Times New Roman" w:cs="Times New Roman" w:eastAsia="Times New Roman" w:hAnsi="Times New Roman"/>
          <w:sz w:val="18"/>
          <w:szCs w:val="18"/>
          <w:color w:val="auto"/>
        </w:rPr>
        <w:t>. The Parent Board of Directors (including any required committee or subgroup of such board) has, as of the date of this Agreement, unanimously (a) declared the advisability of the transactions contemplated by this Agreement, (b) determined that the transactions contemplated hereby are in the best interests of the stockholders of Parent (c) determined that the transactions contemplated hereby constitutes a “Business Combination” as such term is defined in Parent’s amended and restated certificate of incorporation and bylaws; and (d) recommended to the stockholders of Parent to adopt and approve each of the Parent Proposals (the “</w:t>
      </w:r>
      <w:r>
        <w:rPr>
          <w:rFonts w:ascii="Times New Roman" w:cs="Times New Roman" w:eastAsia="Times New Roman" w:hAnsi="Times New Roman"/>
          <w:sz w:val="18"/>
          <w:szCs w:val="18"/>
          <w:u w:val="single" w:color="auto"/>
          <w:color w:val="auto"/>
        </w:rPr>
        <w:t>Parent Board Recommendation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Parent SEC Documents and Financial Statements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2" w:lineRule="auto"/>
        <w:tabs>
          <w:tab w:leader="none" w:pos="156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Times New Roman" w:cs="Times New Roman" w:eastAsia="Times New Roman" w:hAnsi="Times New Roman"/>
          <w:sz w:val="18"/>
          <w:szCs w:val="18"/>
          <w:u w:val="single" w:color="auto"/>
          <w:color w:val="auto"/>
        </w:rPr>
        <w:t>Additional Parent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The Parent has made available to the Company copies in the form filed with the SEC of all of the following, except to the extent available in full without redaction on the SEC’s website through EDGAR for at least two (2)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filed by Parent with the SEC since Parent’s formation (the forms, reports, registration statements and other documents referred to in clauses (i) through (iv) above, whether or not available through EDGAR,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7"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does not apply to statements in or omissions in any information supplied or to be supplied by the Company expressly for inclusion or incorporation by reference in the SEC Statement or Other Filing.</w:t>
      </w:r>
    </w:p>
    <w:p>
      <w:pPr>
        <w:spacing w:after="0" w:line="9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71"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the term “file” shall be broadly construed to include any manner in which a document or information is furnished, supplied or otherwise made available to the SEC.</w:t>
      </w:r>
    </w:p>
    <w:p>
      <w:pPr>
        <w:spacing w:after="0" w:line="8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Certain Business Practices</w:t>
      </w:r>
      <w:r>
        <w:rPr>
          <w:rFonts w:ascii="Times New Roman" w:cs="Times New Roman" w:eastAsia="Times New Roman" w:hAnsi="Times New Roman"/>
          <w:sz w:val="18"/>
          <w:szCs w:val="18"/>
          <w:color w:val="auto"/>
        </w:rPr>
        <w:t>. Neither Parent, nor any director, officer, agent or employee of Parent (in their capacities as such) has (a) used any funds for unlawful contributions, gifts, entertainment or other unlawful expenses relating to political activity, (b) made any unlawful payment to foreign or domestic government officials, employees or political parties or campaigns, (c) 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w:t>
      </w:r>
    </w:p>
    <w:p>
      <w:pPr>
        <w:spacing w:after="0" w:line="5" w:lineRule="exact"/>
        <w:rPr>
          <w:sz w:val="20"/>
          <w:szCs w:val="20"/>
          <w:color w:val="auto"/>
        </w:rPr>
      </w:pPr>
    </w:p>
    <w:p>
      <w:pPr>
        <w:ind w:left="460" w:right="479" w:hanging="6"/>
        <w:spacing w:after="0" w:line="260" w:lineRule="auto"/>
        <w:tabs>
          <w:tab w:leader="none" w:pos="67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business or prospects of Parent and (ii) subject Parent to suit or penalty in any private or governmental Action.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4" w:name="page335"/>
    <w:bookmarkEnd w:id="3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as described in Parent SEC Documents,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 Action pending, or, to the Knowledge of Parent, threatened in writing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Expenses, Indebtedness and Other Liabilities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Parent does not have any Indebtedness or other liabilities.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6.18</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79" w:firstLine="858"/>
        <w:spacing w:after="0" w:line="276" w:lineRule="auto"/>
        <w:tabs>
          <w:tab w:leader="none" w:pos="1569" w:val="left"/>
        </w:tabs>
        <w:numPr>
          <w:ilvl w:val="1"/>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Parent has duly and timely filed all income and other material Tax Returns which are required to be filed by or with respect to it, and has paid all income and other material Taxes which have become due;</w:t>
      </w:r>
    </w:p>
    <w:p>
      <w:pPr>
        <w:jc w:val="both"/>
        <w:ind w:left="460" w:right="459" w:hanging="6"/>
        <w:spacing w:after="0" w:line="250" w:lineRule="auto"/>
        <w:tabs>
          <w:tab w:leader="none" w:pos="74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Tax Returns are true, correct and complete and accurate in all material respects; (iii) there is no Action, within the past five years (or pending or proposed in writing), with respect to Taxes of Parent; (iv) no statute of limitations in respect of the assessment or collection of any Taxes of Parent has been waived or extended, which waiver or extension is in effect, and Parent is not presently contesting the Tax liability before any Taxing Authority or other Authority; (v) Parent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Parent; (vi) there is no Lien (other than Permitted Liens) for Taxes upon Parent or any of the assets of Parent; (vii) no claim has ever been made by a Taxing Authority in a jurisdiction where Parent has not paid any Tax or filed Tax Returns, asserting that Parent is or may be subject to Tax in such jurisdiction, Parent is not nor has it ever been subject to Tax in any country other than the country of incorporation of Parent by virtue of having a permanent establishment or other place of business in that country, and Parent is and has always been tax resident solely in its country of incorporation;</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872"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provided to the Company true, complete and correct copies of all Tax Returns (if any) relating to, and all audit reports and correspondence relating to each proposed adjustment (if any) made by any Taxing Authority with respect to, any taxable period ending after December 31, 2020; (ix) there is no outstanding power of attorney from Parent authorizing anyone to act on behalf of Parent in connection with any Tax, Tax Return or Action relating to any Tax or Tax Return of Parent; (x) Parent is not, and has never been, a party to any Tax sharing, allocation, indemnification or similar Contract; (xi) Parent is and has never been included in any consolidated, combined or unitary Tax Return and Parent does not have any liability for Taxes as a result of having been a member of any affiliated group within the meaning of Section 1504(a) of the Code, or any similar affiliated or consolidated group for Tax purposes under any state, local or foreign Law (other than a group the common parent of which is Parent), or has any liability for the Taxes of any Person (other than Parent) under United States Treasury regulations Section 1.1502-6 (or any similar provision of any state, local or foreign Law), as a transferee or successor, by Contract (other than Contracts entered into in the ordinary course of business, the primary purpose of which is not Tax) or otherwise; (xii) to the knowledge of Parent, no issue has been raised by a Taxing Authority in any prior Action relating to Parent with respect to any Tax for any period which, by application of the same or similar principles, could reasonably be expected to result in a proposed Tax deficiency of Parent for any other period; and (xiii) Parent has not requested any extension of time within which to file any Tax Return, which Tax Return has since not been filed.</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5"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be required to include any item of income or exclude any item of deduction for any taxable period (or a portion thereof) ending after the Closing Date as a result of any of the following that occurred or existed on or prior to the Closing Date: (i) a “closing agreement” as described in Section 7121 of the Code (or any corresponding or similar provision of state, local or non-U.S. income Tax law), (ii) an installment sale or open transaction, (iii) a prepaid amount, (iv) an intercompany item under United States Treasury regulations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5" w:name="page336"/>
    <w:bookmarkEnd w:id="3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Section 1.1502-13 or an excess loss account under United States Treasury regulations Section 1.1502-19, (v) a change in the accounting method of Parent pursuant to Section 481 of the Code or any similar provision of the Code or the corresponding tax laws of any nation, state or locality or the use of a method of accounting with respect to any transaction that occurred on or before the Closing Date; or (vi) any inclusion under Section 951(a) or Section 951A of the Code attributable to (A) “subpart F income,” within the meaning of Section 952 of the Code, (B) direct or indirect holding of “United States property,” within the meaning of Section 956 of the Code, (C) “global intangible low-taxed income,” as defined in Section 951A of the Code, in each case, determined as if the relevant taxable years ended on the Closing Date or (D) any inclusion under Section 965 of the Code.</w:t>
      </w:r>
    </w:p>
    <w:p>
      <w:pPr>
        <w:spacing w:after="0" w:line="121" w:lineRule="exact"/>
        <w:rPr>
          <w:sz w:val="20"/>
          <w:szCs w:val="20"/>
          <w:color w:val="auto"/>
        </w:rPr>
      </w:pPr>
    </w:p>
    <w:p>
      <w:pPr>
        <w:jc w:val="both"/>
        <w:ind w:left="460" w:right="459" w:firstLine="858"/>
        <w:spacing w:after="0" w:line="272" w:lineRule="auto"/>
        <w:tabs>
          <w:tab w:leader="none" w:pos="1569"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in accordance with U.S. GAAP and</w:t>
      </w:r>
    </w:p>
    <w:p>
      <w:pPr>
        <w:spacing w:after="0" w:line="1" w:lineRule="exact"/>
        <w:rPr>
          <w:rFonts w:ascii="Times New Roman" w:cs="Times New Roman" w:eastAsia="Times New Roman" w:hAnsi="Times New Roman"/>
          <w:sz w:val="17"/>
          <w:szCs w:val="17"/>
          <w:color w:val="auto"/>
        </w:rPr>
      </w:pPr>
    </w:p>
    <w:p>
      <w:pPr>
        <w:ind w:left="460" w:right="459" w:hanging="6"/>
        <w:spacing w:after="0" w:line="260" w:lineRule="auto"/>
        <w:tabs>
          <w:tab w:leader="none" w:pos="72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exceed that reserve as adjusted for the passage of time through the Closing Date in accordance with the past custom and practice of Parent in filing its Tax Return.</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3"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been in compliance in all respects with all applicable transfer pricing laws and legal requirements. The prices for any property or services (or for the use of any property), including interest and other prices for financial services, provided by or to Parent are arm’s-length prices for purposes of the relevant transfer pricing laws.</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79"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not taken any action (nor permitted any action to be taken), and is not aware of any fact or circumstance, that would reasonably be expected to prevent the Merger from qualifying as a “reorganization” within the meaning of Section 368(a) of the Code.</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2"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not a “United States real property holding corporation” within the meaning of Section 897(c)(2) of the Code at any time during the five-year period ending on the Closing Date.</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1"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has not engaged in a “reportable transaction” within the meaning of United States Treasury regulations Section 1.6011-4(b).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PARTIES PENDING CLOSING</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Conduct of the Business</w:t>
      </w:r>
      <w:r>
        <w:rPr>
          <w:rFonts w:ascii="Times New Roman" w:cs="Times New Roman" w:eastAsia="Times New Roman" w:hAnsi="Times New Roman"/>
          <w:sz w:val="18"/>
          <w:szCs w:val="18"/>
          <w:color w:val="auto"/>
        </w:rPr>
        <w:t>. Each of the Company and Parent covenants and agrees that:</w:t>
      </w:r>
    </w:p>
    <w:p>
      <w:pPr>
        <w:spacing w:after="0" w:line="158" w:lineRule="exact"/>
        <w:rPr>
          <w:sz w:val="20"/>
          <w:szCs w:val="20"/>
          <w:color w:val="auto"/>
        </w:rPr>
      </w:pPr>
    </w:p>
    <w:p>
      <w:pPr>
        <w:jc w:val="both"/>
        <w:ind w:left="460" w:right="459" w:firstLine="858"/>
        <w:spacing w:after="0" w:line="254" w:lineRule="auto"/>
        <w:tabs>
          <w:tab w:leader="none" w:pos="158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each party shall conduct business only in the ordinary course (including the payment of accounts payable and the collection of accounts receivable), consistent with past practices, and shall not enter into any material transactions outside the ordinary course of business without the prior written consent of the other party, and shall use its commercially reasonable efforts to preserve intact its business relationships with employees, clients, suppliers, contract manufacturing organizations, contract research organizations and other third parties. Without limiting the generality of the foregoing, from the date hereof through and including the Closing Date, without the other party’s prior written consent (which shall not be unreasonably conditioned, withheld or delayed), neither the Company nor Parent shall, and the Company shall cause its Subsidiaries not to:</w:t>
      </w:r>
    </w:p>
    <w:p>
      <w:pPr>
        <w:spacing w:after="0" w:line="120"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3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supplement its certificate of incorporation or bylaws or other organizational or governing documents, or engage in any reorganization, reclassification, liquidation, dissolution or similar transaction;</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25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any provision of, terminate prior to its scheduled expiration date, or otherwise compromise in any way or relinquish any material right under, any Material Contract or other right or asset of the Company or Parent, as applicable;</w:t>
      </w:r>
    </w:p>
    <w:p>
      <w:pPr>
        <w:spacing w:after="0" w:line="108" w:lineRule="exact"/>
        <w:rPr>
          <w:rFonts w:ascii="Times New Roman" w:cs="Times New Roman" w:eastAsia="Times New Roman" w:hAnsi="Times New Roman"/>
          <w:sz w:val="18"/>
          <w:szCs w:val="18"/>
          <w:color w:val="auto"/>
        </w:rPr>
      </w:pPr>
    </w:p>
    <w:p>
      <w:pPr>
        <w:jc w:val="both"/>
        <w:ind w:left="880" w:right="479" w:firstLine="1086"/>
        <w:spacing w:after="0" w:line="261" w:lineRule="auto"/>
        <w:tabs>
          <w:tab w:leader="none" w:pos="233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modify, amend or enter into any contract, agreement, lease, license or commitment, including for capital expenditures, that would be considered a Material Contract if in effect on of the date hereof, except in the ordinary course of the Company’s business;</w:t>
      </w:r>
    </w:p>
    <w:p>
      <w:pPr>
        <w:spacing w:after="0" w:line="112" w:lineRule="exact"/>
        <w:rPr>
          <w:rFonts w:ascii="Times New Roman" w:cs="Times New Roman" w:eastAsia="Times New Roman" w:hAnsi="Times New Roman"/>
          <w:sz w:val="18"/>
          <w:szCs w:val="18"/>
          <w:color w:val="auto"/>
        </w:rPr>
      </w:pPr>
    </w:p>
    <w:p>
      <w:pPr>
        <w:ind w:left="4060" w:right="479" w:hanging="2094"/>
        <w:spacing w:after="0" w:line="485" w:lineRule="auto"/>
        <w:tabs>
          <w:tab w:leader="none" w:pos="2274"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$200,000 (individually or in the aggregate); Annex 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6" w:name="page337"/>
    <w:bookmarkEnd w:id="3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1086"/>
        <w:spacing w:after="0" w:line="266" w:lineRule="auto"/>
        <w:tabs>
          <w:tab w:leader="none" w:pos="226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dispose of any of the Company’s or Parent’s, as applicable, material assets, except pursuant to existing contracts or commitments disclosed herein or in the ordinary course of the Company’s business or Parent’s business (as applicable);</w:t>
      </w:r>
    </w:p>
    <w:p>
      <w:pPr>
        <w:spacing w:after="0" w:line="108" w:lineRule="exact"/>
        <w:rPr>
          <w:rFonts w:ascii="Times New Roman" w:cs="Times New Roman" w:eastAsia="Times New Roman" w:hAnsi="Times New Roman"/>
          <w:sz w:val="18"/>
          <w:szCs w:val="18"/>
          <w:color w:val="auto"/>
        </w:rPr>
      </w:pPr>
    </w:p>
    <w:p>
      <w:pPr>
        <w:jc w:val="both"/>
        <w:ind w:left="880" w:right="459" w:firstLine="1086"/>
        <w:spacing w:after="0" w:line="255" w:lineRule="auto"/>
        <w:tabs>
          <w:tab w:leader="none" w:pos="2272"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 declare or promise to pay any dividends or other distributions with respect to its capital stock or other equity securities; (B) pay, declare or promise to pay any other amount to any stockholder, shareholder or other equityholder in its capacity as such (which for the avoidance of doubt does not include payment of salary, benefits, commissions and other regular and necessary customary payments made in the ordinary course of business consistent with past practices); or (C) except as contemplated by any Additional Agreement, amend any term, right or obligation with respect to any outstanding shares of its capital stock or other equity securities;</w:t>
      </w:r>
    </w:p>
    <w:p>
      <w:pPr>
        <w:spacing w:after="0" w:line="121" w:lineRule="exact"/>
        <w:rPr>
          <w:rFonts w:ascii="Times New Roman" w:cs="Times New Roman" w:eastAsia="Times New Roman" w:hAnsi="Times New Roman"/>
          <w:sz w:val="18"/>
          <w:szCs w:val="18"/>
          <w:color w:val="auto"/>
        </w:rPr>
      </w:pPr>
    </w:p>
    <w:p>
      <w:pPr>
        <w:jc w:val="both"/>
        <w:ind w:left="880" w:right="459" w:firstLine="1086"/>
        <w:spacing w:after="0" w:line="257" w:lineRule="auto"/>
        <w:tabs>
          <w:tab w:leader="none" w:pos="2349"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loan, advance or capital contribution to any Person; (B) incur any Indebtedness, including drawings under the lines of credit, if any, other than (1) loans evidenced by promissory notes made to Parent as working capital advances as described in the Prospectus and</w:t>
      </w:r>
    </w:p>
    <w:p>
      <w:pPr>
        <w:spacing w:after="0" w:line="1" w:lineRule="exact"/>
        <w:rPr>
          <w:rFonts w:ascii="Times New Roman" w:cs="Times New Roman" w:eastAsia="Times New Roman" w:hAnsi="Times New Roman"/>
          <w:sz w:val="18"/>
          <w:szCs w:val="18"/>
          <w:color w:val="auto"/>
        </w:rPr>
      </w:pPr>
    </w:p>
    <w:p>
      <w:pPr>
        <w:jc w:val="both"/>
        <w:ind w:left="880" w:right="479" w:firstLine="6"/>
        <w:spacing w:after="0" w:line="255" w:lineRule="auto"/>
        <w:tabs>
          <w:tab w:leader="none" w:pos="116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Indebtedness; or (C) repay or satisfy any Indebtedness, other than the repayment of Indebtedness in accordance with the terms thereof (provided, however, that the Company shall not be permitted to repay or satisfy all or any portion of the SVB Loan);</w:t>
      </w:r>
    </w:p>
    <w:p>
      <w:pPr>
        <w:spacing w:after="0" w:line="104" w:lineRule="exact"/>
        <w:rPr>
          <w:rFonts w:ascii="Times New Roman" w:cs="Times New Roman" w:eastAsia="Times New Roman" w:hAnsi="Times New Roman"/>
          <w:sz w:val="18"/>
          <w:szCs w:val="18"/>
          <w:color w:val="auto"/>
        </w:rPr>
      </w:pPr>
    </w:p>
    <w:p>
      <w:pPr>
        <w:ind w:left="2380" w:hanging="414"/>
        <w:spacing w:after="0"/>
        <w:tabs>
          <w:tab w:leader="none" w:pos="2380" w:val="left"/>
        </w:tabs>
        <w:numPr>
          <w:ilvl w:val="1"/>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suffer or incur any Lien, except for Permitted Liens, on the Company’s or Parent’s, as</w:t>
      </w:r>
    </w:p>
    <w:p>
      <w:pPr>
        <w:spacing w:after="0" w:line="38" w:lineRule="exact"/>
        <w:rPr>
          <w:rFonts w:ascii="Times New Roman" w:cs="Times New Roman" w:eastAsia="Times New Roman" w:hAnsi="Times New Roman"/>
          <w:sz w:val="17"/>
          <w:szCs w:val="17"/>
          <w:color w:val="auto"/>
        </w:rPr>
      </w:pPr>
    </w:p>
    <w:p>
      <w:pPr>
        <w:ind w:left="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applicable, assets;</w:t>
      </w:r>
    </w:p>
    <w:p>
      <w:pPr>
        <w:spacing w:after="0" w:line="139" w:lineRule="exact"/>
        <w:rPr>
          <w:rFonts w:ascii="Times New Roman" w:cs="Times New Roman" w:eastAsia="Times New Roman" w:hAnsi="Times New Roman"/>
          <w:sz w:val="17"/>
          <w:szCs w:val="17"/>
          <w:color w:val="auto"/>
        </w:rPr>
      </w:pPr>
    </w:p>
    <w:p>
      <w:pPr>
        <w:jc w:val="both"/>
        <w:ind w:left="880" w:right="459" w:firstLine="1086"/>
        <w:spacing w:after="0" w:line="266" w:lineRule="auto"/>
        <w:tabs>
          <w:tab w:leader="none" w:pos="226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accelerate or cancel, or waive any material right with respect to, any receivables or Indebtedness owed to the Company or Parent, as applicable, or write off or make reserves against the same;</w:t>
      </w:r>
    </w:p>
    <w:p>
      <w:pPr>
        <w:spacing w:after="0" w:line="108" w:lineRule="exact"/>
        <w:rPr>
          <w:rFonts w:ascii="Times New Roman" w:cs="Times New Roman" w:eastAsia="Times New Roman" w:hAnsi="Times New Roman"/>
          <w:sz w:val="18"/>
          <w:szCs w:val="18"/>
          <w:color w:val="auto"/>
        </w:rPr>
      </w:pPr>
    </w:p>
    <w:p>
      <w:pPr>
        <w:jc w:val="both"/>
        <w:ind w:left="880" w:right="479" w:firstLine="1086"/>
        <w:spacing w:after="0" w:line="266" w:lineRule="auto"/>
        <w:tabs>
          <w:tab w:leader="none" w:pos="222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enter a similar transaction with, or acquire all or substantially all of the assets or business of, any other Person; make any material investment in any Person; or be acquired by any other Person;</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28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allow to lapse any insurance policy protecting any of the Company’s or Parent’s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15"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42"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severance, retention or other employee plan or fail to continue to make timely contributions to each benefit plan in accordance with the terms thereof;</w:t>
      </w:r>
    </w:p>
    <w:p>
      <w:pPr>
        <w:spacing w:after="0" w:line="94" w:lineRule="exact"/>
        <w:rPr>
          <w:rFonts w:ascii="Times New Roman" w:cs="Times New Roman" w:eastAsia="Times New Roman" w:hAnsi="Times New Roman"/>
          <w:sz w:val="18"/>
          <w:szCs w:val="18"/>
          <w:color w:val="auto"/>
        </w:rPr>
      </w:pPr>
    </w:p>
    <w:p>
      <w:pPr>
        <w:jc w:val="both"/>
        <w:ind w:left="880" w:right="459" w:firstLine="1086"/>
        <w:spacing w:after="0" w:line="266" w:lineRule="auto"/>
        <w:tabs>
          <w:tab w:leader="none" w:pos="2389"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settle or agree to settle any Action before any Authority, in each case in excess of $100,000 (exclusive of any amounts covered by insurance) or that imposes injunctive or other non-monetary relief on such party;</w:t>
      </w:r>
    </w:p>
    <w:p>
      <w:pPr>
        <w:spacing w:after="0" w:line="94"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98"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U.S. GAAP, make any material change in its accounting principles, methods or practices or write down the value of its assets;</w:t>
      </w:r>
    </w:p>
    <w:p>
      <w:pPr>
        <w:spacing w:after="0" w:line="94" w:lineRule="exact"/>
        <w:rPr>
          <w:rFonts w:ascii="Times New Roman" w:cs="Times New Roman" w:eastAsia="Times New Roman" w:hAnsi="Times New Roman"/>
          <w:sz w:val="18"/>
          <w:szCs w:val="18"/>
          <w:color w:val="auto"/>
        </w:rPr>
      </w:pPr>
    </w:p>
    <w:p>
      <w:pPr>
        <w:ind w:left="2320" w:hanging="354"/>
        <w:spacing w:after="0"/>
        <w:tabs>
          <w:tab w:leader="none" w:pos="232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principal place of business or jurisdiction of organization;</w:t>
      </w:r>
    </w:p>
    <w:p>
      <w:pPr>
        <w:spacing w:after="0" w:line="157"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37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redeem or repurchase any Equity Interests (other than (A) with respect to the Company, the exercise of any Company Option outstanding on the date hereof or the exercise of the Company Warrant, (B) with respect to Parent, any redemption by Parent of Parent Class A Shares held by its public stockholder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or (C) with respect to Parent, as otherwise contemplated by this Agreement or any Additional Agreement);</w:t>
      </w:r>
    </w:p>
    <w:p>
      <w:pPr>
        <w:spacing w:after="0" w:line="102" w:lineRule="exact"/>
        <w:rPr>
          <w:rFonts w:ascii="Times New Roman" w:cs="Times New Roman" w:eastAsia="Times New Roman" w:hAnsi="Times New Roman"/>
          <w:sz w:val="18"/>
          <w:szCs w:val="18"/>
          <w:color w:val="auto"/>
        </w:rPr>
      </w:pPr>
    </w:p>
    <w:p>
      <w:pPr>
        <w:jc w:val="both"/>
        <w:ind w:left="880" w:right="459" w:firstLine="1086"/>
        <w:spacing w:after="0" w:line="258" w:lineRule="auto"/>
        <w:tabs>
          <w:tab w:leader="none" w:pos="242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Tax election; (B) change any annual Tax accounting periods; (C) settle or compromise any material claim, notice, audit report or assessment in respect of Taxes of the Company; (D) enter into any Tax allocation, Tax sharing, Tax indemnity or other closing agreement relating to any Taxes of the Company; or (E) surrender or forfeit any right to claim a material Tax refund;</w:t>
      </w:r>
    </w:p>
    <w:p>
      <w:pPr>
        <w:spacing w:after="0" w:line="115"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45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with or distribute or advance any assets or property to any of its Affiliates, other than the payment of salary and benefits in the ordinary course;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7" w:name="page338"/>
    <w:bookmarkEnd w:id="3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1086"/>
        <w:spacing w:after="0" w:line="253" w:lineRule="auto"/>
        <w:tabs>
          <w:tab w:leader="none" w:pos="237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in the case of the Company, other than as required by a Plan, as set forth on </w:t>
      </w:r>
      <w:r>
        <w:rPr>
          <w:rFonts w:ascii="Times New Roman" w:cs="Times New Roman" w:eastAsia="Times New Roman" w:hAnsi="Times New Roman"/>
          <w:sz w:val="18"/>
          <w:szCs w:val="18"/>
          <w:u w:val="single" w:color="auto"/>
          <w:color w:val="auto"/>
        </w:rPr>
        <w:t>Schedule 7.1(a)(xix)</w:t>
      </w:r>
      <w:r>
        <w:rPr>
          <w:rFonts w:ascii="Times New Roman" w:cs="Times New Roman" w:eastAsia="Times New Roman" w:hAnsi="Times New Roman"/>
          <w:sz w:val="18"/>
          <w:szCs w:val="18"/>
          <w:color w:val="auto"/>
        </w:rPr>
        <w:t xml:space="preserve"> or as explicitly contemplated hereunder, (A) increase or make any material change in the compensation or benefits of any employee or other individual service provider of the Company other than in the ordinary course of the Company’s business consistent with past practice, (B) accelerate the vesting or payment of any compensation or benefits of any employee or other individual service provider of the Company, (C) terminate without “cause” any employee or other individual service provider of the Company, (D) hire or engage any new employee or other individual service provider of the Company if such new employee or individual service provider will receive annual base compensation in excess of $100,000, (E) make any loan to any present or former employee or other individual service provider of the Company, other than advancement of expenses in the ordinary course of business consistent with past practices, or (F) enter into, amend or terminate any collective bargaining agreement or other agreement with a labor union or labor organization;</w:t>
      </w:r>
    </w:p>
    <w:p>
      <w:pPr>
        <w:spacing w:after="0" w:line="122" w:lineRule="exact"/>
        <w:rPr>
          <w:rFonts w:ascii="Times New Roman" w:cs="Times New Roman" w:eastAsia="Times New Roman" w:hAnsi="Times New Roman"/>
          <w:sz w:val="18"/>
          <w:szCs w:val="18"/>
          <w:color w:val="auto"/>
        </w:rPr>
      </w:pPr>
    </w:p>
    <w:p>
      <w:pPr>
        <w:ind w:left="2320" w:hanging="354"/>
        <w:spacing w:after="0"/>
        <w:tabs>
          <w:tab w:leader="none" w:pos="232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the case of the Company, enter into any Affiliate Transactions;</w:t>
      </w:r>
    </w:p>
    <w:p>
      <w:pPr>
        <w:spacing w:after="0" w:line="157" w:lineRule="exact"/>
        <w:rPr>
          <w:rFonts w:ascii="Times New Roman" w:cs="Times New Roman" w:eastAsia="Times New Roman" w:hAnsi="Times New Roman"/>
          <w:sz w:val="18"/>
          <w:szCs w:val="18"/>
          <w:color w:val="auto"/>
        </w:rPr>
      </w:pPr>
    </w:p>
    <w:p>
      <w:pPr>
        <w:ind w:left="880" w:right="479" w:firstLine="1086"/>
        <w:spacing w:after="0" w:line="282" w:lineRule="auto"/>
        <w:tabs>
          <w:tab w:leader="none" w:pos="239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duly observe and conform in all material respects to all applicable Law, including the Exchange Act, and Orders; or</w:t>
      </w:r>
    </w:p>
    <w:p>
      <w:pPr>
        <w:spacing w:after="0" w:line="80" w:lineRule="exact"/>
        <w:rPr>
          <w:rFonts w:ascii="Times New Roman" w:cs="Times New Roman" w:eastAsia="Times New Roman" w:hAnsi="Times New Roman"/>
          <w:sz w:val="18"/>
          <w:szCs w:val="18"/>
          <w:color w:val="auto"/>
        </w:rPr>
      </w:pPr>
    </w:p>
    <w:p>
      <w:pPr>
        <w:ind w:left="2420" w:hanging="454"/>
        <w:spacing w:after="0"/>
        <w:tabs>
          <w:tab w:leader="none" w:pos="242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do any of the foregoing.</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2" w:lineRule="auto"/>
        <w:tabs>
          <w:tab w:leader="none" w:pos="159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through the Closing Date, neither the Company, on the one hand, nor Parent, on the other hand, shall, and such Persons shall cause each of their respective officers, directors, Affiliates, managers, consultant, employees, representatives and agents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not to, directly or indirectly, (i) encourage, solicit, initiate, engage or participate in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Times New Roman" w:cs="Times New Roman" w:eastAsia="Times New Roman" w:hAnsi="Times New Roman"/>
          <w:sz w:val="18"/>
          <w:szCs w:val="18"/>
          <w:u w:val="single" w:color="auto"/>
          <w:color w:val="auto"/>
        </w:rPr>
        <w:t>Alternative Transaction</w:t>
      </w:r>
      <w:r>
        <w:rPr>
          <w:rFonts w:ascii="Times New Roman" w:cs="Times New Roman" w:eastAsia="Times New Roman" w:hAnsi="Times New Roman"/>
          <w:sz w:val="18"/>
          <w:szCs w:val="18"/>
          <w:color w:val="auto"/>
        </w:rPr>
        <w:t>” means any of the following transactions involving the Company or Parent (other than the transactions contemplated by this Agreement): (A) any merger, consolidation, share exchange, business combination or other similar transaction or (B) any sale, lease, exchange, transfer or other disposition of all or a material portion of (x) the assets of such Person (other than sales of inventory in the ordinary course of business) or (y) any class or series of the capital stock or other equity interests of the Company or Parent, as the case may be, in a single transaction or series of transactions.</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there is an unsolicited proposal for, or an indication of interest in entering into, an Alternative Transaction, communicated in writing to the Company or Parent or any of their respective representatives or agents (each, an “</w:t>
      </w:r>
      <w:r>
        <w:rPr>
          <w:rFonts w:ascii="Times New Roman" w:cs="Times New Roman" w:eastAsia="Times New Roman" w:hAnsi="Times New Roman"/>
          <w:sz w:val="18"/>
          <w:szCs w:val="18"/>
          <w:u w:val="single" w:color="auto"/>
          <w:color w:val="auto"/>
        </w:rPr>
        <w:t>Alternative Proposal</w:t>
      </w:r>
      <w:r>
        <w:rPr>
          <w:rFonts w:ascii="Times New Roman" w:cs="Times New Roman" w:eastAsia="Times New Roman" w:hAnsi="Times New Roman"/>
          <w:sz w:val="18"/>
          <w:szCs w:val="18"/>
          <w:color w:val="auto"/>
        </w:rPr>
        <w:t>”), such party shall as promptly as practicable (and in any event within one (1) Business Day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inquiring as to Parent’s interest in a potential target for a business combination; provided, however, that Parent shall inform the person initiating such communication of the existence of this Agreement.</w:t>
      </w:r>
    </w:p>
    <w:p>
      <w:pPr>
        <w:spacing w:after="0" w:line="12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From the date hereof through and including the Closing Date, the Company and Parent shall each, to the best of its ability, (a) continue to give the other party, its legal counsel and its other representatives full access to the offices, properties and Books and Records, (b) furnish to the other party, its legal counsel and its other representatives such information relating to the business of the Company and Parent as such Persons may request and (c) cause its employees, legal counsel, accountants and other representatives to cooperate with the other party in its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8" w:name="page339"/>
    <w:bookmarkEnd w:id="3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investigation of the Business (in the case of the Company) or the business of Parent (in the case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any investigation made prior to the date hereof) shall affect any representation or warranty given by the Company or Parent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investigation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Company.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 Each of Parent and the Company shall promptly notify the other party of:</w:t>
      </w:r>
    </w:p>
    <w:p>
      <w:pPr>
        <w:spacing w:after="0" w:line="158" w:lineRule="exact"/>
        <w:rPr>
          <w:sz w:val="20"/>
          <w:szCs w:val="20"/>
          <w:color w:val="auto"/>
        </w:rPr>
      </w:pPr>
    </w:p>
    <w:p>
      <w:pPr>
        <w:jc w:val="both"/>
        <w:ind w:left="460" w:right="459" w:firstLine="858"/>
        <w:spacing w:after="0" w:line="258" w:lineRule="auto"/>
        <w:tabs>
          <w:tab w:leader="none" w:pos="158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Company’s or Parent’s assets;</w:t>
      </w:r>
    </w:p>
    <w:p>
      <w:pPr>
        <w:spacing w:after="0" w:line="10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1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Authority in connection with the transactions contemplated by this Agreement or the Additional Agreements;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9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commenced or threatened against, relating to or involving or otherwise affecting either party or any of their stockholders or their equity, assets or business or that relate to the consummation of the transactions contemplated by this Agreement or the Additional Agreements;</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fact or circumstance which constitutes or results, or would reasonably be expected to constitute or result in a Material Adverse Change; and</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that would reasonably be expected to cause any of the conditions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 not to be satisfied.</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Cooperation with Form S-4/Proxy Statement; Other Filings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3" w:lineRule="auto"/>
        <w:tabs>
          <w:tab w:leader="none" w:pos="1581"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provide to Parent such information concerning the Company and the Company Securityholders as is either required by the federal securities laws or reasonably requested by Parent for inclusion in the proxy statement/prospectus and Offer Documents. As promptly as practicable after the receipt by Parent from the Company of all such information, Parent and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Times New Roman" w:cs="Times New Roman" w:eastAsia="Times New Roman" w:hAnsi="Times New Roman"/>
          <w:sz w:val="18"/>
          <w:szCs w:val="18"/>
          <w:u w:val="single" w:color="auto"/>
          <w:color w:val="auto"/>
        </w:rPr>
        <w:t>Parent Stockholder Meeting</w:t>
      </w:r>
      <w:r>
        <w:rPr>
          <w:rFonts w:ascii="Times New Roman" w:cs="Times New Roman" w:eastAsia="Times New Roman" w:hAnsi="Times New Roman"/>
          <w:sz w:val="18"/>
          <w:szCs w:val="18"/>
          <w:color w:val="auto"/>
        </w:rPr>
        <w:t>”). Such proxy materials shall be in the form of a proxy statement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which shall be included in a Registration Statement on Form S-4 (the “</w:t>
      </w:r>
      <w:r>
        <w:rPr>
          <w:rFonts w:ascii="Times New Roman" w:cs="Times New Roman" w:eastAsia="Times New Roman" w:hAnsi="Times New Roman"/>
          <w:sz w:val="18"/>
          <w:szCs w:val="18"/>
          <w:u w:val="single" w:color="auto"/>
          <w:color w:val="auto"/>
        </w:rPr>
        <w:t>Form S-4</w:t>
      </w:r>
      <w:r>
        <w:rPr>
          <w:rFonts w:ascii="Times New Roman" w:cs="Times New Roman" w:eastAsia="Times New Roman" w:hAnsi="Times New Roman"/>
          <w:sz w:val="18"/>
          <w:szCs w:val="18"/>
          <w:color w:val="auto"/>
        </w:rPr>
        <w:t>”) filed by Parent with the SEC, pursuant to which the Parent Class A Shares issuable in the Merger shall be registered. Parent shall promptly respond to any SEC comments on the Form S-4. The Proxy Statement, the Form S-4 and the documents included or referred to therein, together with any supplements, amendments or exhibits thereto, are referred to herein as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1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(i) permit the Company and its counsel to review and comment on the Proxy Statement and Form S-4 and any exhibits, amendments or supplements thereto (or other related documents);</w:t>
      </w:r>
    </w:p>
    <w:p>
      <w:pPr>
        <w:jc w:val="both"/>
        <w:ind w:left="460" w:right="459" w:hanging="6"/>
        <w:spacing w:after="0" w:line="251" w:lineRule="auto"/>
        <w:tabs>
          <w:tab w:leader="none" w:pos="73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consider any such comments in good faith; and (iii) consult with the Company and its counsel prior to filing the Proxy Statement and Form S-4 or any exhibit, amendment or supplement thereto.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 and, in each case, shall consult with the Company and its counsel concerning any such correspondence. Parent shall, with respect to, any response letters to any comments from the SEC consider any comments from the Company and its counsel in good faith. Parent will advise the Company, promptly after it receives notice thereof, of the time when the Proxy Statement or the S-4 or any amendment or supplement thereto has been filed with the SEC and the time when the Form S-4 declared effective or any stop order relating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9" w:name="page340"/>
    <w:bookmarkEnd w:id="3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to the Form S-4 is issued. Except as otherwise required by applicable Law, Parent covenants that none of Parent, the Parent Board of Directors nor any committee of the Parent Board of Directors shall withdraw or modify, or propose publicly or by formal action of Parent, the Parent Board of Directors or any committee of the Parent Board of Directors to withdraw or modify, in a manner adverse to the Company, the Parent Board Recommendation or any other recommendation by Parent, the Parent Board of Directors or any committee of the Parent Board of Directors of in connection with any of the Parent Proposals.</w:t>
      </w:r>
    </w:p>
    <w:p>
      <w:pPr>
        <w:spacing w:after="0" w:line="120" w:lineRule="exact"/>
        <w:rPr>
          <w:sz w:val="20"/>
          <w:szCs w:val="20"/>
          <w:color w:val="auto"/>
        </w:rPr>
      </w:pPr>
    </w:p>
    <w:p>
      <w:pPr>
        <w:jc w:val="both"/>
        <w:ind w:left="460" w:right="459" w:firstLine="858"/>
        <w:spacing w:after="0" w:line="255" w:lineRule="auto"/>
        <w:tabs>
          <w:tab w:leader="none" w:pos="1588"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following the date on which the Form S-4 is declared effective by the SEC (such effective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Parent shall distribute the Proxy Statement to the holders of Parent Common Stock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Parent’s stockholders for approval or adoption at the Parent Stockholder Meeting, including the matters described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608"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comply with all applicable provisions of and rules under the Securities Act and Exchange Act and all applicable Laws of the State of Delaware and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Effective Date, and the Proxy Statement, as of the date on which it is first distributed to Parent’s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be responsible for the accuracy or completeness of any information relating to the Company or any other information furnished by the Company for inclusion in the Proxy Statement). The Company represents and warrants that the information relating to the Company supplied by the Company for inclusion in the Form S-4 or the Proxy Statement, as applicable, as of the Effective Date and the date on which the Proxy Statement (or any amendment or supplement thereto) is first distributed to Parent Stockholders or at the time of the Parent Stockholder Meeting, does not contain any untrue statement of a material fact or omit to state a material fact necessary in order to make the statements made, in light of the circumstances under which they were made, not misleading.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123" w:lineRule="exact"/>
        <w:rPr>
          <w:rFonts w:ascii="Times New Roman" w:cs="Times New Roman" w:eastAsia="Times New Roman" w:hAnsi="Times New Roman"/>
          <w:sz w:val="18"/>
          <w:szCs w:val="18"/>
          <w:color w:val="auto"/>
        </w:rPr>
      </w:pPr>
    </w:p>
    <w:p>
      <w:pPr>
        <w:jc w:val="both"/>
        <w:ind w:left="460" w:right="479" w:firstLine="858"/>
        <w:spacing w:after="0" w:line="257" w:lineRule="auto"/>
        <w:tabs>
          <w:tab w:leader="none" w:pos="159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Parent’s amended and restated certificate of incorporation and applicable securities laws, rules and regulations, including the DGCL and rules and regulations of Nasdaq in the Proxy Statement, Parent shall seek from the holders of Parent Common Stock the approval of the following proposals: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Stockholder Approval; (ii) adoption and approval of 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including the change of the name of Parent to “Gemini Therapeutics, Inc.”; (iii) adoption and approval of the Amended and Restated Bylaws of Parent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(iv) approval of the Parent Equity Incentive Plan; (v) approval of the issuance of more than 20% of the issued and outstanding shares of Parent Common Stock to the Company Securityholders in connection with the Merger under applicable exchange listing rules; (vi) approval to adjourn the Parent Stockholder Meeting, if necessary; and (vii) approval to obtain any and all other approvals necessary or advisable to effect the consummation of the Merger as determined by Parent (the proposals set forth in the forgoing clauses (i) through (vii) collectively, the “</w:t>
      </w:r>
      <w:r>
        <w:rPr>
          <w:rFonts w:ascii="Times New Roman" w:cs="Times New Roman" w:eastAsia="Times New Roman" w:hAnsi="Times New Roman"/>
          <w:sz w:val="18"/>
          <w:szCs w:val="18"/>
          <w:u w:val="single" w:color="auto"/>
          <w:color w:val="auto"/>
        </w:rPr>
        <w:t>Parent Proposals</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57"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with the assistance of the Company, shall use its reasonable best efforts to cause the S-4 and the Proxy Statement to “clear” comments from the SEC and the S-4 to become effective as promptly as reasonably practicable. The Offer Documents shall provide the public stockholders of Parent with the opportunity to redeem all or a portion of their public Parent Class A Shares, up to that number of Parent Class A Shares that would permit Parent to maintain net tangible assets of at least $5,000,001 (the “</w:t>
      </w:r>
      <w:r>
        <w:rPr>
          <w:rFonts w:ascii="Times New Roman" w:cs="Times New Roman" w:eastAsia="Times New Roman" w:hAnsi="Times New Roman"/>
          <w:sz w:val="18"/>
          <w:szCs w:val="18"/>
          <w:u w:val="single" w:color="auto"/>
          <w:color w:val="auto"/>
        </w:rPr>
        <w:t>Offering Shares</w:t>
      </w:r>
      <w:r>
        <w:rPr>
          <w:rFonts w:ascii="Times New Roman" w:cs="Times New Roman" w:eastAsia="Times New Roman" w:hAnsi="Times New Roman"/>
          <w:sz w:val="18"/>
          <w:szCs w:val="18"/>
          <w:color w:val="auto"/>
        </w:rPr>
        <w:t>”), at a price per share determined in accordance with the Parent Certificate of Incorporation, all in accordance with applicable Law and any applicable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0" w:name="page341"/>
    <w:bookmarkEnd w:id="3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rules and regulations of the SEC. In accordance with the Parent Certificate of Incorporation, the proceeds held in the Trust Account will be used for the redemption of the Parent Class A Shares held by Parent’s public stockholders who have elected to redeem such shares, if any.</w:t>
      </w:r>
    </w:p>
    <w:p>
      <w:pPr>
        <w:spacing w:after="0" w:line="108" w:lineRule="exact"/>
        <w:rPr>
          <w:sz w:val="20"/>
          <w:szCs w:val="20"/>
          <w:color w:val="auto"/>
        </w:rPr>
      </w:pPr>
    </w:p>
    <w:p>
      <w:pPr>
        <w:ind w:left="460" w:right="479" w:firstLine="858"/>
        <w:spacing w:after="0" w:line="282" w:lineRule="auto"/>
        <w:tabs>
          <w:tab w:leader="none" w:pos="158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to the contrary in this Agreement or any Additional Agreements, Parent may make any public filing with respect to the Merger to the extent required by applicable Law.</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call and hold the Parent Stockholder Meeting as promptly as practicable after the Effective Date for the purpose of seeking the approval of each of the Parent Proposals, and Parent shall consult in good faith with the Company with respect to the date on which such meeting is to be held. Parent shall use reasonable best efforts to solicit from its stockholders proxies in favor of the approval and adoption of the Merger and this Agreement. The Company acknowledges that a substantial portion of the Proxy Statement shall include disclosure regarding the Company and its management, operations and financial condition. Accordingly, the Company agrees to as promptly as reasonably practical provide Parent with such information as shall be reasonably requested by Parent for inclusion in or attachment to the Proxy Statement, and that such information is accurate in all material respects and complies as to form in all material respects with the requirements of the Exchange Act and the rules and regulations promulgated thereunder. The Company understands that such information shall be included in the Proxy Statement/Form S-4 or responses to comments from the SEC or its staff in connection therewith. The Company shall make, and cause each Subsidiary to make, their managers, directors, officers and employees available to Parent and its counsel in connection with the drafting of such filings and mailings and responding in a timely manner to comments from the SEC.</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Parent covenants that it shall cause the funds in the Trust Account to be disbursed in accordance with the Trust Agreement, including for the payment of (a) all amounts payable to public stockholders of Parent holding Parent Class A Shares who shall have validly redeemed their Parent Class A Shares upon acceptance by Parent of such Parent Class A Shares (the “</w:t>
      </w:r>
      <w:r>
        <w:rPr>
          <w:rFonts w:ascii="Times New Roman" w:cs="Times New Roman" w:eastAsia="Times New Roman" w:hAnsi="Times New Roman"/>
          <w:sz w:val="18"/>
          <w:szCs w:val="18"/>
          <w:u w:val="single" w:color="auto"/>
          <w:color w:val="auto"/>
        </w:rPr>
        <w:t>Parent Redemption Amount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60" w:right="479" w:hanging="6"/>
        <w:spacing w:after="0" w:line="260" w:lineRule="auto"/>
        <w:tabs>
          <w:tab w:leader="none" w:pos="73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underwriting commissions and the expenses to third parties to which they are owed, and (c) the remaining monies in the Trust Account to Parent after the Closing.</w:t>
      </w:r>
    </w:p>
    <w:p>
      <w:pPr>
        <w:spacing w:after="0" w:line="11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Parent shall take all action necessary to cause Merger Sub to perform its obligations under this Agreement and to consummate the transactions contemplated under this Agreement, upon the terms and subject to the conditions set forth in this Agreement.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Private Placement, Parent Support Agreements</w:t>
      </w:r>
      <w:r>
        <w:rPr>
          <w:rFonts w:ascii="Times New Roman" w:cs="Times New Roman" w:eastAsia="Times New Roman" w:hAnsi="Times New Roman"/>
          <w:sz w:val="18"/>
          <w:szCs w:val="18"/>
          <w:color w:val="auto"/>
        </w:rPr>
        <w:t>. Neither Parent, Merger Sub or any of their respective Affiliates or representatives shall make or agree to any amendments, changes, modifications or waivers (except, in each case, with respect to ministerial changes that do not have an economic impact) to any of the Subscription Agreements, without the prior written consent of the Company, which consent shall not be unreasonably withheld, conditioned or delayed.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1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Reporting; Compliance with Laws</w:t>
      </w:r>
      <w:r>
        <w:rPr>
          <w:rFonts w:ascii="Times New Roman" w:cs="Times New Roman" w:eastAsia="Times New Roman" w:hAnsi="Times New Roman"/>
          <w:sz w:val="18"/>
          <w:szCs w:val="18"/>
          <w:color w:val="auto"/>
        </w:rPr>
        <w:t>. From the date hereof through and including the Closing Date:</w:t>
      </w:r>
    </w:p>
    <w:p>
      <w:pPr>
        <w:spacing w:after="0" w:line="158" w:lineRule="exact"/>
        <w:rPr>
          <w:sz w:val="20"/>
          <w:szCs w:val="20"/>
          <w:color w:val="auto"/>
        </w:rPr>
      </w:pPr>
    </w:p>
    <w:p>
      <w:pPr>
        <w:jc w:val="both"/>
        <w:ind w:left="460" w:right="459" w:firstLine="858"/>
        <w:spacing w:after="0" w:line="255" w:lineRule="auto"/>
        <w:tabs>
          <w:tab w:leader="none" w:pos="158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duly and timely file all material Tax Returns required to be filed with the applicable Taxing Authorities and pay any and all Taxes due and payable during such time period. The Company shall prepare, or cause to be prepared, each such material Tax Return in a manner consistent with the Company’s past practice. The Company shall provide each such Tax Return to Parent for review and comment as soon as reasonably practicable before the due date of each such Tax Return and not file such Tax Returns without the prior written consent of Parent (such consent not to be unreasonably withheld, conditioned or delayed).</w:t>
      </w:r>
    </w:p>
    <w:p>
      <w:pPr>
        <w:spacing w:after="0" w:line="12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Commercially Reasonable Efforts to Obtain Consents</w:t>
      </w:r>
      <w:r>
        <w:rPr>
          <w:rFonts w:ascii="Times New Roman" w:cs="Times New Roman" w:eastAsia="Times New Roman" w:hAnsi="Times New Roman"/>
          <w:sz w:val="18"/>
          <w:szCs w:val="18"/>
          <w:color w:val="auto"/>
        </w:rPr>
        <w:t xml:space="preserve">. The Company shall use its commercially reasonable efforts to obtain each Company Consent set forth on </w:t>
      </w:r>
      <w:r>
        <w:rPr>
          <w:rFonts w:ascii="Times New Roman" w:cs="Times New Roman" w:eastAsia="Times New Roman" w:hAnsi="Times New Roman"/>
          <w:sz w:val="18"/>
          <w:szCs w:val="18"/>
          <w:u w:val="single" w:color="auto"/>
          <w:color w:val="auto"/>
        </w:rPr>
        <w:t>Schedule 8.2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Company’s Stockholders Approval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8" w:lineRule="auto"/>
        <w:tabs>
          <w:tab w:leader="none" w:pos="157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and in any event within two (2) Business Days following the Effective Date (the “</w:t>
      </w:r>
      <w:r>
        <w:rPr>
          <w:rFonts w:ascii="Times New Roman" w:cs="Times New Roman" w:eastAsia="Times New Roman" w:hAnsi="Times New Roman"/>
          <w:sz w:val="18"/>
          <w:szCs w:val="18"/>
          <w:u w:val="single" w:color="auto"/>
          <w:color w:val="auto"/>
        </w:rPr>
        <w:t>Company Stockholder Written Consent Deadline</w:t>
      </w:r>
      <w:r>
        <w:rPr>
          <w:rFonts w:ascii="Times New Roman" w:cs="Times New Roman" w:eastAsia="Times New Roman" w:hAnsi="Times New Roman"/>
          <w:sz w:val="18"/>
          <w:szCs w:val="18"/>
          <w:color w:val="auto"/>
        </w:rPr>
        <w:t>”), the Company shall obtain and deliver to Parent a true, complete and correct copy of a written consent (in form and substance reasonably satisfactory to Parent and certified by an executive officer of the Company) evidencing the Company Stockholder Approval that is duly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1" w:name="page342"/>
    <w:bookmarkEnd w:id="3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executed by the Company Stockholders that hold at least the requisite number and class of issued and outstanding shares of Company Capital Stock required to obtain the Company Stockholder Approval (the “</w:t>
      </w:r>
      <w:r>
        <w:rPr>
          <w:rFonts w:ascii="Times New Roman" w:cs="Times New Roman" w:eastAsia="Times New Roman" w:hAnsi="Times New Roman"/>
          <w:sz w:val="18"/>
          <w:szCs w:val="18"/>
          <w:u w:val="single" w:color="auto"/>
          <w:color w:val="auto"/>
        </w:rPr>
        <w:t>Company Stockholder Written Consent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858"/>
        <w:spacing w:after="0" w:line="266" w:lineRule="auto"/>
        <w:tabs>
          <w:tab w:leader="none" w:pos="157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Company’s Board of Directors, nor any committee thereof, shall withhold, withdraw, amend, modify, change or propose or resolve to withhold, withdraw, amend, modify or change, in each case in a manner adverse to Parent, the Company Board Recommendation.</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3"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obtained prior to the initiation of the requisite Company Stockholder approval procedure under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xml:space="preserve"> below, a waiver of the right to receive payments that could constitute “parachute payments” under Section 280G of the Code and regulations promulgated thereunder (a “</w:t>
      </w:r>
      <w:r>
        <w:rPr>
          <w:rFonts w:ascii="Times New Roman" w:cs="Times New Roman" w:eastAsia="Times New Roman" w:hAnsi="Times New Roman"/>
          <w:sz w:val="18"/>
          <w:szCs w:val="18"/>
          <w:u w:val="single" w:color="auto"/>
          <w:color w:val="auto"/>
        </w:rPr>
        <w:t>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Waiver</w:t>
      </w:r>
      <w:r>
        <w:rPr>
          <w:rFonts w:ascii="Times New Roman" w:cs="Times New Roman" w:eastAsia="Times New Roman" w:hAnsi="Times New Roman"/>
          <w:sz w:val="18"/>
          <w:szCs w:val="18"/>
          <w:color w:val="auto"/>
        </w:rPr>
        <w:t xml:space="preserve">”), in a form reasonably acceptable to Parent, from each Person whom the Company and/or Parent reasonably believes is, with respect to the Company, a “disqualified individual” (within the meaning of Section 280G of the Code and the regulations promulgated thereunder), as determined immediately prior to the initiation of the requisite Company Stockholder approval procedure under </w:t>
      </w:r>
      <w:r>
        <w:rPr>
          <w:rFonts w:ascii="Times New Roman" w:cs="Times New Roman" w:eastAsia="Times New Roman" w:hAnsi="Times New Roman"/>
          <w:sz w:val="18"/>
          <w:szCs w:val="18"/>
          <w:u w:val="single" w:color="auto"/>
          <w:color w:val="auto"/>
        </w:rPr>
        <w:t>Section 8.4(b)</w:t>
      </w:r>
      <w:r>
        <w:rPr>
          <w:rFonts w:ascii="Times New Roman" w:cs="Times New Roman" w:eastAsia="Times New Roman" w:hAnsi="Times New Roman"/>
          <w:sz w:val="18"/>
          <w:szCs w:val="18"/>
          <w:color w:val="auto"/>
        </w:rPr>
        <w:t>, and whom the Company and/or Parent believes might otherwise receive, have received, or have the right or entitlement to receive any parachute payment under Section 280G of the Code, and the Company shall have delivered each such Parachute Payment Waiver to Parent on or before the Closing Date.</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3"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reasonable best efforts to obtain the approval by such number of Company Stockholders as is required by the terms of Section 280G(b)(5)(B) of the Code so as to render the parachute payment provisions of Section 280G of the Code inapplicable to any and all payments and/or benefits provided pursuant to contracts or arrangements that, in the absence of the executed Parachute Payment Waivers by the affected Persons under </w:t>
      </w:r>
      <w:r>
        <w:rPr>
          <w:rFonts w:ascii="Times New Roman" w:cs="Times New Roman" w:eastAsia="Times New Roman" w:hAnsi="Times New Roman"/>
          <w:sz w:val="18"/>
          <w:szCs w:val="18"/>
          <w:u w:val="single" w:color="auto"/>
          <w:color w:val="auto"/>
        </w:rPr>
        <w:t>Section 8.4(a)</w:t>
      </w:r>
      <w:r>
        <w:rPr>
          <w:rFonts w:ascii="Times New Roman" w:cs="Times New Roman" w:eastAsia="Times New Roman" w:hAnsi="Times New Roman"/>
          <w:sz w:val="18"/>
          <w:szCs w:val="18"/>
          <w:color w:val="auto"/>
        </w:rPr>
        <w:t xml:space="preserve"> above, might otherwise result, separately or in the aggregate, in the payment of any amount and/or the provision of any benefit that would not be deductible by reason of Section 280G of the Code, with such Company Stockholder approval to be obtained in a manner which satisfies all applicable requirements of such Section 280G(b)(5)(B) of the Code and the Treasury Regulations thereunder, including Q-7 of Section 1.280G-I of such Treasury Regulations. The Company shall forward to Parent, and allow Parent to review and comment upon, prior to submission to the Company Stockholders, copies of all material documents prepared for purposes of complying with this provision and shall consider any such reasonable comments in good faith.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ALL PARTIES HERETO</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Commercially Reasonable Efforts; Further Assurances; Governmental Consents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otherwise subject to the terms and conditions of this Agreement, each party (other than the Stockholders’ Representative)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(other than the Stockholders’ Representative)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12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2"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the matters set forth in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(which shall be subject to the terms and conditions of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and otherwise subject to applicable Law, each of the Company and Parent agrees to (i)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apprised of the status of matters relating to the completion of the transactions contemplated by this Agreement, including promptly furnishing the other with copies of notices or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2" w:name="page343"/>
    <w:bookmarkEnd w:id="3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of clauses (ii), (iii) and (iv) above, that materials may be redacted</w:t>
      </w:r>
    </w:p>
    <w:p>
      <w:pPr>
        <w:spacing w:after="0" w:line="3" w:lineRule="exact"/>
        <w:rPr>
          <w:sz w:val="20"/>
          <w:szCs w:val="20"/>
          <w:color w:val="auto"/>
        </w:rPr>
      </w:pPr>
    </w:p>
    <w:p>
      <w:pPr>
        <w:jc w:val="both"/>
        <w:ind w:left="460" w:right="479" w:hanging="6"/>
        <w:spacing w:after="0" w:line="255" w:lineRule="auto"/>
        <w:tabs>
          <w:tab w:leader="none" w:pos="767"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references concerning the valuation of such party and its Affiliates, (B) as necessary to comply with contractual arrangements or applicable Laws, and (C) as necessary to address reasonable attorney-client or other privilege or confidentiality concerns.</w:t>
      </w:r>
    </w:p>
    <w:p>
      <w:pPr>
        <w:spacing w:after="0" w:line="11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Except as necessary to complete the Offer Documents or any Other Filings, the Company, on the one hand, and Parent and Merger Sub, on the other hand, shall hold and shall cause their respective representatives to hold in strict confidence, unless compelled to disclose by judicial or administrative process or by other requirements of Law, all documents and information concerning the other party furnished to it by such other party or its representatives in connection with the transactions contemplated by this Agreement (except to the extent that such information can be shown to have been (a) previously known by the party to which it was furnished, (b) in the public domain through no fault of such party or (c) later lawfully acquired from another source, which source is not the agent of the other party and is not under any obligation of confidentiality with respect to such information); and no party shall release or disclose such information to any other Person, except its representatives in connection with this Agreement. In the event that any party believes that it is required to disclose any such confidential information pursuant to applicable Law, to the extent legally permissible, such party shall give timely written notice to the other party so that such party may have an opportunity to obtain a protective order or other appropriate relief. Each party shall be deemed to have satisfied its obligations to hold confidential information concerning or supplied by the other party if it exercises the same care as it takes to preserve confidentiality for its own similar information. The parties acknowledge that some previously confidential information will be required to be disclosed in the Offer Documents and Other Filings. Notwithstanding anything in this Agreement to the contrary, following the Closing, the Stockholders’ Representative shall be permitted to disclose information as required by Law or to employees, advisors, agents or consultants of the Stockholders’ Representative and to the Company Securityholders, in each case who have a need to know such information, provided that such persons are subject to confidentiality obligations with respect thereto.</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Directors’ and Officers’ Indemnification and Liability Insurance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61" w:lineRule="auto"/>
        <w:tabs>
          <w:tab w:leader="none" w:pos="160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indemnification for acts or omissions occurring through the Closing Date now existing in favor of the current directors and officers of the Company and Parent as provided in their respective organizational documents or in any indemnification agreements shall survive the applicable Merger and shall continue in full force and effect in accordance with their terms.</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09"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and the Company shall reasonably cooperate in order to obtain directors’ and officers’ liability insurance for Parent and the Company that shall be effective as of Closing and will cover (i) those Persons who were directors and officers of the Company prior to the Closing and (ii) those Persons who will be the directors and officers of Parent and its subsidiaries (including the Company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and revenues) as the Company.</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7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shall be permitted to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substantially equivalent to the current policies of directors’ and officers’ liability insurance maintained by the Company with respect to matters arising on or before the Effective Time, covering without limitation the transactions contemplated hereby (the “</w:t>
      </w:r>
      <w:r>
        <w:rPr>
          <w:rFonts w:ascii="Times New Roman" w:cs="Times New Roman" w:eastAsia="Times New Roman" w:hAnsi="Times New Roman"/>
          <w:sz w:val="18"/>
          <w:szCs w:val="18"/>
          <w:u w:val="single" w:color="auto"/>
          <w:color w:val="auto"/>
        </w:rPr>
        <w:t>Tail Policy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3" w:name="page344"/>
    <w:bookmarkEnd w:id="3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Parent shall use its reasonable best efforts to cause (a) Parent’s initial listing application with the Nasdaq in connection with the transactions contemplated by this Agreement to have been approved; (b) all applicable initial and continuing listing requirements of the Nasdaq to be satisfied; and (c) the Closing Payment Shares, to be approved for listing on the Nasdaq, subject to official notice of issuance, in each case, as promptly as reasonably practicable after the date of this Agreement and in any event prior to the Effective Time.</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6" w:lineRule="auto"/>
        <w:tabs>
          <w:tab w:leader="none" w:pos="1597"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22"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Affiliates to) provide any information reasonably requested to allow Parent to comply with any information reporting or withholding requirements contained in the Code or other applicable Laws with respect to the transactions contemplated by, or any payment made in connection with, this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1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sales, use, value added, goods and services, stamp, registration, notarial fees and other similar Taxes and fees (collectively,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paid by the Surviving Corporation. After the Closing Date, the Surviving Corporation will prepare and file all necessary Tax Returns and other documentation with respect to all such Transfer Taxes that are required to be filed after the Closing Date, and, if required by applicable Law, the Company Securityholders and Parent will, and will cause their respective Affiliates to, cooperate and join in the execution of any such Tax Returns and other documentation, as applicable. Each party (other than the Stockholders’ Representative) shall (and shall cause its Affiliates to) provide certificates or forms, and timely execute any Tax Return, that are necessary or appropriate to establish an exemption for (or reduction in) any Transfer Tax.</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Equity Incentive Plan</w:t>
      </w:r>
      <w:r>
        <w:rPr>
          <w:rFonts w:ascii="Times New Roman" w:cs="Times New Roman" w:eastAsia="Times New Roman" w:hAnsi="Times New Roman"/>
          <w:sz w:val="18"/>
          <w:szCs w:val="18"/>
          <w:color w:val="auto"/>
        </w:rPr>
        <w:t xml:space="preserve">. Prior to the Effective Date, Parent shall adopt a new equity incentive plan in substantially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with such changes or modifications thereto as the Company and Parent may mutually agree (such agreement not to be unreasonably withheld, conditioned or delayed by either the Company or Parent, as applicable) (the “</w:t>
      </w:r>
      <w:r>
        <w:rPr>
          <w:rFonts w:ascii="Times New Roman" w:cs="Times New Roman" w:eastAsia="Times New Roman" w:hAnsi="Times New Roman"/>
          <w:sz w:val="18"/>
          <w:szCs w:val="18"/>
          <w:u w:val="single" w:color="auto"/>
          <w:color w:val="auto"/>
        </w:rPr>
        <w:t>Parent Equity Incentive Plan</w:t>
      </w:r>
      <w:r>
        <w:rPr>
          <w:rFonts w:ascii="Times New Roman" w:cs="Times New Roman" w:eastAsia="Times New Roman" w:hAnsi="Times New Roman"/>
          <w:sz w:val="18"/>
          <w:szCs w:val="18"/>
          <w:color w:val="auto"/>
        </w:rPr>
        <w:t xml:space="preserve">”), effective as of one day prior to the Closing Date. The Parent Equity Incentive Plan shall have such number of shares available for issuance as mutually determined by the Company and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shares of Company Common Stock that remain reserved for issuance under the Equity Incentive Plans shall be converted into shares of Parent Class A Common Stock reserved or available for issuance under the Parent Equity Incentive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Condition to the Obligations of the Parties</w:t>
      </w:r>
      <w:r>
        <w:rPr>
          <w:rFonts w:ascii="Times New Roman" w:cs="Times New Roman" w:eastAsia="Times New Roman" w:hAnsi="Times New Roman"/>
          <w:sz w:val="18"/>
          <w:szCs w:val="18"/>
          <w:color w:val="auto"/>
        </w:rPr>
        <w:t>. The obligations of all of the parties to consummate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Merger are subject to the satisfaction of all the following conditions:</w:t>
      </w:r>
    </w:p>
    <w:p>
      <w:pPr>
        <w:spacing w:after="0" w:line="139" w:lineRule="exact"/>
        <w:rPr>
          <w:sz w:val="20"/>
          <w:szCs w:val="20"/>
          <w:color w:val="auto"/>
        </w:rPr>
      </w:pPr>
    </w:p>
    <w:p>
      <w:pPr>
        <w:ind w:left="460" w:right="479" w:firstLine="858"/>
        <w:spacing w:after="0" w:line="282" w:lineRule="auto"/>
        <w:tabs>
          <w:tab w:leader="none" w:pos="159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provisions of any applicable Law and no Order shall restrain or prohibit or impose any condition on the consummation of the Transactions.</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08"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consent or approval required to be obtained from any Authority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10.1(b)</w:t>
      </w:r>
      <w:r>
        <w:rPr>
          <w:rFonts w:ascii="Times New Roman" w:cs="Times New Roman" w:eastAsia="Times New Roman" w:hAnsi="Times New Roman"/>
          <w:sz w:val="18"/>
          <w:szCs w:val="18"/>
          <w:color w:val="auto"/>
        </w:rPr>
        <w:t xml:space="preserve"> shall have been obtained.</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9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be any Action brought by any governmental Authority to enjoin or otherwise restrict the consummation of the Transactions.</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have redeemed the Parent Class A Shares in an amount that would cause Parent to have net tangible assets of less than $5,000,001 upon consummation of the Merger.</w:t>
      </w:r>
    </w:p>
    <w:p>
      <w:pPr>
        <w:spacing w:after="0" w:line="94" w:lineRule="exact"/>
        <w:rPr>
          <w:rFonts w:ascii="Times New Roman" w:cs="Times New Roman" w:eastAsia="Times New Roman" w:hAnsi="Times New Roman"/>
          <w:sz w:val="18"/>
          <w:szCs w:val="18"/>
          <w:color w:val="auto"/>
        </w:rPr>
      </w:pPr>
    </w:p>
    <w:p>
      <w:pPr>
        <w:ind w:left="1560" w:hanging="242"/>
        <w:spacing w:after="0"/>
        <w:tabs>
          <w:tab w:leader="none" w:pos="156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Parent Proposals shall have been duly approved at the Parent Stockholder Meeting;</w:t>
      </w:r>
    </w:p>
    <w:p>
      <w:pPr>
        <w:spacing w:after="0" w:line="144"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shall have been obtained.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4" w:name="page345"/>
    <w:bookmarkEnd w:id="3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Conditions to Obligations of Parent and Merger Sub</w:t>
      </w:r>
      <w:r>
        <w:rPr>
          <w:rFonts w:ascii="Times New Roman" w:cs="Times New Roman" w:eastAsia="Times New Roman" w:hAnsi="Times New Roman"/>
          <w:sz w:val="18"/>
          <w:szCs w:val="18"/>
          <w:color w:val="auto"/>
        </w:rPr>
        <w:t>. The obligation of Parent and Merger Sub to consummate the Merger is subject to the satisfaction, or the waiver in Parent’s sole and absolute discretion, of all the following further conditions:</w:t>
      </w:r>
    </w:p>
    <w:p>
      <w:pPr>
        <w:spacing w:after="0" w:line="108" w:lineRule="exact"/>
        <w:rPr>
          <w:sz w:val="20"/>
          <w:szCs w:val="20"/>
          <w:color w:val="auto"/>
        </w:rPr>
      </w:pPr>
    </w:p>
    <w:p>
      <w:pPr>
        <w:jc w:val="both"/>
        <w:ind w:left="460" w:right="479" w:firstLine="858"/>
        <w:spacing w:after="0" w:line="266" w:lineRule="auto"/>
        <w:tabs>
          <w:tab w:leader="none" w:pos="159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(disregarding all qualifications and exceptions contained therein relating to materiality or Material Adverse Effect), other than the Company Fundamental Representations,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1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1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received a certificate signed by the Chief Executive Officer or the Chief Financial Officer certifying the accuracy of the provisions of the foregoing clauses (a), (b) and (c) of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Company Certificate</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certificate signed by the Secretary of the Company attaching true and correct copies of (i) the Company Certificate of Incorporation and by-laws, certified as of a recent date by the. Secretary of State of the State of Delaware; (ii) copies of resolutions duly adopted by the Board of Directors of the Company authorizing this Agreement, the Additional Agreements to which the Company is a party and the transactions contemplated hereby and thereby and the Company Stockholder Written Consent; and (iii) a certificate of good standing of the Company, certified as of a recent date by the Secretary of State of the State of Delaware.</w:t>
      </w:r>
    </w:p>
    <w:p>
      <w:pPr>
        <w:spacing w:after="0" w:line="10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0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Registration Rights Agreement.</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and Sponsor a copy of the Escrow Agreement, duly executed by the Company.</w:t>
      </w:r>
    </w:p>
    <w:p>
      <w:pPr>
        <w:spacing w:after="0" w:line="9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Specified Company Securityholders shall have duly executed and delivered to Parent a copy of the Voting Agreement.</w:t>
      </w:r>
    </w:p>
    <w:p>
      <w:pPr>
        <w:spacing w:after="0" w:line="80"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 Material Adverse Effect since the date hereof that is continuing.</w:t>
      </w:r>
    </w:p>
    <w:p>
      <w:pPr>
        <w:spacing w:after="0" w:line="15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5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three percent (3%) of the issued and outstanding shares of Company Common Stock (including shares of Company Common Stock issuable upon conversion of Company Preferred Stock) shall continue Dissenting Shares.</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1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substantially the form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58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evidence, in form and substance reasonably acceptable to Parent, that (x) each of the Contracts set forth on Schedule 10.2(l) has been terminated without any further obligations of the Company and (y) the Convertible Notes have been converted into Company Series B Preferred Stock prior to the Closing.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5" w:name="page346"/>
    <w:bookmarkEnd w:id="3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620" w:hanging="302"/>
        <w:spacing w:after="0"/>
        <w:tabs>
          <w:tab w:leader="none" w:pos="16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each Company Consent set forth on Schedule 10.2(m).</w:t>
      </w:r>
    </w:p>
    <w:p>
      <w:pPr>
        <w:spacing w:after="0" w:line="14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2"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evidence of termination of the Equity Incentive Plans in accordance with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7"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obtained the consent of the holders of outstanding awards under the Equity Incentive Plans, to ensure that no more than five percent (5%) of the outstanding equity and equity-based awards under the Equity Incentive Plans accelerate in connection with the Closing or otherwise as a result of the transactions contemplated by this Agreement.</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executed and delivered to Parent a copy of each Additional Agreement to which it or any of its stockholders is a party.</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9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Parent copies of the Lockup Agreements, duly executed by each of the Company Securityholders set forth on </w:t>
      </w:r>
      <w:r>
        <w:rPr>
          <w:rFonts w:ascii="Times New Roman" w:cs="Times New Roman" w:eastAsia="Times New Roman" w:hAnsi="Times New Roman"/>
          <w:sz w:val="18"/>
          <w:szCs w:val="18"/>
          <w:u w:val="single" w:color="auto"/>
          <w:color w:val="auto"/>
        </w:rPr>
        <w:t>Schedule 10.2(q)</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Conditions to Obligations of the Company</w:t>
      </w:r>
      <w:r>
        <w:rPr>
          <w:rFonts w:ascii="Times New Roman" w:cs="Times New Roman" w:eastAsia="Times New Roman" w:hAnsi="Times New Roman"/>
          <w:sz w:val="18"/>
          <w:szCs w:val="18"/>
          <w:color w:val="auto"/>
        </w:rPr>
        <w:t>. The obligations of the Company to consummate the Merger is subject to the satisfaction, or the waiver in the Company’s sole and absolute discretion, of all of the following further conditions:</w:t>
      </w:r>
    </w:p>
    <w:p>
      <w:pPr>
        <w:spacing w:after="0" w:line="95" w:lineRule="exact"/>
        <w:rPr>
          <w:sz w:val="20"/>
          <w:szCs w:val="20"/>
          <w:color w:val="auto"/>
        </w:rPr>
      </w:pPr>
    </w:p>
    <w:p>
      <w:pPr>
        <w:jc w:val="both"/>
        <w:ind w:left="460" w:right="459" w:firstLine="858"/>
        <w:spacing w:after="0" w:line="261" w:lineRule="auto"/>
        <w:tabs>
          <w:tab w:leader="none" w:pos="1613"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1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Merger Sub contained in this Agreement (disregarding all qualifications contained therein relating to materiality or Material Adverse Effect), other than the Parent Fundamental Representations, shall be true and correct as of the date of this Agreement and as of the Closing Date, as if made at and as of such date (except to the extent that any such representation and warranty is made as of an earlier date, in which case such representation and warranty shall be true and correct at and as of such earlier date), except for any failure of such representations and warranties which would not in the aggregate reasonably be expected to have a Material Adverse Effect on Parent or on Parent’s ability to consummate the transactions contemplated by this Agreement and the Additional Agreements.</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41"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Parent Fundamental Representations (disregarding all qualifications and exceptions contained therein relating to materiality or Material Adverse Effect) shall be true and correct in all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w:t>
      </w:r>
    </w:p>
    <w:p>
      <w:pPr>
        <w:spacing w:after="0" w:line="106"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1"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Certificate of Incorporation of Parent,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shall have been filed with, and declared effective by, the Delaware Secretary of State.</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17"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received a certificate signed by an authorized officer of Parent accuracy of the provisions of the foregoing clauses (a), (b) and (c)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560" w:hanging="242"/>
        <w:spacing w:after="0"/>
        <w:tabs>
          <w:tab w:leader="none" w:pos="15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Registration Rights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25"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shall have executed and delivered to the Company a copy of the Escrow Agreement.</w:t>
      </w:r>
    </w:p>
    <w:p>
      <w:pPr>
        <w:spacing w:after="0" w:line="144" w:lineRule="exact"/>
        <w:rPr>
          <w:rFonts w:ascii="Times New Roman" w:cs="Times New Roman" w:eastAsia="Times New Roman" w:hAnsi="Times New Roman"/>
          <w:sz w:val="18"/>
          <w:szCs w:val="18"/>
          <w:color w:val="auto"/>
        </w:rPr>
      </w:pPr>
    </w:p>
    <w:p>
      <w:pPr>
        <w:ind w:left="1620" w:hanging="302"/>
        <w:spacing w:after="0"/>
        <w:tabs>
          <w:tab w:leader="none" w:pos="162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Sponsor shall have executed and delivered to Parent a copy of the Voting</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2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4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executed and delivered to the Company a copy of each Additional Agreement to which it or any of its stockholders is a party.</w:t>
      </w:r>
    </w:p>
    <w:p>
      <w:pPr>
        <w:spacing w:after="0" w:line="80"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7"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size and composition of the post-Closing Parent Board of Directors shall have been appointed as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Transaction Proceeds shall be equal to or greater than $170,000,000.</w:t>
      </w:r>
    </w:p>
    <w:p>
      <w:pPr>
        <w:spacing w:after="0" w:line="144"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4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Closing Payment Shares shall have been approved for listing on Nasdaq.</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6" w:name="page347"/>
    <w:bookmarkEnd w:id="3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Indemnification of Parent</w:t>
      </w:r>
      <w:r>
        <w:rPr>
          <w:rFonts w:ascii="Times New Roman" w:cs="Times New Roman" w:eastAsia="Times New Roman" w:hAnsi="Times New Roman"/>
          <w:sz w:val="18"/>
          <w:szCs w:val="18"/>
          <w:color w:val="auto"/>
        </w:rPr>
        <w:t>. From and after the Closing, the Escrow Participants shall, severally and not jointly, indemnify and hold harmless Parent, its officers, directors and Affiliates and their respective successors and permitted assigns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and in respect of any and all out-of-pocket loss, cost, payment, demand, penalty, forfeiture, expense, liability, judgment, deficiency or damage (including actual costs of investigation and attorneys’ fees and other costs and expenses) (all of the foregoing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incurred or sustained by Parent as a result of (a) any breach or inaccuracy of any of the representations or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modified by the Schedules) or in the Company Certificate, in each case, for the avoidance of doubt, as of the date of this Agreement or the Closing Date or such other date as expressly set forth in such representation or warranty; or (b) any breach or nonfulfillment of any covenants of the Company contained in this Agreement to be performed at or prior to the Closing Date. Notwithstanding anything in this Agreement to the contrary, the maximum liability of the Escrow Participants under this Agreement, including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otherwise in connection with the transactions contemplated by this Agreement, shall in no event exceed an amount equal to (i) the Escrow Share Value, </w:t>
      </w:r>
      <w:r>
        <w:rPr>
          <w:rFonts w:ascii="Times New Roman" w:cs="Times New Roman" w:eastAsia="Times New Roman" w:hAnsi="Times New Roman"/>
          <w:sz w:val="18"/>
          <w:szCs w:val="18"/>
          <w:i w:val="1"/>
          <w:iCs w:val="1"/>
          <w:u w:val="single" w:color="auto"/>
          <w:color w:val="auto"/>
        </w:rPr>
        <w:t>multiplied</w:t>
      </w:r>
      <w:r>
        <w:rPr>
          <w:rFonts w:ascii="Times New Roman" w:cs="Times New Roman" w:eastAsia="Times New Roman" w:hAnsi="Times New Roman"/>
          <w:sz w:val="18"/>
          <w:szCs w:val="18"/>
          <w:color w:val="auto"/>
        </w:rPr>
        <w:t xml:space="preserve"> by</w:t>
      </w:r>
    </w:p>
    <w:p>
      <w:pPr>
        <w:spacing w:after="0" w:line="1" w:lineRule="exact"/>
        <w:rPr>
          <w:sz w:val="20"/>
          <w:szCs w:val="20"/>
          <w:color w:val="auto"/>
        </w:rPr>
      </w:pPr>
    </w:p>
    <w:p>
      <w:pPr>
        <w:jc w:val="both"/>
        <w:ind w:left="460" w:right="459" w:hanging="6"/>
        <w:spacing w:after="0" w:line="252" w:lineRule="auto"/>
        <w:tabs>
          <w:tab w:leader="none" w:pos="72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Shares (the “</w:t>
      </w:r>
      <w:r>
        <w:rPr>
          <w:rFonts w:ascii="Times New Roman" w:cs="Times New Roman" w:eastAsia="Times New Roman" w:hAnsi="Times New Roman"/>
          <w:sz w:val="18"/>
          <w:szCs w:val="18"/>
          <w:u w:val="single" w:color="auto"/>
          <w:color w:val="auto"/>
        </w:rPr>
        <w:t>Indemnifiable Loss Limit</w:t>
      </w:r>
      <w:r>
        <w:rPr>
          <w:rFonts w:ascii="Times New Roman" w:cs="Times New Roman" w:eastAsia="Times New Roman" w:hAnsi="Times New Roman"/>
          <w:sz w:val="18"/>
          <w:szCs w:val="18"/>
          <w:color w:val="auto"/>
        </w:rPr>
        <w:t xml:space="preserve">”). Parent shall not be entitled to indemnification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unless and until the aggregate amount of Losses incurred by Parent equals at least $1,612,500 (the “</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at which time, subject to the Indemnifiable Loss Limit, Parent shall be entitled to indemnification for any and all Losses above the Basket. The Escrow Participants shall have no liability or obligation to indemnify Parent or any other Indemnified Party under this Agreement with respect to the breach or inaccuracy of any representation or warranty, based on any matter, fact or circumstance Known by Parent on the date of this Agreement.</w:t>
      </w:r>
    </w:p>
    <w:p>
      <w:pPr>
        <w:spacing w:after="0" w:line="121"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The following shall apply with respect to all claims by an Indemnified Party for indemnification pursuant to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858"/>
        <w:spacing w:after="0" w:line="253" w:lineRule="auto"/>
        <w:tabs>
          <w:tab w:leader="none" w:pos="1653"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Indemnified Party shall give the Stockholders’ Representative prompt notice (an “</w:t>
      </w:r>
      <w:r>
        <w:rPr>
          <w:rFonts w:ascii="Times New Roman" w:cs="Times New Roman" w:eastAsia="Times New Roman" w:hAnsi="Times New Roman"/>
          <w:sz w:val="18"/>
          <w:szCs w:val="18"/>
          <w:u w:val="single" w:color="auto"/>
          <w:color w:val="auto"/>
        </w:rPr>
        <w:t>Indemnification Notice</w:t>
      </w:r>
      <w:r>
        <w:rPr>
          <w:rFonts w:ascii="Times New Roman" w:cs="Times New Roman" w:eastAsia="Times New Roman" w:hAnsi="Times New Roman"/>
          <w:sz w:val="18"/>
          <w:szCs w:val="18"/>
          <w:color w:val="auto"/>
        </w:rPr>
        <w:t>”) of (i) any event, circumstance, development, state of facts or occurrence of which such Indemnified Party is aware that resulted or may result in any Losses by any Indemnified Party with respect to which such Indemnified Party seeks indemnification pursuant to this Agreement and/or (ii) any third-party action with respect to which such Indemnified Party seeks indemnification pursuant to this Agreement (a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which shall describe in reasonable detail the Loss that has been or may be suffered by the Indemnified Party. The failure to promptly give the Indemnification Notice shall not impair any of the rights or benefits of such Indemnified Party under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except to the extent such failure materially prejudices the ability of the Stockholders’ Representative, on behalf of the Escrow Participants (the “</w:t>
      </w:r>
      <w:r>
        <w:rPr>
          <w:rFonts w:ascii="Times New Roman" w:cs="Times New Roman" w:eastAsia="Times New Roman" w:hAnsi="Times New Roman"/>
          <w:sz w:val="18"/>
          <w:szCs w:val="18"/>
          <w:u w:val="single" w:color="auto"/>
          <w:color w:val="auto"/>
        </w:rPr>
        <w:t>Indemnifying Parties</w:t>
      </w:r>
      <w:r>
        <w:rPr>
          <w:rFonts w:ascii="Times New Roman" w:cs="Times New Roman" w:eastAsia="Times New Roman" w:hAnsi="Times New Roman"/>
          <w:sz w:val="18"/>
          <w:szCs w:val="18"/>
          <w:color w:val="auto"/>
        </w:rPr>
        <w:t>”), to defend such claim or increases the amount of such liability.</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3"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Third-Party Claims as to which indemnification is sought by any Indemnified Party, such Indemnified Party shall be entitled, at the sole expense and liability of the Escrow Participants, to exercise full control of the defense, compromise or settlement of any Third-Party Claim unless the Stockholders’ Representative, within a reasonable time after the giving of an Indemnification Notice by the Indemnified Party (but in any event within twenty (20) Business Days thereafter), shall (x) notify such Indemnified Party in writing of the intention of the Indemnifying Parties to assume the defense thereof and</w:t>
      </w:r>
    </w:p>
    <w:p>
      <w:pPr>
        <w:spacing w:after="0" w:line="5" w:lineRule="exact"/>
        <w:rPr>
          <w:rFonts w:ascii="Times New Roman" w:cs="Times New Roman" w:eastAsia="Times New Roman" w:hAnsi="Times New Roman"/>
          <w:sz w:val="18"/>
          <w:szCs w:val="18"/>
          <w:color w:val="auto"/>
        </w:rPr>
      </w:pPr>
    </w:p>
    <w:p>
      <w:pPr>
        <w:ind w:left="460" w:right="479" w:hanging="6"/>
        <w:spacing w:after="0" w:line="260" w:lineRule="auto"/>
        <w:tabs>
          <w:tab w:leader="none" w:pos="72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legal counsel reasonably satisfactory to the Indemnified Party to conduct the defense of such Third-Party Claim.</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77"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on behalf of the Indemnifying Parties, assumes the defense of any such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then the Indemnified Party shall cooperate with the Stockholders’ Representative in any manner reasonably requested in connection with the defense, and the Indemnified Party shall have the right to be kept fully informed by the Stockholders’ Representative and its legal counsel with respect to the status of any legal proceedings, to the extent not inconsistent with the preservation of attorney-client or work product privilege. If the Stockholders’ Representative so assumes the defense of any such Third-Party Claim the Indemnified Party shall have the right to employ separate counsel and to participate in (but not control) the defense, compromise or settlement thereof, but the fees and expenses of such counsel employed by the Indemnified Party shall be at the expense of such Indemnified Party unless</w:t>
      </w:r>
    </w:p>
    <w:p>
      <w:pPr>
        <w:spacing w:after="0" w:line="6"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698"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Representative has agreed, on behalf of the Indemnifying Parties, to pay such fees and expenses or (ii) the named parties to any such Third-Party Claim (including any impleaded parties) include an Indemnified Party and an Indemnifying Party and such Indemnified Party shall have been advised by its counsel that there may be a conflict of interest between such Indemnified Party and the Indemnifying Parties in the conduct of the defense thereof, in which event the reasonable documented out-of-pocket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7" w:name="page348"/>
    <w:bookmarkEnd w:id="3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 xml:space="preserve">fees and expenses of such separate counsel of the Indemnified Party shall be borne by the Indemnifying Parties,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858"/>
        <w:spacing w:after="0" w:line="252" w:lineRule="auto"/>
        <w:tabs>
          <w:tab w:leader="none" w:pos="161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Stockholders’ Representative elects to assume the defense of any Third-Party Claim pursuant to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the Indemnified Party shall not pay, or permit to be paid, any part of any claim or demand arising from such asserted liability unless the Stockholders’ Representative withdraws from or fails to adequately prosecute the defense of such asserted liability or Third-Party Claim, or unless a judgment is entered against the Indemnified Party for such liability by an Authority of competent jurisdiction. If the Stockholders’ Representative does not elect to defend, or if, after commencing or undertaking any such defense, the Stockholders’ Representative withdraws from or fails to adequately prosecute such defense, the Indemnified Party shall have the right to undertake the defense or settlement thereof, at the Indemnifying Parties’ expense,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Notwithstanding anything to the contrary, the Stockholders’ Representative shall not be entitled to control, but may participate in, and the Indemnified Parties (at the expense of the Indemnifying Parties) shall be entitled to have sole control over, the defense or settlement of (x) that part of any Third-Party Claim (i) that seeks a temporary restraining order, a preliminary or permanent injunction or specific performance against such Indemnified Parties, or (ii) to the extent such Third-Party Claim involves criminal allegations against such Indemnified Parties or (y) the entire Third-Party Claim if such Third-Party Claim would impose liability on the part of such Indemnified Party in an amount which is greater than the amount as to which such Indemnified Party is entitled to indemnification under this Agreement. In the event the Indemnified Parties retain control of the Third-Party Claim, the Indemnified Parties will not settle the subject claim without the prior written consent of the Stockholders’ Representative, which consent will not be unreasonably withheld or delayed.</w:t>
      </w:r>
    </w:p>
    <w:p>
      <w:pPr>
        <w:spacing w:after="0" w:line="12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03"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Indemnified Party undertakes the defense of any such Third-Party Claim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proposes to settle the same prior to a final judgment thereon or to forgo appeal with respect thereto, then the Indemnified Party shall give the Stockholders’ Representative prompt written notice thereof and the Stockholders’ Representative (on behalf of the Indemnifying Parties) shall have the right to participate in the settlement, assume or reassume the defense thereof or prosecute such appeal, in each case at the Indemnifying Parties’ expense. The Stockholders’ Representative shall not, without the prior written consent of such Indemnified Party settle or compromise or consent to entry of any judgment with respect to any such Third-Party Claim (i) in which any relief other than the payment of money damages is or may be sought against such Indemnified Party, (ii) in which such Third-Party Claim could be reasonably expected to impose or create a monetary liability on the part of the Indemnified Party (such as an increase in the Indemnified Party’s income Tax liability), other than the monetary claim of the third party in such Third-Party Claim being paid pursuant to such settlement or judgment, or (iii) which does not include as an unconditional term thereof the giving by the claimant, person conducting such investigation or initiating such hearing, plaintiff or petitioner to such Indemnified Party of a release from all liability with respect to such Third-Party Claim and all other actions (known or unknown) arising or which might arise out of the same facts.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5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the disinterested members of the Board of Directors of Parent shall have the authority to institute and prosecute any claims for indemnification hereunder in good faith on behalf of Parent or any other Indemnified Party to enforce the terms of this Agreement.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Escrow of Escrow Shares by Escrow Participants</w:t>
      </w:r>
      <w:r>
        <w:rPr>
          <w:rFonts w:ascii="Times New Roman" w:cs="Times New Roman" w:eastAsia="Times New Roman" w:hAnsi="Times New Roman"/>
          <w:sz w:val="18"/>
          <w:szCs w:val="18"/>
          <w:color w:val="auto"/>
        </w:rPr>
        <w:t>. The Company and the Company Securityholders hereby authorize Parent to deliver the Escrow Shares to the Escrow Agent to be held in escrow (such Escrow Shares, together with any dividends or other distributions of any kind made in respect thereof and any earnings thereon, the “</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pursuant to the Escrow Agreement. For purposes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the Escrow Shares are valued at the greater of: (a) $10.00 per share and (b) the VWAP (the “</w:t>
      </w:r>
      <w:r>
        <w:rPr>
          <w:rFonts w:ascii="Times New Roman" w:cs="Times New Roman" w:eastAsia="Times New Roman" w:hAnsi="Times New Roman"/>
          <w:sz w:val="18"/>
          <w:szCs w:val="18"/>
          <w:u w:val="single" w:color="auto"/>
          <w:color w:val="auto"/>
        </w:rPr>
        <w:t>Escrow Share Value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79" w:firstLine="858"/>
        <w:spacing w:after="0" w:line="255" w:lineRule="auto"/>
        <w:tabs>
          <w:tab w:leader="none" w:pos="1582"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of any kind made in respect of the Escrow Shares will be delivered promptly to the Escrow Agent to be held in escrow pursuant to the terms of the Escrow Agreement. Each Escrow Participant shall be entitled to vote such Escrow Participant’s Pro Rata Portion of the Escrow Shares on any matters to come before the stockholders of Parent. It is intended that for U.S. federal (and applicable state, local and foreign) income tax purposes that while the Escrow Shares are held by the Escrow Agent, the Escrow Participants shall be treated as owners of the Escrow Shares, and to the extent required by applicable Law, the Escrow Agent shall report in a manner consistent with such treatment.</w:t>
      </w:r>
    </w:p>
    <w:p>
      <w:pPr>
        <w:spacing w:after="0" w:line="107"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0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times provided for in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the Escrow Shares shall be distributed to each Escrow Participant in accordance with such Escrow Participant’s Pro Rata Portion. Parent will take such action as may be necessary to cause such securities to be issued in the names of the appropriate Persons. Certificates representing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8" w:name="page349"/>
    <w:bookmarkEnd w:id="3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Escrow Shares so issued that are subject to resale restrictions under applicable securities laws will bear a legend to that effect. No fractional shares shall be released and delivered from the Escrow Fund and all fractional shares shall be rounded to the nearest whole share.</w:t>
      </w:r>
    </w:p>
    <w:p>
      <w:pPr>
        <w:spacing w:after="0" w:line="108" w:lineRule="exact"/>
        <w:rPr>
          <w:sz w:val="20"/>
          <w:szCs w:val="20"/>
          <w:color w:val="auto"/>
        </w:rPr>
      </w:pPr>
    </w:p>
    <w:p>
      <w:pPr>
        <w:jc w:val="both"/>
        <w:ind w:left="460" w:right="459" w:firstLine="858"/>
        <w:spacing w:after="0" w:line="261" w:lineRule="auto"/>
        <w:tabs>
          <w:tab w:leader="none" w:pos="1627"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Escrow Shares or any beneficial interest therein may be pledged, sold, assigned or transferred, including by operation of law, by the Escrow Participants or be taken or reached by any legal or equitable process in satisfaction of any debt or other liability of the Escrow Participants, prior to the delivery to such Escrow Participants of the Escrow Fund by the Escrow Agent as provided herein.</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1"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five (5) Business Days, following expiration of the Survival Period (the “</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the Escrow Shares,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the number of Escrow Shares (at an assumed value equal to the Escrow Share Value per Escrow Share) reasonably necessary to serve as security for Losses set forth in any Indemnification Notice delivered by Parent prior to the expiration of the Survival Period with respect to any claims for indemnification that remain pending and unresolved as of the Release Date, will be released from escrow to the Escrow Participants (in accordance with each Escrow Participant’s Pro Rata Portion). The Stockholders’ Representative and Parent shall jointly issue to the Escrow Agent a certificate executed by each of them instructing the Escrow Agent to release such number of Escrow Shares (in accordance with each Escrow Participant’s Pro Rata Portion) determined in accordance with this </w:t>
      </w:r>
      <w:r>
        <w:rPr>
          <w:rFonts w:ascii="Times New Roman" w:cs="Times New Roman" w:eastAsia="Times New Roman" w:hAnsi="Times New Roman"/>
          <w:sz w:val="18"/>
          <w:szCs w:val="18"/>
          <w:u w:val="single" w:color="auto"/>
          <w:color w:val="auto"/>
        </w:rPr>
        <w:t>Section 11.3(d)</w:t>
      </w:r>
      <w:r>
        <w:rPr>
          <w:rFonts w:ascii="Times New Roman" w:cs="Times New Roman" w:eastAsia="Times New Roman" w:hAnsi="Times New Roman"/>
          <w:sz w:val="18"/>
          <w:szCs w:val="18"/>
          <w:color w:val="auto"/>
        </w:rPr>
        <w:t xml:space="preserve">. Promptly, but in no event later than five (5) Business Days, following the resolution, in accordance with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of any claim(s) for indemnification that remain unresolved as of the Release Date, the Stockholders’ Representative and Parent shall jointly issue to the Escrow Agent a certificate executed by each of them instructing the Escrow Agent to release to each Escrow Participant (in accordance with such Escrow Participant’s Pro Rata Portion) the number of Escrow Shares retained in escrow as a result of such claim(s) following the resolution of such claim(s) and not released to Parent. Any Escrow Shares received by Parent as an indemnification payment shall be promptly cancelled by Parent after its receipt thereof.</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Payment of Indemnification</w:t>
      </w:r>
      <w:r>
        <w:rPr>
          <w:rFonts w:ascii="Times New Roman" w:cs="Times New Roman" w:eastAsia="Times New Roman" w:hAnsi="Times New Roman"/>
          <w:sz w:val="18"/>
          <w:szCs w:val="18"/>
          <w:color w:val="auto"/>
        </w:rPr>
        <w:t xml:space="preserve">. In the event that Parent is entitled to indemnification for any Losses pursuant to this Agreement or otherwise in connection with the transactions contemplated by this Agreement, Parent’s sole and exclusive remedy for such Losses shall be the recovery of a number of Parent Class A Shares from the then-remaining Escrow Shares having a value equal to the Losses that have been finally determined to be owing to Parent in accordance with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(at an assumed value equal to the Escrow Share Value per Escrow Share), in each case, subject to the limitations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Any payments to Parent from the Escrow Shares (a) is intended to comply with, and shall be effected in accordance with, Rev. Proc. 84-42, 1984-1 C.B. 521 and (b) shall be treated as a reduction in the number of Parent Class A Shares issued to the Escrow Participants for U.S. federal (and applicable state, local, and foreign) income Tax purposes except to the extent otherwise required pursuant to a “determination” (as defined in Section 1313(a) of the Code or any similar provision of state, local or foreign Law) or with respect to any amounts treated as imputed interest under Section 483 of the Code.</w:t>
      </w:r>
    </w:p>
    <w:p>
      <w:pPr>
        <w:spacing w:after="0" w:line="12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In calculating amounts of Losses payable to an Indemnified Party hereunder, the amount of any indemnified Losses shall be determined net of amounts actually recovered by the applicable Indemnified Party under any insurance policy or other third party reimbursement actually received.</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Survival of Indemnification Rights</w:t>
      </w:r>
      <w:r>
        <w:rPr>
          <w:rFonts w:ascii="Times New Roman" w:cs="Times New Roman" w:eastAsia="Times New Roman" w:hAnsi="Times New Roman"/>
          <w:sz w:val="18"/>
          <w:szCs w:val="18"/>
          <w:color w:val="auto"/>
        </w:rPr>
        <w:t>. The representations and warranties of the Company shall survive until twelve (12) months (the “</w:t>
      </w:r>
      <w:r>
        <w:rPr>
          <w:rFonts w:ascii="Times New Roman" w:cs="Times New Roman" w:eastAsia="Times New Roman" w:hAnsi="Times New Roman"/>
          <w:sz w:val="18"/>
          <w:szCs w:val="18"/>
          <w:u w:val="single" w:color="auto"/>
          <w:color w:val="auto"/>
        </w:rPr>
        <w:t>Survival Period</w:t>
      </w:r>
      <w:r>
        <w:rPr>
          <w:rFonts w:ascii="Times New Roman" w:cs="Times New Roman" w:eastAsia="Times New Roman" w:hAnsi="Times New Roman"/>
          <w:sz w:val="18"/>
          <w:szCs w:val="18"/>
          <w:color w:val="auto"/>
        </w:rPr>
        <w:t xml:space="preserve">”) following the Closing. The covenants of the Company contained in this Agreement to be performed prior to the Closing shall expire and be of no further force or effect as of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claim for breach or nonfulfillment may be asserted at any time prior to the expiration of the Survival Period as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The indemnification to which any Indemnified Party is entitled from the Indemnifying Parties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for Losses shall be effective so long as it is asserted prior to the expiration of the Survival Period (for the avoidance of doubt, any claim set forth in an Indemnification Notice shall be deemed asserted upon delivery of such Indemnification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Indemnification Notice shall have been given in accordance with the provisions of this Agreement prior to the expiration of the Survival Period and such claim has not been finally resolved by the expiration of the Survival Period, the representations, warranties, covenants, agreements or obligations that are the subject of such Indemnifications Notice shall survive solely for purposes of resolving such claim until such matters are finally resolved. The parties acknowledge that the time periods set forth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for the assertion of claims under this Agreement are the result of arms’-length negotiation among the parties and that they intend for the time periods to be enforced as agreed by the parties without regard to the applicable statute of limitations with respect to such matters and that the twenty (20) year statute of limitations contemplated by Title 10 of Section 8106(c) of the Delaware Code shall not apply to this Agreement.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9" w:name="page350"/>
    <w:bookmarkEnd w:id="3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Sole and Exclusive Remedy</w:t>
      </w:r>
      <w:r>
        <w:rPr>
          <w:rFonts w:ascii="Times New Roman" w:cs="Times New Roman" w:eastAsia="Times New Roman" w:hAnsi="Times New Roman"/>
          <w:sz w:val="18"/>
          <w:szCs w:val="18"/>
          <w:color w:val="auto"/>
        </w:rPr>
        <w:t xml:space="preserve">. The remedies provided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rights to enforce the Additional Agreements in accordance with their terms shall be deemed the sole and exclusive remedies of the Indemnified Parties, from and after the Closing Date, with respect to any and all claims arising out of or related to this Agreement or in connection with the transactions contemplated hereby, except nothing in this Agreement (a) will limit the parties’ rights to seek injunctive relief or other equitable remedies, (b) shall prevent Parent from bringing an action for fraud (with scienter) against the Person who committed such Fraud (with scienter) or (c) limit the right of any Person to pursue remedies under any Additional Agreement against the parties thereto.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55" w:lineRule="auto"/>
        <w:tabs>
          <w:tab w:leader="none" w:pos="157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promptly submit any dispute, claim, or controversy arising out of or relating to this Agreement (including with respect to the meaning, effect, validity, termination, interpretation, performance, or enforcement of this Agreement) or any alleged breach thereof (including any action in tort, contract, equity, or otherwise), to binding arbitration before one arbitrator (the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Binding arbitration shall be the sole means of resolving any dispute, claim, or controversy arising out of or relating to this Agreement (including with respect to the meaning, effect, validity, termination, interpretation, performance or enforcement of this Agreement) or any alleged breach thereof (including any claim in tort, contract, equity, or otherwise).</w:t>
      </w:r>
    </w:p>
    <w:p>
      <w:pPr>
        <w:spacing w:after="0" w:line="10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parties cannot agree upon the Arbitrator, the Arbitrator shall be selected by the New York, New York chapter head of the American Arbitration Association upon the written request of any party. The Arbitrator shall be selected within thirty (30) days of the written request of any party.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9"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State of Delaware shall apply to any arbitration hereunder. In any arbitration hereunder, this Agreement shall be governed by the laws of the State of Delaware applicable to a contract negotiated, signed and to be performed wholly in the State of Delaware, which laws the Arbitrator shall apply in rendering his decision. The Arbitrator shall issue a written decision, setting forth findings of fact and conclusions of law, within sixty (60) days after he shall have been selected. The Arbitrator shall have no authority to award punitive or other exemplary damages.</w:t>
      </w:r>
    </w:p>
    <w:p>
      <w:pPr>
        <w:spacing w:after="0" w:line="119"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9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shall be held in New York, New York in accordance with and under the then-current provisions of the rules of the American Arbitration Association, except as otherwise provided herein.</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application to the Arbitrator, any party shall have rights to discovery to the same extent as would be provided under the Federal Rules of Civil Procedure, and the Federal Rules of Evidence shall apply to any arbitration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Arbitrator shall limit any discovery or evidence such that his decision shall be rendered within the period referred to in </w:t>
      </w:r>
      <w:r>
        <w:rPr>
          <w:rFonts w:ascii="Times New Roman" w:cs="Times New Roman" w:eastAsia="Times New Roman" w:hAnsi="Times New Roman"/>
          <w:sz w:val="18"/>
          <w:szCs w:val="18"/>
          <w:u w:val="single" w:color="auto"/>
          <w:color w:val="auto"/>
        </w:rPr>
        <w:t>Section 12.1(c)</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5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may, at his discretion and at the expense of the party who will bear the cost of the arbitration, employ experts to assist him in his determinations.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of the arbitration proceeding and any proceeding in court to confirm any arbitration award or to obtain relief as provided in </w:t>
      </w:r>
      <w:r>
        <w:rPr>
          <w:rFonts w:ascii="Times New Roman" w:cs="Times New Roman" w:eastAsia="Times New Roman" w:hAnsi="Times New Roman"/>
          <w:sz w:val="18"/>
          <w:szCs w:val="18"/>
          <w:u w:val="single" w:color="auto"/>
          <w:color w:val="auto"/>
        </w:rPr>
        <w:t>Section 12.1(h)</w:t>
      </w:r>
      <w:r>
        <w:rPr>
          <w:rFonts w:ascii="Times New Roman" w:cs="Times New Roman" w:eastAsia="Times New Roman" w:hAnsi="Times New Roman"/>
          <w:sz w:val="18"/>
          <w:szCs w:val="18"/>
          <w:color w:val="auto"/>
        </w:rPr>
        <w:t>, as applicable (including actual attorneys’ fees and costs), shall be borne by the unsuccessful party (if the Stockholders’ Representative, then solely on behalf of the Company Securityholders) and shall be awarded as part of the Arbitrator’s decision, unless the Arbitrator shall otherwise allocate such costs in such decision. The determination of the Arbitrator shall be final and binding upon the parties and not subject to appeal.</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upon any award rendered by the Arbitrator may be entered in and enforced by any court of competent jurisdiction. The parties expressly consent to the non-exclusive jurisdiction of the courts (Federal and state) in Delaware, to enforce any award of the Arbitrator or to render any provisional, temporary, or injunctive relief in connection with or in aid of the arbitration. The parties expressly consent to the personal and subject matter jurisdiction of the Arbitrator to arbitrate any and all matters to be submitted to arbitration hereunder. None of the parties hereto shall challenge any arbitration hereunder on the grounds that any party necessary to such arbitration (including the parties hereto) shall have been absent from such arbitration for any reason, including that such party shall have been the subject of any bankruptcy, reorganization, or insolvency proceeding.</w:t>
      </w:r>
    </w:p>
    <w:p>
      <w:pPr>
        <w:spacing w:after="0" w:line="120"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5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 the case of the Stockholders’ Representative, solely on behalf of the Company Securityholders) shall indemnify the Arbitrator and any experts employed by the Arbitrator and hold them harmless from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0" w:name="page351"/>
    <w:bookmarkEnd w:id="3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and against any claim or demand arising out of any arbitration under this Agreement or any agreement contemplated hereby, unless resulting from the gross negligence or willful misconduct of the person indemnified.</w:t>
      </w:r>
    </w:p>
    <w:p>
      <w:pPr>
        <w:spacing w:after="0" w:line="108" w:lineRule="exact"/>
        <w:rPr>
          <w:sz w:val="20"/>
          <w:szCs w:val="20"/>
          <w:color w:val="auto"/>
        </w:rPr>
      </w:pPr>
    </w:p>
    <w:p>
      <w:pPr>
        <w:jc w:val="both"/>
        <w:ind w:left="460" w:right="459" w:firstLine="858"/>
        <w:spacing w:after="0" w:line="255" w:lineRule="auto"/>
        <w:tabs>
          <w:tab w:leader="none" w:pos="1543"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parties agree that irreparable damage would occur if any of the provisions of this Agreement were not performed in accordance with their specific terms or were otherwise breached. It is accordingly agreed that the parties shall be entitled to seek an injunction or injunctions, specific performance and other equitable relief to prevent breaches of this Agreement and to enforce specifically the terms and provisions of this Agreement. The parties expressly consent to the non-exclusive jurisdiction of the courts (Federal and state) in Delaware to render such relief and to enforce specifically the terms and provisions of this Agreement.</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Waiver of Jury Trial; Exemplary Damages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56" w:lineRule="auto"/>
        <w:tabs>
          <w:tab w:leader="none" w:pos="160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THIS AGREEMENT HEREBY KNOWINGLY, VOLUNTARILY AND IRREVOCABLY WAIVE ANY RIGHT EACH SUCH PARTY MAY HAVE TO TRIAL BY JURY IN ANY ACTION OF ANY KIND OR NATURE, IN ANY COURT IN WHICH AN ACTION MAY BE COMMENCED, ARISING OUT OF OR IN CONNECTION WITH THIS AGREEMENT. NO PARTY SHALL BE AWARDED PUNITIVE OR OTHER EXEMPLARY DAMAGES RESPECTING ANY DISPUTE ARISING UNDER THIS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3"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this Agreement acknowledges that it has been represented in connection with the signing of the foregoing waiver by independent legal counsel selected by it and that such party has discussed the legal consequences and import of such waiver with legal counsel. Each of the parties to this Agreement further acknowledges that it has read and understands the meaning of such waiver and grants such waiver knowingly, voluntarily, without duress and only after consideration of the consequences of this waiver with legal counsel.</w:t>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Termination Without Default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4" w:lineRule="auto"/>
        <w:tabs>
          <w:tab w:leader="none" w:pos="157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Closing of the transactions contemplated hereunder has not occurred by April 15, 2021 (the “Outside Closing Date”) (provided that, if the SEC has not declared the Proxy Statement/Form S-4 effective on or prior to January 15, 2021, the Outside Closing Date shall be automatically extended to May 15, 2021); and (ii) the party (i.e., Parent or the Merger Sub, on one hand, or the Company, on the other hand) seeking to terminate this Agreement is not in material breach of this Agreement,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1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(i) an Authority shall have issued an Order, having the effect of permanently restraining, enjoining or otherwise prohibiting the Merger, which Order is final and non-appealable or (ii) any applicable Law is in effect making the consummation of the Merger illegal, Parent or the Company shall have the right, at its sole option, to terminate this Agreement without liability to the other party.</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Termination Upon Default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58"/>
        <w:spacing w:after="0" w:line="253" w:lineRule="auto"/>
        <w:tabs>
          <w:tab w:leader="none" w:pos="158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may terminate this Agreement by giving notice to the Company at any time prior to the Closing, without prejudice to any rights or obligations Parent or Merger Sub may have, if: (i) (x) the Company shall have breached any representation, warranty, agreement or covenant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impossible and (y) such breach cannot be cured or is not be cured by the earlier of the Outside Closing Date and thirty (30) days following receipt by the Company of a written notice from Parent describing in reasonable detail the nature of such breach; or (ii) evidence that the Company Stockholder Written Consent was obtained is not delivered to Parent by the Company Stockholder Written Consent Deadline (provided that Parent shall not be permitted to terminate this Agreement under this </w:t>
      </w:r>
      <w:r>
        <w:rPr>
          <w:rFonts w:ascii="Times New Roman" w:cs="Times New Roman" w:eastAsia="Times New Roman" w:hAnsi="Times New Roman"/>
          <w:sz w:val="18"/>
          <w:szCs w:val="18"/>
          <w:u w:val="single" w:color="auto"/>
          <w:color w:val="auto"/>
        </w:rPr>
        <w:t>Section 13.2(a)(ii)</w:t>
      </w:r>
      <w:r>
        <w:rPr>
          <w:rFonts w:ascii="Times New Roman" w:cs="Times New Roman" w:eastAsia="Times New Roman" w:hAnsi="Times New Roman"/>
          <w:sz w:val="18"/>
          <w:szCs w:val="18"/>
          <w:color w:val="auto"/>
        </w:rPr>
        <w:t xml:space="preserve"> at any time (A) prior to the Company Stockholder Written Consent Deadline or (B) after such evidence has been delivered to Parent).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1" w:name="page352"/>
    <w:bookmarkEnd w:id="3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6" w:lineRule="auto"/>
        <w:tabs>
          <w:tab w:leader="none" w:pos="1587"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terminate this Agreement by giving notice to Parent at any time prior to the Closing, without prejudice to any rights or obligations the Company may have, if: (i) Parent shall have breached any of its covenants, agreements, representations, and warranties contained herein, which has rendered or would render the satisfaction of any of the conditions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impossible; and (ii) such breach cannot be cured or is not be cured by the earlier of the Outside Closing Date and thirty (30) days following receipt by Parent of a written notice from the Company describing in reasonable detail the nature of such breach.</w:t>
      </w:r>
    </w:p>
    <w:p>
      <w:pPr>
        <w:spacing w:after="0" w:line="120"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this Agreement shall become void and be of no further force or effect, without any liability on the part of any party (or any shareholder, director, officer, employee, Affiliate, agent, consultant or representative of such party) to the other party hereto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termination shall relieve any party from liability incurred as a result of the willful breach by such party of this Agreement or such party’s fraud, in which case such party shall be fully liable for any and all liabilities and damages incurred or suffered by the other party as a result of such breach or fraud. The provisions of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XII, this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shall survive any termination hereof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39"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hereunder shall be sent in writing, addressed as specified below, and shall be deemed given: (a) if by hand, electronic mail or recognized courier service, by 5:00 PM on a Business Day, addressee’s day and time, on the date of delivery, and otherwise on the first Business Day after such delivery;</w:t>
      </w:r>
    </w:p>
    <w:p>
      <w:pPr>
        <w:spacing w:after="0" w:line="1" w:lineRule="exact"/>
        <w:rPr>
          <w:sz w:val="20"/>
          <w:szCs w:val="20"/>
          <w:color w:val="auto"/>
        </w:rPr>
      </w:pPr>
    </w:p>
    <w:p>
      <w:pPr>
        <w:jc w:val="both"/>
        <w:ind w:left="460" w:right="459" w:hanging="6"/>
        <w:spacing w:after="0" w:line="252" w:lineRule="auto"/>
        <w:tabs>
          <w:tab w:leader="none" w:pos="747"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fax, on the date that transmission is confirmed electronically, if by 5:00 PM on a Business Day, addressee’s day and time, and otherwise on the first Business Day after the date of such confirmation; (c) if by email, on the date of transmission; or (d) five (5)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0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Company (or, following the Closing, the Surviving Corporation or Parent),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mbloom@goodwinlaw.com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Stockholders’ Representative, or to the Company Securityholders after Closing,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950 17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Street, Suite 1400</w:t>
      </w:r>
    </w:p>
    <w:p>
      <w:pPr>
        <w:ind w:left="1320"/>
        <w:spacing w:after="0"/>
        <w:rPr>
          <w:sz w:val="20"/>
          <w:szCs w:val="20"/>
          <w:color w:val="auto"/>
        </w:rPr>
      </w:pPr>
      <w:r>
        <w:rPr>
          <w:rFonts w:ascii="Times New Roman" w:cs="Times New Roman" w:eastAsia="Times New Roman" w:hAnsi="Times New Roman"/>
          <w:sz w:val="18"/>
          <w:szCs w:val="18"/>
          <w:color w:val="auto"/>
        </w:rPr>
        <w:t>Denver, CO 80202</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(303) 623-0294</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2" w:name="page353"/>
    <w:bookmarkEnd w:id="3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Amendments; No Waivers; Remedies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58"/>
        <w:spacing w:after="0" w:line="261" w:lineRule="auto"/>
        <w:tabs>
          <w:tab w:leader="none" w:pos="1588"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2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2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no statement herein of any right or remedy shall impair any other right or remedy stated herein or that otherwise may be available.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Arm’s Length Bargaining; No Presumption Against Drafter</w:t>
      </w:r>
      <w:r>
        <w:rPr>
          <w:rFonts w:ascii="Times New Roman" w:cs="Times New Roman" w:eastAsia="Times New Roman" w:hAnsi="Times New Roman"/>
          <w:sz w:val="18"/>
          <w:szCs w:val="18"/>
          <w:color w:val="auto"/>
        </w:rPr>
        <w:t>. This Agreement has been negotiated at arm’s-length by parties of equal bargaining strength, each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Except as required by law or applicable stock exchange rules and except with respect to the Additional Parent SEC Documents, the parties agree that neither they nor their agents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 Notwithstanding the foregoing, following Closing and the public announcement (if any) of the Merger, the Stockholders’ Representative shall be permitted to publicly announce that it has been engaged to serve as the Stockholders’ Representative in connection herewith as long as such announcement does not disclose any of the other terms hereof.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3" w:name="page354"/>
    <w:bookmarkEnd w:id="3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The anticipated costs and expenses of the Company in connection with any merger, consolidation or business combination, including this Agreement and the transactions contemplated hereby as of the Closing Date as set forth on </w:t>
      </w:r>
      <w:r>
        <w:rPr>
          <w:rFonts w:ascii="Times New Roman" w:cs="Times New Roman" w:eastAsia="Times New Roman" w:hAnsi="Times New Roman"/>
          <w:sz w:val="18"/>
          <w:szCs w:val="18"/>
          <w:u w:val="single" w:color="auto"/>
          <w:color w:val="auto"/>
        </w:rPr>
        <w:t>Schedule 14.5</w:t>
      </w:r>
      <w:r>
        <w:rPr>
          <w:rFonts w:ascii="Times New Roman" w:cs="Times New Roman" w:eastAsia="Times New Roman" w:hAnsi="Times New Roman"/>
          <w:sz w:val="18"/>
          <w:szCs w:val="18"/>
          <w:color w:val="auto"/>
        </w:rPr>
        <w:t xml:space="preserve"> shall be paid by Parent after the Closing. If the Closing does not take place, each party (in the case of the Stockholders’ Representative, solely on behalf of the Company Securityholders) shall be responsible for its own expenses.</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No Assignment or Delegation</w:t>
      </w:r>
      <w:r>
        <w:rPr>
          <w:rFonts w:ascii="Times New Roman" w:cs="Times New Roman" w:eastAsia="Times New Roman" w:hAnsi="Times New Roman"/>
          <w:sz w:val="18"/>
          <w:szCs w:val="18"/>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Delaware, without giving effect to the conflict of laws principles thereof.</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(including scanned .pdf image) signature pages that together (but need not individually) bear the signatures of all other parties.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neither this Agreement nor any provision hereof confers any benefit or right upon or may be enforced by any Person not a signatory hereto.</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Reference is made to the final prospectus of Parent, dated August 13, 2020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each of the Company and the Stockholders’ Representative, for itself and on behalf of the Company Securityholders, hereby agrees that it does not now and shall not at any time hereafter have any right, title, interest or claim of any kind in or to any monies in the Trust Account as a result of, or arising out of, any negotiations, contracts or agreements with Parent and hereby agrees that it will not seek recourse against the Trust Account for any reason.</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Stockholders’ Representative</w:t>
      </w:r>
      <w:r>
        <w:rPr>
          <w:rFonts w:ascii="Times New Roman" w:cs="Times New Roman" w:eastAsia="Times New Roman" w:hAnsi="Times New Roman"/>
          <w:sz w:val="18"/>
          <w:szCs w:val="18"/>
          <w:color w:val="auto"/>
        </w:rPr>
        <w:t>. By virtue of the adoption of this Agreement and the transactions contemplated hereby, the approval of the principal terms of the Merger and the consummation of the Merger or participating in the Merger and receiving the benefits thereof, including the right to receive the consideration payable in connection with the Merger, each Company Securityholder shall be deemed to have appointed the designation of, and hereby designates, Shareholder Representative Services LLC as the Stockholders’ Representative for all purposes in connection with this Agreement and any agreement ancillary hereto, including (a) to give and receive notices and communications to Parent for any purpose under this Agreement and the Additional Agreements; (b) to agree to, negotiate, enter into settlements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4" w:name="page355"/>
    <w:bookmarkEnd w:id="3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and compromises of and demand arbitration and comply with orders of courts and awards of arbitrators with respect to any indemnification claims (including Third-Party Claims) under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following the Closing, other disputes arising under or related to this Agreement; (c) to enter into and deliver the Escrow Agreement on behalf of each of the Company Securityholders; (d) to authorize or object to delivery to Parent of the Escrow Fund, or any portion thereof, in satisfaction of indemnification claims by Parent in accordance with the provisions of the Escrow Agreement; (e) to act on behalf of Company Securityholders in accordance with the provisions of the Agreement, the securities described herein and any other document or instrument executed in connection with the Agreement and the Merger; and (f) to take all actions necessary or appropriate in the judgment of the Stockholders’ Representative for the accomplishment of the foregoing. The Stockholders’ Representative may resign at any time. Such agency may be changed by the Company Securityholders from time to time upon no less than twenty (20) days’ prior written notice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Stockholders’ Representative may not be removed unless holders of a majority of the Company Securities (on an as converted or exercised basis) outstanding immediately prior to the Effective Time agree to such removal. Any vacancy in the position of Stockholders’ Representative may be filled by approval of the holders of a majority of the Company Securities (on an as converted or exercised basis) outstanding immediately prior to the Effective Time. No bond shall be required of the Stockholders’ Representative. The Stockholders’ Representative will incur no liability of any kind with respect to any action or omission by the Stockholders’ Representative in connection with the Stockholders’ Representative’s services pursuant to this Agreement and any agreement ancillary hereto, except in the event of liability directly resulting from the Stockholders’ Representative’s gross negligence or willful misconduct. The Stockholders’ Representative shall not be liable for any action or omission pursuant to the advice of counsel. The Company Securityholders will indemnify, defend and hold harmless the Stockholders’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cs="Times New Roman" w:eastAsia="Times New Roman" w:hAnsi="Times New Roman"/>
          <w:sz w:val="18"/>
          <w:szCs w:val="18"/>
          <w:u w:val="single" w:color="auto"/>
          <w:color w:val="auto"/>
        </w:rPr>
        <w:t>Representative Losses</w:t>
      </w:r>
      <w:r>
        <w:rPr>
          <w:rFonts w:ascii="Times New Roman" w:cs="Times New Roman" w:eastAsia="Times New Roman" w:hAnsi="Times New Roman"/>
          <w:sz w:val="18"/>
          <w:szCs w:val="18"/>
          <w:color w:val="auto"/>
        </w:rPr>
        <w:t xml:space="preserve">”) arising out of or in connection with the Stockholders’ Representative’s execution and performance of this Agreement and any agreement ancillary hereto, in each case as such Representative Loss is suffered or incurred; provided, that in the event that any such Representative Loss is finally adjudicated to have been directly caused by the gross negligence or willful misconduct of the Stockholders’ Representative, the Stockholders’ Representative will reimburse the Company Securityholders the amount of such indemnified Representative Loss to the extent attributable to such gross negligence or willful misconduct. If not paid directly to the Stockholders’ Representative by the Company Securityholders, any such Representative Losses may be recovered by the Stockholders’ Representative from (i) the funds in the Expense Fund, and (ii) the amounts in the Escrow Fund at such time as remaining amounts would otherwise be distributable to the Company Securityholders;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while this provision allows the Stockholders’ Representative to be paid from the aforementioned sources of funds, this does not relieve the Company Securityholders from their obligation to promptly pay such Representative Losses as they are suffered or incurred, nor does it prevent the Stockholders’ Representative from seeking any remedies available to it at law or otherwise. In no event will the Stockholders’ Representative be required to advance its own funds on behalf of the Company Securityholders or otherwise. Notwithstanding anything in this Agreement to the contrary, any restrictions or limitations on liability or indemnification obligations of, or provisions limiting the recourse against non-parties otherwise applicable to, the Company Securityholders set forth elsewhere in this Agreement are not intended to be applicable to the indemnities provided to the Stockholders’ Representative under this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The foregoing indemnities will survive the Closing, the resignation or removal of the Stockholders’ Representative or the termination of this Agreement. Upon the Closing, the Company will wire $150,000 (the “</w:t>
      </w:r>
      <w:r>
        <w:rPr>
          <w:rFonts w:ascii="Times New Roman" w:cs="Times New Roman" w:eastAsia="Times New Roman" w:hAnsi="Times New Roman"/>
          <w:sz w:val="18"/>
          <w:szCs w:val="18"/>
          <w:u w:val="single" w:color="auto"/>
          <w:color w:val="auto"/>
        </w:rPr>
        <w:t>Expense Fund</w:t>
      </w:r>
      <w:r>
        <w:rPr>
          <w:rFonts w:ascii="Times New Roman" w:cs="Times New Roman" w:eastAsia="Times New Roman" w:hAnsi="Times New Roman"/>
          <w:sz w:val="18"/>
          <w:szCs w:val="18"/>
          <w:color w:val="auto"/>
        </w:rPr>
        <w:t>”) to the Stockholders’ Representative, which will be used for the purposes of paying directly, or reimbursing the Stockholders’ Representative for, any third party expenses pursuant to this Agreement and the agreements ancillary hereto. The Company Securityholders will not receive any interest or earnings on the Expense Fund and irrevocably transfer and assign to the Stockholders’ Representative any ownership right that they may otherwise have had in any such interest or earnings. The Stockholders’ Representative will not be liable for any loss of principal of the Expense Fund other than as a result of its gross negligence or willful misconduct. The Stockholders’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Stockholders’ Representative’s responsibilities, the Stockholders’ Representative will deliver any remaining balance of the Expense Fund to the Company. For Tax purposes, the Expense Fund will be treated as having been received and voluntarily set aside by the Company at the time of Closing.</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5" w:name="page356"/>
    <w:bookmarkEnd w:id="3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 provided, that this </w:t>
      </w:r>
      <w:r>
        <w:rPr>
          <w:rFonts w:ascii="Times New Roman" w:cs="Times New Roman" w:eastAsia="Times New Roman" w:hAnsi="Times New Roman"/>
          <w:sz w:val="18"/>
          <w:szCs w:val="18"/>
          <w:u w:val="single" w:color="auto"/>
          <w:color w:val="auto"/>
        </w:rPr>
        <w:t>Section 14.15</w:t>
      </w:r>
      <w:r>
        <w:rPr>
          <w:rFonts w:ascii="Times New Roman" w:cs="Times New Roman" w:eastAsia="Times New Roman" w:hAnsi="Times New Roman"/>
          <w:sz w:val="18"/>
          <w:szCs w:val="18"/>
          <w:color w:val="auto"/>
        </w:rPr>
        <w:t xml:space="preserve"> shall not apply to </w:t>
      </w:r>
      <w:r>
        <w:rPr>
          <w:rFonts w:ascii="Times New Roman" w:cs="Times New Roman" w:eastAsia="Times New Roman" w:hAnsi="Times New Roman"/>
          <w:sz w:val="18"/>
          <w:szCs w:val="18"/>
          <w:u w:val="single" w:color="auto"/>
          <w:color w:val="auto"/>
        </w:rPr>
        <w:t>Section 14.14</w:t>
      </w:r>
      <w:r>
        <w:rPr>
          <w:rFonts w:ascii="Times New Roman" w:cs="Times New Roman" w:eastAsia="Times New Roman" w:hAnsi="Times New Roman"/>
          <w:sz w:val="18"/>
          <w:szCs w:val="18"/>
          <w:color w:val="auto"/>
        </w:rPr>
        <w:t>, which shall be enforceable by the Stockholders’ Representative in its entirety against the Company Securityholders.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7"/>
          <w:szCs w:val="17"/>
          <w:color w:val="auto"/>
        </w:rPr>
        <w:t xml:space="preserve">14.16 </w:t>
      </w:r>
      <w:r>
        <w:rPr>
          <w:rFonts w:ascii="Times New Roman" w:cs="Times New Roman" w:eastAsia="Times New Roman" w:hAnsi="Times New Roman"/>
          <w:sz w:val="17"/>
          <w:szCs w:val="17"/>
          <w:u w:val="single" w:color="auto"/>
          <w:color w:val="auto"/>
        </w:rPr>
        <w:t>No Other Representations; No Reliance</w:t>
      </w:r>
      <w:r>
        <w:rPr>
          <w:rFonts w:ascii="Times New Roman" w:cs="Times New Roman" w:eastAsia="Times New Roman" w:hAnsi="Times New Roman"/>
          <w:sz w:val="17"/>
          <w:szCs w:val="17"/>
          <w:color w:val="auto"/>
        </w:rPr>
        <w:t xml:space="preserve">. 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to this Agreement. Except for the specific representations and warranties expressly made by the Company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and subject to the limited remedies herein provided; (b) Parent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intentionally left blank; signature pages to follow]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6" w:name="page357"/>
    <w:bookmarkEnd w:id="3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as of the day and year first above written.</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18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FSG MERGER SUB, INC.</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Jim Tananbaum</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98"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Jason Meyenburg</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Stockholders’ Representative:</w:t>
      </w:r>
    </w:p>
    <w:p>
      <w:pPr>
        <w:spacing w:after="0" w:line="2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SHAREHOLDER REPRESENTATIVE SERVICES LLC,</w:t>
      </w:r>
    </w:p>
    <w:p>
      <w:pPr>
        <w:spacing w:after="0" w:line="3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solely in its capacity as the Stockholders’ Representative</w:t>
      </w:r>
    </w:p>
    <w:p>
      <w:pPr>
        <w:spacing w:after="0" w:line="180" w:lineRule="exact"/>
        <w:rPr>
          <w:sz w:val="20"/>
          <w:szCs w:val="20"/>
          <w:color w:val="auto"/>
        </w:rPr>
      </w:pPr>
    </w:p>
    <w:p>
      <w:pPr>
        <w:ind w:left="4380"/>
        <w:spacing w:after="0"/>
        <w:tabs>
          <w:tab w:leader="none" w:pos="4760" w:val="left"/>
        </w:tabs>
        <w:rPr>
          <w:sz w:val="20"/>
          <w:szCs w:val="20"/>
          <w:color w:val="auto"/>
        </w:rPr>
      </w:pPr>
      <w:r>
        <w:rPr>
          <w:rFonts w:ascii="Times New Roman" w:cs="Times New Roman" w:eastAsia="Times New Roman" w:hAnsi="Times New Roman"/>
          <w:sz w:val="18"/>
          <w:szCs w:val="18"/>
          <w:color w:val="auto"/>
        </w:rPr>
        <w:t>By:</w:t>
        <w:tab/>
        <w:t>/s/ Sam Riffe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51435</wp:posOffset>
            </wp:positionV>
            <wp:extent cx="239141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Sam Riffe</w:t>
      </w:r>
    </w:p>
    <w:p>
      <w:pPr>
        <w:spacing w:after="0" w:line="7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7" w:name="page358"/>
    <w:bookmarkEnd w:id="3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SUPPORT AGREEMENT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COMPANY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October 15, 2020,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persons set forth on Schedule I attached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Each of Parent and each Stockholder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otherwise defined herein shall have the meanings ascribed to them in the Merger Agreement (as defined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herewith, Parent, FSG Merger Sub, Inc., a Delaware corporation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FS Development Holdings, LLC, a Delaware limited liability company, Shareholder Representative Services LLC, as the Stockholders’ Representative, and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 and each share of Company Capital Stock (including the Subject Company Shares (as defined below)) will be converted into the right to receive Parent Class A Shares, in each case, on the terms and subject to the conditions set forth in the Merger Agreement;</w:t>
      </w:r>
    </w:p>
    <w:p>
      <w:pPr>
        <w:spacing w:after="0" w:line="10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Stockholder is the record and beneficial owner of the number and type of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other Company Securities or other eqiuty interest (including anything convertible into such equity interests) of the Company that each Stockholder acquires record or beneficial ownership after the date hereof, collectively, the “</w:t>
      </w:r>
      <w:r>
        <w:rPr>
          <w:rFonts w:ascii="Times New Roman" w:cs="Times New Roman" w:eastAsia="Times New Roman" w:hAnsi="Times New Roman"/>
          <w:sz w:val="18"/>
          <w:szCs w:val="18"/>
          <w:u w:val="single" w:color="auto"/>
          <w:color w:val="auto"/>
        </w:rPr>
        <w:t>Subject Company Shares</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under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and as a material inducement to Parent and the other Parent Parties agreeing to enter into and consummate the transactions contemplated by the Merger Agreement, each Stockholder agrees to enter into this Agreement and to be bound by the agreements, covenants and obligations contained in this Agreement; and</w:t>
      </w:r>
    </w:p>
    <w:p>
      <w:pPr>
        <w:spacing w:after="0" w:line="109"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acknowledge and agree that Parent and the other Parent Parties would not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and agreed to consummate the transactions contemplated by the Merger Agreement without each Stockholder entering into this Agreement and agreeing to be bound by the agreements, covenants and obligations contained in this Agreement.</w:t>
      </w:r>
    </w:p>
    <w:p>
      <w:pPr>
        <w:spacing w:after="0" w:line="9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each intending to be legally bound, hereby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62" w:lineRule="exact"/>
        <w:rPr>
          <w:sz w:val="20"/>
          <w:szCs w:val="20"/>
          <w:color w:val="auto"/>
        </w:rPr>
      </w:pPr>
    </w:p>
    <w:p>
      <w:pPr>
        <w:ind w:left="1060" w:hanging="174"/>
        <w:spacing w:after="0"/>
        <w:tabs>
          <w:tab w:leader="none" w:pos="10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Consent and Related Matters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9"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As promptly as reasonably practicable (and in any event within two (2) Business Days) following the Effective Date, each Stockholder shall duly execute and deliver to the Company and Parent the Company Stockholder Written Consent under which it shall irrevocably and unconditionally consent to the matters, actions and proposals contemplated by Section 8.3(a) (Company Stockholder Approval) of the Merger Agreement. Without limiting the generality of the first sentence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prior to the Closing, each Stockholder shall vote (or cause to be voted) the Subject Company Shares against and withhold consent with respect to any Alternative Proposal. (2) In addition to the foregoing, each Stockholder hereby unconditionally and irrevocably agrees that, at any meeting of the holders of Company Capital Stock (or any adjournment or postponement thereof), such Stockholder shall, if a meeting is held, appear at the meeting, in person or by proxy, or otherwise cause its Subject Company Shares to be counted as present thereat for purposes of establishing a quorum, and such Stockholder shall vote or provide consent (or cause to be voted or consented), in person or by proxy, all of its Subject Company Shares:</w:t>
      </w:r>
    </w:p>
    <w:p>
      <w:pPr>
        <w:spacing w:after="0" w:line="108" w:lineRule="exact"/>
        <w:rPr>
          <w:rFonts w:ascii="Times New Roman" w:cs="Times New Roman" w:eastAsia="Times New Roman" w:hAnsi="Times New Roman"/>
          <w:sz w:val="18"/>
          <w:szCs w:val="18"/>
          <w:color w:val="auto"/>
        </w:rPr>
      </w:pPr>
    </w:p>
    <w:p>
      <w:pPr>
        <w:ind w:left="1320" w:right="479" w:firstLine="646"/>
        <w:spacing w:after="0" w:line="282" w:lineRule="auto"/>
        <w:tabs>
          <w:tab w:leader="none" w:pos="2188" w:val="left"/>
        </w:tabs>
        <w:numPr>
          <w:ilvl w:val="2"/>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adopt the Merger Agreement and the transactions contemplated thereby, including the Merger;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8" w:name="page359"/>
    <w:bookmarkEnd w:id="3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firstLine="646"/>
        <w:spacing w:after="0" w:line="258" w:lineRule="auto"/>
        <w:tabs>
          <w:tab w:leader="none" w:pos="2249"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upon which a consent or other approval is required under the organizational documents of the Company or otherwise sought with respect to the Merger Agreement or the transactions contemplated thereby, to vote, consent or approve (or cause to be voted, consented or approved) all of such Stockholder’s Subject Company Shares held at such time in favor thereof;</w:t>
      </w:r>
    </w:p>
    <w:p>
      <w:pPr>
        <w:spacing w:after="0" w:line="115" w:lineRule="exact"/>
        <w:rPr>
          <w:rFonts w:ascii="Times New Roman" w:cs="Times New Roman" w:eastAsia="Times New Roman" w:hAnsi="Times New Roman"/>
          <w:sz w:val="18"/>
          <w:szCs w:val="18"/>
          <w:color w:val="auto"/>
        </w:rPr>
      </w:pPr>
    </w:p>
    <w:p>
      <w:pPr>
        <w:jc w:val="both"/>
        <w:ind w:left="1320" w:right="479" w:firstLine="646"/>
        <w:spacing w:after="0" w:line="261" w:lineRule="auto"/>
        <w:tabs>
          <w:tab w:leader="none" w:pos="236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Alternative Transaction, or any other merger agreement, merger, consolidation, combination, sale of substantial assets, reorganization, recapitalization, dissolution, liquidation or winding up of or by the Company (other than the Merger Agreement and the transactions contemplated thereby); and</w:t>
      </w:r>
    </w:p>
    <w:p>
      <w:pPr>
        <w:spacing w:after="0" w:line="112" w:lineRule="exact"/>
        <w:rPr>
          <w:rFonts w:ascii="Times New Roman" w:cs="Times New Roman" w:eastAsia="Times New Roman" w:hAnsi="Times New Roman"/>
          <w:sz w:val="18"/>
          <w:szCs w:val="18"/>
          <w:color w:val="auto"/>
        </w:rPr>
      </w:pPr>
    </w:p>
    <w:p>
      <w:pPr>
        <w:jc w:val="both"/>
        <w:ind w:left="1320" w:right="459" w:firstLine="646"/>
        <w:spacing w:after="0" w:line="258" w:lineRule="auto"/>
        <w:tabs>
          <w:tab w:leader="none" w:pos="2279"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proposal, action or agreement that would (A) impede, frustrate, prevent or nullify any provision of this Agreement, the Merger Agreement or the Merger, (B) result in a breach in any respect of any covenant, representation, warranty or any other obligation or agreement of the Company under the Merger Agreement or (C) result in any of the conditions set forth in Article X of the Merger Agreement not being fulfilled.</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1"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rights or remedies of Parent, each Stockholder hereby irrevocably appoints Parent or any individual designated by Parent as the Stockholder’s agent, attorney-in-fact and proxy (with full power of substitution and resubstituting), for and in the name, place and stead of the Stockholder, to attend on behalf of the Stockholder any meeting of the holders of Company Capital Stock with respect to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to include the Subject Company Shares in any computation for purposes of establishing a quorum at any such meeting of the holders of Company Capital Stock, to vote (or cause to be voted) the Subject Company Shares or consent (or withhold consent) with respect to any of the matters described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in connection with any meeting of the holders of Company Capital Stock or any action by written consent by the holders of Company Capital Stock (including the Company Stockholder Written Consent), in each case, in the event that the Stockholder fails to timely perform or otherwise comply with the covenants, agreements or obligations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7"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coupled with an interest sufficient in law to support an irrevocable proxy and is granted in consideration for Parent entering into the Merger Agreement and agreeing to consummate the transactions contemplated thereby. The proxy granted by each Stockholder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is also a durable proxy and shall survive the bankruptcy, dissolution, death, incapacity or other inability to act by each Stockholder and shall revoke any and all prior proxies granted by each Stockholder with respect to the Subject Company Shares. The vote or consent of the proxyholder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and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shall control in the event of any conflict between such vote or consent by the proxyholder of the Subject Company Shares and a vote or consent by each Stockholder of the Subject Company Shares (or any other Person with the power to vote the Subject Company Shares) with respect to the matters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The proxyholder may not exercise the proxy granted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on any matter except those provided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For the avoidance of doubt, each Stockholder may vote the Subject Company Shares on all other matters, subject to, for the avoidance of doubt, the other applicable covenants, agreements and obligations set forth in this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9"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 irrevocably and unconditionally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Delaware General Corporation Law or otherwise), (ii) consents to, on behalf of itself, and each other holder of Company Preferred Stock and irrevocably and unconditionally waives any and all rights such Stockholder may have with respect to, (x) the conversion of all outstanding shares of Company Preferred Stock into shares of Company Common Stock, with such conversion to be in accordance with the terms of the Company Certificate of Incorporation and effective as of immediately prior to the Effective Time of the Merger and (y) prior to the Closing, the conversion of each Convertible Note into Company Series B Preferred Stock, in accordance with the terms of each Convertible Note, in each case, as set forth on the Capitalization Table.</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1"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hereby irrevocably waives, on behalf of themselves and each other holder of Company Preferred Stock, its right to certain payments upon liquidation of the Company pursuant to Article IV, Section 2 of the Company Certificate of Incorporation,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9" w:name="page360"/>
    <w:bookmarkEnd w:id="3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060" w:hanging="174"/>
        <w:spacing w:after="0"/>
        <w:tabs>
          <w:tab w:leader="none" w:pos="106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Covenants and Agreements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5" w:val="left"/>
        </w:tabs>
        <w:numPr>
          <w:ilvl w:val="2"/>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hereby agrees that, notwithstanding anything to the contrary in any such agreement, (i) each of the agreements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shall be automatically terminated and of no further force and effect (including any provisions of any such agreement that, by its terms, survive such termination) effective as of, and subject to and conditioned upon the occurrence of, the Closing and (ii) upon such termination neither the Company nor any of its Affiliates (including from and after the Effective Time, Parent and its Affiliates) shall have any further obligations or liabilities under each such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indemnification provisions that are contemplated to survive the agreement marked with an asterisk (*)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shall survive such termination in accordance with their terms. Without limiting the generality of the foregoing, each Stockholder hereby agrees to promptly execute and deliver all additional agreements, documents and instruments and take, or cause to be taken, all actions necessary or reasonably advisable in order to achieve the purpose of the preceding sentence.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5" w:val="left"/>
        </w:tabs>
        <w:numPr>
          <w:ilvl w:val="2"/>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acknowledges and agrees that Parent and the other Parent Parties are entering into the Merger Agreement in reliance upon the Stockholder entering into this Agreement and agreeing to be bound by, and perform, or otherwise comply with, as applicable, the agreements, covenants and obligations contained in this Agreement and but for the Stockholder entering into this Agreement and agreeing to be bound by, and perform, or otherwise comply with, as applicable, the agreements, covenants and obligations contained in this Agreement, Parent and the other Parent Parties would not have entered into or agreed to consummate the transactions contemplated by the Merger Agreement.</w:t>
      </w:r>
    </w:p>
    <w:p>
      <w:pPr>
        <w:spacing w:after="0" w:line="107" w:lineRule="exact"/>
        <w:rPr>
          <w:rFonts w:ascii="Times New Roman" w:cs="Times New Roman" w:eastAsia="Times New Roman" w:hAnsi="Times New Roman"/>
          <w:sz w:val="18"/>
          <w:szCs w:val="18"/>
          <w:color w:val="auto"/>
        </w:rPr>
      </w:pPr>
    </w:p>
    <w:p>
      <w:pPr>
        <w:ind w:left="1600" w:hanging="282"/>
        <w:spacing w:after="0"/>
        <w:tabs>
          <w:tab w:leader="none" w:pos="1600" w:val="left"/>
        </w:tabs>
        <w:numPr>
          <w:ilvl w:val="2"/>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each Stockholder shall deliver to Parent a duly executed copy of that</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70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Registration Rights Agreement, by and among Parent, the Company and the Specified Company Securityholders party thereto, in substantially the form attached as Exhibit F to the Merger Agreement and</w:t>
      </w:r>
    </w:p>
    <w:p>
      <w:pPr>
        <w:ind w:left="460" w:right="459" w:hanging="6"/>
        <w:spacing w:after="0" w:line="260" w:lineRule="auto"/>
        <w:tabs>
          <w:tab w:leader="none" w:pos="732"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Voting Agreement, by and among Parent, the Company and the Specified Company Securityholders party thereto, in substantially the form attached as Exhibit D to the Merger Agreement.</w:t>
      </w:r>
    </w:p>
    <w:p>
      <w:pPr>
        <w:spacing w:after="0" w:line="113" w:lineRule="exact"/>
        <w:rPr>
          <w:rFonts w:ascii="Times New Roman" w:cs="Times New Roman" w:eastAsia="Times New Roman" w:hAnsi="Times New Roman"/>
          <w:sz w:val="18"/>
          <w:szCs w:val="18"/>
          <w:color w:val="auto"/>
        </w:rPr>
      </w:pPr>
    </w:p>
    <w:p>
      <w:pPr>
        <w:ind w:left="1080" w:hanging="194"/>
        <w:spacing w:after="0"/>
        <w:tabs>
          <w:tab w:leader="none" w:pos="108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Representations and Warranties</w:t>
      </w:r>
      <w:r>
        <w:rPr>
          <w:rFonts w:ascii="Times New Roman" w:cs="Times New Roman" w:eastAsia="Times New Roman" w:hAnsi="Times New Roman"/>
          <w:sz w:val="18"/>
          <w:szCs w:val="18"/>
          <w:color w:val="auto"/>
        </w:rPr>
        <w:t>. Each Stockholder represents and warrants to Parent as</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139"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70"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9"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is not an individual, the Stockholder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This Agreement has been duly and validly executed and delivered by such Stockholder and constitutes a valid, legal and binding agreement of each Stockholder (assuming that this Agreement is duly authorized, executed and delivered by Parent), enforceable against each such Stockholder in accordance with its terms (subject to applicable bankruptcy, insolvency, reorganization, moratorium or other Laws affecting generally the enforcement of creditors’ rights and subject to general principles of equity).</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24"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 authorization of, or designation, declaration or filing with, any governmental authority is required on the part of any Stockholder with respect to such Stockholder’s execution, delivery or performance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except for any consents, approvals, authorizations, designations, declarations, waivers or filings, the absence of which would not adversely affect the ability of such Stockholder to perform, or otherwise comply with, any of its covenants, agreements or obligations hereunder in any material respect.</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3"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or delivery of this Agreement by each Stockholder, the performance by such Stockholder of any of its covenants, agreements or obligations under this Agreement (including, for the avoidance of doubt, those covenants, agreements and obligations under this Agreement that relate to the provisions of the Merger Agreement) or the consummation of the transactions contemplated hereby will, directly or indirectly (with or without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0" w:name="page361"/>
    <w:bookmarkEnd w:id="3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due notice or lapse of time or both) (i) result in any breach of any provision of such Stockholder’s organizational documents, (ii) result in a violation or breach of, or constitute a default or give rise to any right of termination, consent, cancellation, amendment, modification, suspension, revocation or acceleration under, any of the terms, conditions or provisions of any Contract to which such Stockholder is a party, (iii) violate, or constitute a breach under, any Order or applicable Law to which such Stockholder or any of its properties or assets are bound or (iv) result in the creation of any Lien upon the Subject Company Shares, except, in the case of any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directly above, as would not adversely affect the ability of such Stockholder to perform, or otherwise comply with, any of its covenants, agreements or obligations hereunder in any material respect.</w:t>
      </w:r>
    </w:p>
    <w:p>
      <w:pPr>
        <w:spacing w:after="0" w:line="121" w:lineRule="exact"/>
        <w:rPr>
          <w:sz w:val="20"/>
          <w:szCs w:val="20"/>
          <w:color w:val="auto"/>
        </w:rPr>
      </w:pPr>
    </w:p>
    <w:p>
      <w:pPr>
        <w:jc w:val="both"/>
        <w:ind w:left="460" w:right="459" w:firstLine="858"/>
        <w:spacing w:after="0" w:line="252" w:lineRule="auto"/>
        <w:tabs>
          <w:tab w:leader="none" w:pos="1590" w:val="left"/>
        </w:tabs>
        <w:numPr>
          <w:ilvl w:val="2"/>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Stockholder is the record and beneficial owner of the Subject Company Shares and has valid, good and marketable title to the Subject Company Shares, free and clear of all Liens (other than transfer restrictions under applicable Securities Law). Except for the shares of Company Capital Stock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other shares of Company Capital Stock or other equity interest (including anything convertible into such equity interests) of the Company that the Stockholder acquires record or beneficial ownership after the date hereof, such Stockholder has the sole right to vote (and provide consent in respect of, as applicable) the Subject Company Shares and, except for this Agreement, the Merger Agreement and that certain Second Amended and Restated Voting Agreement, dated September 26, 2019, such Stockholder is not party to or bound by (i) any option, warrant, purchase right, or other Contract that would (either alone or in connection with one or more events, developments (including the satisfaction or waiver of any conditions precedent)) require such Stockholder to Transfer (as defined below) any of the Subject Company Shares or</w:t>
      </w:r>
    </w:p>
    <w:p>
      <w:pPr>
        <w:spacing w:after="0" w:line="3" w:lineRule="exact"/>
        <w:rPr>
          <w:rFonts w:ascii="Times New Roman" w:cs="Times New Roman" w:eastAsia="Times New Roman" w:hAnsi="Times New Roman"/>
          <w:sz w:val="18"/>
          <w:szCs w:val="18"/>
          <w:color w:val="auto"/>
        </w:rPr>
      </w:pPr>
    </w:p>
    <w:p>
      <w:pPr>
        <w:ind w:left="460" w:right="479" w:hanging="6"/>
        <w:spacing w:after="0" w:line="260" w:lineRule="auto"/>
        <w:tabs>
          <w:tab w:leader="none" w:pos="75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trust, proxy or other Contract with respect to the voting or Transfer of any of the Subject Company Shares.</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79"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Proceeding pending or, to the Stockholder’s knowledge, threatened against such Stockholder that questions the beneficial or record ownership of such Stockholder’s Subject Company Shares, the validity of this Agreement or the performance by such Stockholder of its obligations under this Agreement, or which would reasonably be expected to adversely affect the ability of such Stockholder to perform, or otherwise comply with, any of its covenants, agreements or obligations under this Agreement in any material respect.</w:t>
      </w:r>
    </w:p>
    <w:p>
      <w:pPr>
        <w:spacing w:after="0" w:line="106"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3"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Parent Parties and (ii) he, she or it has been furnished with or given access to such documents and information about the Parent Parties and their respective businesses and operations as he, she or it and his, her or its Representatives have deemed necessary to enable him, her or it to make an informed decision with respect to the execution, delivery and performance of this Agreement, the other Additional Agreements to which he, she or it is or will be a party and the transactions contemplated hereby and thereby.</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4"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Agreement and the other Additional Agreements to which he, she or it is or will be a party, the Stockholder has relied solely on his, her or its own investigation and analysis and the representations and warranties expressly set forth in the Additional Agreements to which he, she or it is or will be a party and no other representations or warranties of any Parent Party (including, for the avoidance of doubt, none of the representations or warranties of any Parent Party set forth in the Merger Agreement or any other Additional Agreements), any Affiliate of Parent or any other Person, either express or implied, and such Stockholder, on his, her or its own behalf and on behalf of his, her or its Representatives, acknowledges, represents, warrants and agrees that, except for the representations and warranties expressly set forth in the Additional Agreements to which he, she or it is or will be a party, none of the Parent Parties, any Affiliate of Parent or any other Person makes or has made any representation or warranty, either express or implied, in connection with or related to this Agreement, the Additional Agreements to which he, she or it is or will be a party or the transactions contemplated hereby or thereby.</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7" w:lineRule="auto"/>
        <w:tabs>
          <w:tab w:leader="none" w:pos="1072"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Subject Securities</w:t>
      </w:r>
      <w:r>
        <w:rPr>
          <w:rFonts w:ascii="Times New Roman" w:cs="Times New Roman" w:eastAsia="Times New Roman" w:hAnsi="Times New Roman"/>
          <w:sz w:val="18"/>
          <w:szCs w:val="18"/>
          <w:color w:val="auto"/>
        </w:rPr>
        <w:t>. Except as expressly contemplated by the Merger Agreement or with the prior written consent of Parent (such consent to be given or withheld in its sole discretion), from and after the date hereof, each Stockholder agrees not to (a) Transfer any of the Subject Company Shares, (b) enter into</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68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purchase right, or other Contract that would (either alone or in connection with one or more events or developments (including the satisfaction or waiver of any conditions precedent)) require such Stockholder to Transfer the Subject Company Shares or (ii) any voting trust, proxy or other Contract with respect to the voting or Transfer of the Subject Company Shares, or (c) take any actions (i) having the effect of preventing or disabling such Stockholder from performing its obligations under this Agreement or (ii) in furtherance of any of the matters described in the foregoing</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1" w:name="page362"/>
    <w:bookmarkEnd w:id="3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any, direct or indirect, sale, transfer, assignment, pledge, mortgage, exchange, hypothecation, grant of a security interest in or disposition or encumbrance of an interest (whether with or without consideration, whether voluntarily or involuntarily or by operation of law or otherwise).</w:t>
      </w:r>
    </w:p>
    <w:p>
      <w:pPr>
        <w:spacing w:after="0" w:line="112" w:lineRule="exact"/>
        <w:rPr>
          <w:sz w:val="20"/>
          <w:szCs w:val="20"/>
          <w:color w:val="auto"/>
        </w:rPr>
      </w:pPr>
    </w:p>
    <w:p>
      <w:pPr>
        <w:jc w:val="both"/>
        <w:ind w:left="460" w:right="459" w:firstLine="426"/>
        <w:spacing w:after="0" w:line="258" w:lineRule="auto"/>
        <w:tabs>
          <w:tab w:leader="none" w:pos="1072"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automatically terminate, without any notice or other action by any Party, and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upon the earlier of (a) the Effective Time; (b) the termination of the Merger Agreement in accordance with its terms and (c) upon the mutual written agreement of Parent and each Stockholder. Upon termination of this Agreement as provided in the immediately preceding sentence, none of the Parties shall have any further obligations or Liabilities under, or with respect to, this Agreement.</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8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Notwithstanding anything in this Agreement to the contrary, (a) each Stockholder makes no agreement or understanding herein in any capacity other than in such Stockholder’s capacity as a record holder and beneficial owner of the Subject Company Shares, and not in such Stockholder’s capacity as a director, officer or employee of the Company or any other capacity and (b) nothing herein will be construed to limit or affect any action or inaction by any Stockholder serving as a member of the board of directors of the Company or as an officer, employee or fiduciary of the Company, in each case, acting in such person’s capacity as a director, officer, employee or fiduciary of the Company.</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 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 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10020-1095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a Stockholder, to the address specified by such Stockholder in writing.</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Attention:</w:t>
      </w:r>
    </w:p>
    <w:p>
      <w:pPr>
        <w:spacing w:after="0" w:line="200" w:lineRule="exact"/>
        <w:rPr>
          <w:sz w:val="20"/>
          <w:szCs w:val="20"/>
          <w:color w:val="auto"/>
        </w:rPr>
      </w:pPr>
    </w:p>
    <w:p>
      <w:pPr>
        <w:spacing w:after="0" w:line="25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Mitchell S. Bloom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mbloom@goodwinlaw.com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despinoza@goodwinlaw.com</w:t>
      </w:r>
    </w:p>
    <w:p>
      <w:pPr>
        <w:spacing w:after="0" w:line="137" w:lineRule="exact"/>
        <w:rPr>
          <w:sz w:val="20"/>
          <w:szCs w:val="20"/>
          <w:color w:val="auto"/>
        </w:rPr>
      </w:pPr>
    </w:p>
    <w:p>
      <w:pPr>
        <w:sectPr>
          <w:pgSz w:w="11900" w:h="16838" w:orient="portrait"/>
          <w:cols w:equalWidth="0" w:num="2">
            <w:col w:w="2040" w:space="300"/>
            <w:col w:w="6679"/>
          </w:cols>
          <w:pgMar w:left="1440" w:top="270" w:right="1440" w:bottom="1440" w:gutter="0" w:footer="0" w:header="0"/>
          <w:type w:val="continuous"/>
        </w:sect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or to such other address as the Party to whom notice is given may have previously furnished to the others in writing in the manner set forth above.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62" w:name="page363"/>
    <w:bookmarkEnd w:id="3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61" w:lineRule="auto"/>
        <w:tabs>
          <w:tab w:leader="none" w:pos="1099"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Merger Agreement and documents referred to herein and therein constitutes the entire agreement of the Parties with respect to the subject matter of this Agreement, and supersede all prior agreements and undertakings, both written and oral, among the Parties with respect to the subject matter of this Agreement, except as otherwise expressly provided in this Agreement.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 Assignment</w:t>
      </w:r>
      <w:r>
        <w:rPr>
          <w:rFonts w:ascii="Times New Roman" w:cs="Times New Roman" w:eastAsia="Times New Roman" w:hAnsi="Times New Roman"/>
          <w:sz w:val="18"/>
          <w:szCs w:val="18"/>
          <w:color w:val="auto"/>
        </w:rPr>
        <w:t>. Any provision of this Agreement may be amended or waived if, and only if, such amendment or waiver is in writing and signed by each of Stockholder and Parent.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Stockholder without Parent’s prior written consent (to be withheld or given in its sole discretion).</w:t>
      </w:r>
    </w:p>
    <w:p>
      <w:pPr>
        <w:spacing w:after="0" w:line="121"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7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otherwise expressly set forth in the Merger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98"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5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19" w:lineRule="exact"/>
        <w:rPr>
          <w:rFonts w:ascii="Times New Roman" w:cs="Times New Roman" w:eastAsia="Times New Roman" w:hAnsi="Times New Roman"/>
          <w:sz w:val="18"/>
          <w:szCs w:val="18"/>
          <w:color w:val="auto"/>
        </w:rPr>
      </w:pPr>
    </w:p>
    <w:p>
      <w:pPr>
        <w:jc w:val="both"/>
        <w:ind w:left="460" w:right="479" w:firstLine="426"/>
        <w:spacing w:after="0" w:line="258" w:lineRule="auto"/>
        <w:tabs>
          <w:tab w:leader="none" w:pos="117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of this Agreement. Nothing in this Agreement, expressed or implied, is intended to or shall constitute the Parties, partners or participants in a joint venture.</w:t>
      </w:r>
    </w:p>
    <w:p>
      <w:pPr>
        <w:spacing w:after="0" w:line="115"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89"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Sections 1.2 (Construction), 14.7 (Governing Law), 14.8 (Counterparts; Facsimile Signatures) and 14.10 (Severability) of the Merger Agreement are incorporated herein by reference and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3" w:name="page364"/>
    <w:bookmarkEnd w:id="3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and delivered this Company Support Agreement as of the date first above written.</w:t>
      </w:r>
    </w:p>
    <w:p>
      <w:pPr>
        <w:spacing w:after="0" w:line="15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18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51435</wp:posOffset>
            </wp:positionV>
            <wp:extent cx="231457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8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4" w:name="page365"/>
    <w:bookmarkEnd w:id="3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5" w:name="page366"/>
    <w:bookmarkEnd w:id="3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6" w:name="page367"/>
    <w:bookmarkEnd w:id="3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By: Atlas Venture Associates X, LLC</w:t>
      </w:r>
    </w:p>
    <w:p>
      <w:pPr>
        <w:spacing w:after="0" w:line="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7" w:name="page368"/>
    <w:bookmarkEnd w:id="3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WU CAPITAL INVESTMENT LLC</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Director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Company Support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8" w:name="page369"/>
    <w:bookmarkEnd w:id="3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w:t>
            </w:r>
          </w:p>
        </w:tc>
      </w:t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under</w:t>
            </w:r>
          </w:p>
        </w:tc>
      </w:tr>
      <w:tr>
        <w:trPr>
          <w:trHeight w:val="203"/>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Convertible</w:t>
            </w:r>
          </w:p>
        </w:tc>
      </w:tr>
      <w:tr>
        <w:trPr>
          <w:trHeight w:val="212"/>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Stockholder</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w:t>
            </w:r>
          </w:p>
        </w:tc>
      </w:tr>
      <w:tr>
        <w:trPr>
          <w:trHeight w:val="46"/>
        </w:trPr>
        <w:tc>
          <w:tcPr>
            <w:tcW w:w="4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57"/>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11,653,137</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976,931</w:t>
            </w: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1,587,559</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133,112</w:t>
            </w:r>
          </w:p>
        </w:tc>
        <w:tc>
          <w:tcPr>
            <w:tcW w:w="1040" w:type="dxa"/>
            <w:vAlign w:val="bottom"/>
          </w:tcPr>
          <w:p>
            <w:pPr>
              <w:spacing w:after="0"/>
              <w:rPr>
                <w:sz w:val="21"/>
                <w:szCs w:val="21"/>
                <w:color w:val="auto"/>
              </w:rPr>
            </w:pPr>
          </w:p>
        </w:tc>
      </w:tr>
      <w:tr>
        <w:trPr>
          <w:trHeight w:val="41"/>
        </w:trPr>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Singapore L.P.</w:t>
            </w: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3,700,139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13,240,696</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7,400,280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4,887,000</w:t>
            </w:r>
          </w:p>
        </w:tc>
      </w:tr>
      <w:tr>
        <w:trPr>
          <w:trHeight w:val="40"/>
        </w:trPr>
        <w:tc>
          <w:tcPr>
            <w:tcW w:w="4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13,240,696</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5,180,196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4,361,000</w:t>
            </w:r>
          </w:p>
        </w:tc>
      </w:tr>
      <w:tr>
        <w:trPr>
          <w:trHeight w:val="243"/>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 Capital Investment LLC</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7,400,280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9" w:name="page370"/>
    <w:bookmarkEnd w:id="3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148" w:lineRule="exact"/>
        <w:rPr>
          <w:sz w:val="20"/>
          <w:szCs w:val="20"/>
          <w:color w:val="auto"/>
        </w:rPr>
      </w:pPr>
    </w:p>
    <w:p>
      <w:pPr>
        <w:jc w:val="both"/>
        <w:ind w:left="880" w:right="459" w:hanging="426"/>
        <w:spacing w:after="0" w:line="266" w:lineRule="auto"/>
        <w:tabs>
          <w:tab w:leader="none" w:pos="95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Amended and Restated Voting Agreement, dated as of September 26, 2019, by and among the Company, each holder of Series A Preferred Stock, each holder of Series B Preferred Stock and the stockholders listed on Schedule B thereto.</w:t>
      </w:r>
    </w:p>
    <w:p>
      <w:pPr>
        <w:spacing w:after="0" w:line="108"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4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Right of First Refusal and Co-Sale Agreement, dated as of September 26, 2019, by and among the Company, the Investors (as defined below) and the persons named on Schedule B thereto.</w:t>
      </w:r>
    </w:p>
    <w:p>
      <w:pPr>
        <w:spacing w:after="0" w:line="94" w:lineRule="exact"/>
        <w:rPr>
          <w:rFonts w:ascii="Times New Roman" w:cs="Times New Roman" w:eastAsia="Times New Roman" w:hAnsi="Times New Roman"/>
          <w:sz w:val="18"/>
          <w:szCs w:val="18"/>
          <w:color w:val="auto"/>
        </w:rPr>
      </w:pPr>
    </w:p>
    <w:p>
      <w:pPr>
        <w:ind w:left="880" w:right="479" w:hanging="426"/>
        <w:spacing w:after="0" w:line="282" w:lineRule="auto"/>
        <w:tabs>
          <w:tab w:leader="none" w:pos="892"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Investors’ Rights Agreement, dated as of September 26, 2019, by and among the Company and the Investors.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0" w:name="page371"/>
    <w:bookmarkEnd w:id="3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between FS Development Corp., a Delaware corporation (“</w:t>
      </w:r>
      <w:r>
        <w:rPr>
          <w:rFonts w:ascii="Times New Roman" w:cs="Times New Roman" w:eastAsia="Times New Roman" w:hAnsi="Times New Roman"/>
          <w:sz w:val="18"/>
          <w:szCs w:val="18"/>
          <w:u w:val="single" w:color="auto"/>
          <w:color w:val="auto"/>
        </w:rPr>
        <w:t>FSD</w:t>
      </w:r>
      <w:r>
        <w:rPr>
          <w:rFonts w:ascii="Times New Roman" w:cs="Times New Roman" w:eastAsia="Times New Roman" w:hAnsi="Times New Roman"/>
          <w:sz w:val="18"/>
          <w:szCs w:val="18"/>
          <w:color w:val="auto"/>
        </w:rPr>
        <w:t>”), and Gemini Therapeutics, Inc., a Delaware corporation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a merger agreement to be entered into among FSD, Target, and the other parties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FSD is seeking commitments from interested investors to purchase shares of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FSD,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The aggregate purchase price to be paid by the undersigned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On or about the date of this Subscription Agreement, FSD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 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08" w:lineRule="exact"/>
        <w:rPr>
          <w:sz w:val="20"/>
          <w:szCs w:val="20"/>
          <w:color w:val="auto"/>
        </w:rPr>
      </w:pPr>
    </w:p>
    <w:p>
      <w:pPr>
        <w:jc w:val="both"/>
        <w:ind w:left="460" w:right="459" w:firstLine="426"/>
        <w:spacing w:after="0" w:line="266" w:lineRule="auto"/>
        <w:tabs>
          <w:tab w:leader="none" w:pos="108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072"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and (ii) delivery of written notice from (or on behalf of) FSD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2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4"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80"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648" w:val="left"/>
        </w:tabs>
        <w:numPr>
          <w:ilvl w:val="2"/>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1" w:name="page372"/>
    <w:bookmarkEnd w:id="3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which is then in effect and has the effect of making consummation of the transactions contemplated hereby illegal or otherwise restraining or prohibiting consummation of the transactions contemplated hereby;</w:t>
      </w:r>
    </w:p>
    <w:p>
      <w:pPr>
        <w:spacing w:after="0" w:line="108" w:lineRule="exact"/>
        <w:rPr>
          <w:sz w:val="20"/>
          <w:szCs w:val="20"/>
          <w:color w:val="auto"/>
        </w:rPr>
      </w:pPr>
    </w:p>
    <w:p>
      <w:pPr>
        <w:jc w:val="both"/>
        <w:ind w:left="1320" w:right="459" w:firstLine="1078"/>
        <w:spacing w:after="0" w:line="266" w:lineRule="auto"/>
        <w:tabs>
          <w:tab w:leader="none" w:pos="2669" w:val="left"/>
        </w:tabs>
        <w:numPr>
          <w:ilvl w:val="2"/>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08"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764" w:val="left"/>
        </w:tabs>
        <w:numPr>
          <w:ilvl w:val="2"/>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94" w:lineRule="exact"/>
        <w:rPr>
          <w:rFonts w:ascii="Times New Roman" w:cs="Times New Roman" w:eastAsia="Times New Roman" w:hAnsi="Times New Roman"/>
          <w:sz w:val="18"/>
          <w:szCs w:val="18"/>
          <w:color w:val="auto"/>
        </w:rPr>
      </w:pPr>
    </w:p>
    <w:p>
      <w:pPr>
        <w:ind w:left="2700" w:hanging="302"/>
        <w:spacing w:after="0"/>
        <w:tabs>
          <w:tab w:leader="none" w:pos="2700" w:val="left"/>
        </w:tabs>
        <w:numPr>
          <w:ilvl w:val="2"/>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Capital Market.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12"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21"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09"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following conditions:</w:t>
      </w:r>
    </w:p>
    <w:p>
      <w:pPr>
        <w:spacing w:after="0" w:line="80" w:lineRule="exact"/>
        <w:rPr>
          <w:rFonts w:ascii="Times New Roman" w:cs="Times New Roman" w:eastAsia="Times New Roman" w:hAnsi="Times New Roman"/>
          <w:sz w:val="18"/>
          <w:szCs w:val="18"/>
          <w:color w:val="auto"/>
        </w:rPr>
      </w:pPr>
    </w:p>
    <w:p>
      <w:pPr>
        <w:jc w:val="both"/>
        <w:ind w:left="1320" w:right="459" w:firstLine="1078"/>
        <w:spacing w:after="0" w:line="256" w:lineRule="auto"/>
        <w:tabs>
          <w:tab w:leader="none" w:pos="2690"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19"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667"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08" w:lineRule="exact"/>
        <w:rPr>
          <w:rFonts w:ascii="Times New Roman" w:cs="Times New Roman" w:eastAsia="Times New Roman" w:hAnsi="Times New Roman"/>
          <w:sz w:val="18"/>
          <w:szCs w:val="18"/>
          <w:color w:val="auto"/>
        </w:rPr>
      </w:pPr>
    </w:p>
    <w:p>
      <w:pPr>
        <w:jc w:val="both"/>
        <w:ind w:left="1320" w:right="459" w:firstLine="1078"/>
        <w:spacing w:after="0" w:line="266" w:lineRule="auto"/>
        <w:tabs>
          <w:tab w:leader="none" w:pos="2756"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94" w:lineRule="exact"/>
        <w:rPr>
          <w:rFonts w:ascii="Times New Roman" w:cs="Times New Roman" w:eastAsia="Times New Roman" w:hAnsi="Times New Roman"/>
          <w:sz w:val="18"/>
          <w:szCs w:val="18"/>
          <w:color w:val="auto"/>
        </w:rPr>
      </w:pPr>
    </w:p>
    <w:p>
      <w:pPr>
        <w:jc w:val="both"/>
        <w:ind w:left="1320" w:right="479" w:firstLine="1078"/>
        <w:spacing w:after="0" w:line="266" w:lineRule="auto"/>
        <w:tabs>
          <w:tab w:leader="none" w:pos="2753" w:val="left"/>
        </w:tabs>
        <w:numPr>
          <w:ilvl w:val="2"/>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12"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FSD Representations and Warranties</w:t>
      </w:r>
      <w:r>
        <w:rPr>
          <w:rFonts w:ascii="Times New Roman" w:cs="Times New Roman" w:eastAsia="Times New Roman" w:hAnsi="Times New Roman"/>
          <w:sz w:val="18"/>
          <w:szCs w:val="18"/>
          <w:color w:val="auto"/>
        </w:rPr>
        <w:t>. FSD represents and warrants to the Investor, as of the date hereof and as of the Closing Date that:</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1"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81"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2" w:name="page373"/>
    <w:bookmarkEnd w:id="3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56" w:lineRule="auto"/>
        <w:tabs>
          <w:tab w:leader="none" w:pos="159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8"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27"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04"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made all filings required to be filed by it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13"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57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7"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 stock exchange on which FSD’s Class A common stock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FSD consists of 100,000,000 Shares of which 12,516,500 are outstanding, 10,000,000 shares of Class B common stock, par value $0.0001 per share of which 3,018,750 are issued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3" w:name="page374"/>
    <w:bookmarkEnd w:id="3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20" w:lineRule="exact"/>
        <w:rPr>
          <w:sz w:val="20"/>
          <w:szCs w:val="20"/>
          <w:color w:val="auto"/>
        </w:rPr>
      </w:pPr>
    </w:p>
    <w:p>
      <w:pPr>
        <w:jc w:val="both"/>
        <w:ind w:left="460" w:right="459" w:firstLine="858"/>
        <w:spacing w:after="0" w:line="258" w:lineRule="auto"/>
        <w:tabs>
          <w:tab w:leader="none" w:pos="1544"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43"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7" w:lineRule="auto"/>
        <w:tabs>
          <w:tab w:leader="none" w:pos="1580"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w:t>
      </w:r>
    </w:p>
    <w:p>
      <w:pPr>
        <w:spacing w:after="0" w:line="1" w:lineRule="exact"/>
        <w:rPr>
          <w:rFonts w:ascii="Times New Roman" w:cs="Times New Roman" w:eastAsia="Times New Roman" w:hAnsi="Times New Roman"/>
          <w:sz w:val="18"/>
          <w:szCs w:val="18"/>
          <w:color w:val="auto"/>
        </w:rPr>
      </w:pPr>
    </w:p>
    <w:p>
      <w:pPr>
        <w:ind w:left="460" w:right="459" w:hanging="6"/>
        <w:spacing w:after="0" w:line="260" w:lineRule="auto"/>
        <w:tabs>
          <w:tab w:leader="none" w:pos="74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decree, injunction, ruling or order of any governmental entity or arbitrator outstanding against FSD.</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1" w:val="left"/>
        </w:tabs>
        <w:numPr>
          <w:ilvl w:val="2"/>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38" w:val="left"/>
        </w:tabs>
        <w:numPr>
          <w:ilvl w:val="2"/>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under any obligation to pay any broker’s fee or commission in connection with the sale of the Shares hereunder other than to the Placement Agents (as defined herein).</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8" w:val="left"/>
        </w:tabs>
        <w:numPr>
          <w:ilvl w:val="2"/>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19"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FSD that: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71" w:val="left"/>
        </w:tabs>
        <w:numPr>
          <w:ilvl w:val="2"/>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4" w:name="page375"/>
    <w:bookmarkEnd w:id="3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0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2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3"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91"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19"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21"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5" w:name="page376"/>
    <w:bookmarkEnd w:id="3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6" w:lineRule="auto"/>
        <w:tabs>
          <w:tab w:leader="none" w:pos="1557"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4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08"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4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7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2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8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disclosure or offering document has been prepared by either of the Placement Agents or any of their respective affiliates in connection with the offer and sale of the Shares.</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3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1"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issue and purchase of the Shares, the Placement Agents have not acted as the Investor’s financial advisor or fiduciary.</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4"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6" w:name="page377"/>
    <w:bookmarkEnd w:id="3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66" w:lineRule="auto"/>
        <w:tabs>
          <w:tab w:leader="none" w:pos="1586"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08"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50" w:lineRule="auto"/>
        <w:tabs>
          <w:tab w:leader="none" w:pos="1602"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are not registered in connection with the consummation of the Transaction, FSD agrees that, within thirty (30) calendar days after the consummation of the Transaction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the its sole cost and expense) a registration statement registering the resale of such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it shall use its commercially reasonable efforts to have the Registration Statement declared effective as soon as practicable after the filing thereof, but no later than the earlier of (1)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after the consummation of the Transaction (or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82"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7" w:name="page378"/>
    <w:bookmarkEnd w:id="3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24" w:lineRule="exact"/>
        <w:rPr>
          <w:sz w:val="20"/>
          <w:szCs w:val="20"/>
          <w:color w:val="auto"/>
        </w:rPr>
      </w:pPr>
    </w:p>
    <w:p>
      <w:pPr>
        <w:jc w:val="both"/>
        <w:ind w:left="460" w:right="459" w:firstLine="858"/>
        <w:spacing w:after="0" w:line="251" w:lineRule="auto"/>
        <w:tabs>
          <w:tab w:leader="none" w:pos="1624"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8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02"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8" w:name="page379"/>
    <w:bookmarkEnd w:id="3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20" w:lineRule="exact"/>
        <w:rPr>
          <w:sz w:val="20"/>
          <w:szCs w:val="20"/>
          <w:color w:val="auto"/>
        </w:rPr>
      </w:pPr>
    </w:p>
    <w:p>
      <w:pPr>
        <w:jc w:val="both"/>
        <w:ind w:left="460" w:right="459" w:firstLine="858"/>
        <w:spacing w:after="0" w:line="252" w:lineRule="auto"/>
        <w:tabs>
          <w:tab w:leader="none" w:pos="1566"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6"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109"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0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 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07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Waiver. The Investor hereby acknowledges that FSD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9" w:name="page380"/>
    <w:bookmarkEnd w:id="3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 Claims</w:t>
      </w:r>
      <w:r>
        <w:rPr>
          <w:rFonts w:ascii="Times New Roman" w:cs="Times New Roman" w:eastAsia="Times New Roman" w:hAnsi="Times New Roman"/>
          <w:sz w:val="18"/>
          <w:szCs w:val="18"/>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26" w:lineRule="exact"/>
        <w:rPr>
          <w:sz w:val="20"/>
          <w:szCs w:val="20"/>
          <w:color w:val="auto"/>
        </w:rPr>
      </w:pPr>
    </w:p>
    <w:p>
      <w:pPr>
        <w:ind w:left="1160" w:hanging="274"/>
        <w:spacing w:after="0"/>
        <w:tabs>
          <w:tab w:leader="none" w:pos="11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8"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6"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21"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4"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2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 Closing.</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608"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597"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0" w:name="page381"/>
    <w:bookmarkEnd w:id="3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58" w:lineRule="auto"/>
        <w:tabs>
          <w:tab w:leader="none" w:pos="1599"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61"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1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5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OF THIS SUBSCRIPTION AGREEMENT OR IN SUCH OTHER MANNER AS MAY BE PERMITTED BY LAW SHALL BE VALID AND SUFFICIENT SERVICE THEREOF.</w:t>
      </w:r>
    </w:p>
    <w:p>
      <w:pPr>
        <w:spacing w:after="0" w:line="12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8"/>
          <w:szCs w:val="18"/>
          <w:u w:val="single" w:color="auto"/>
          <w:color w:val="auto"/>
        </w:rPr>
        <w:t>SECTION 10(l)</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858"/>
        <w:spacing w:after="0" w:line="261" w:lineRule="auto"/>
        <w:tabs>
          <w:tab w:leader="none" w:pos="163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1" w:name="page382"/>
    <w:bookmarkEnd w:id="3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All communications sent to FSD shall be sent to: FS Development Corp., 600 Montgomery Street, Suite 4500, San Francisco, California 94111, Attn: Jim Tananbaum, email: jim@foresitecapital.com, with a copy to: White &amp; Case LLP, 1221 Avenue of the Americas, New York, New York 10020, Attn: Joel L. Rubinstein, Esq., email: </w:t>
      </w:r>
      <w:r>
        <w:rPr>
          <w:rFonts w:ascii="Times New Roman" w:cs="Times New Roman" w:eastAsia="Times New Roman" w:hAnsi="Times New Roman"/>
          <w:sz w:val="18"/>
          <w:szCs w:val="18"/>
          <w:u w:val="single" w:color="auto"/>
          <w:color w:val="auto"/>
        </w:rPr>
        <w:t>joel.rubinstein@whitecase.com</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426"/>
        <w:spacing w:after="0" w:line="252" w:lineRule="auto"/>
        <w:tabs>
          <w:tab w:leader="none" w:pos="1182"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2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21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2" w:name="page383"/>
    <w:bookmarkEnd w:id="3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duly authorized representative as of the date set forth below.</w:t>
      </w:r>
    </w:p>
    <w:p>
      <w:pPr>
        <w:sectPr>
          <w:pgSz w:w="11900" w:h="16838" w:orient="portrait"/>
          <w:cols w:equalWidth="0" w:num="1">
            <w:col w:w="9019"/>
          </w:cols>
          <w:pgMar w:left="1440" w:top="270" w:right="1440" w:bottom="1440" w:gutter="0" w:footer="0" w:header="0"/>
        </w:sectPr>
      </w:pP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of Investor: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_______________________________</w:t>
      </w:r>
    </w:p>
    <w:p>
      <w:pPr>
        <w:spacing w:after="0" w:line="198" w:lineRule="exact"/>
        <w:rPr>
          <w:sz w:val="20"/>
          <w:szCs w:val="20"/>
          <w:color w:val="auto"/>
        </w:rPr>
      </w:pPr>
    </w:p>
    <w:p>
      <w:pPr>
        <w:ind w:left="460" w:right="60"/>
        <w:spacing w:after="0" w:line="282" w:lineRule="auto"/>
        <w:rPr>
          <w:sz w:val="20"/>
          <w:szCs w:val="20"/>
          <w:color w:val="auto"/>
        </w:rPr>
      </w:pPr>
      <w:r>
        <w:rPr>
          <w:rFonts w:ascii="Times New Roman" w:cs="Times New Roman" w:eastAsia="Times New Roman" w:hAnsi="Times New Roman"/>
          <w:sz w:val="18"/>
          <w:szCs w:val="18"/>
          <w:color w:val="auto"/>
        </w:rPr>
        <w:t>Name in which Shares are to be registered (if different):</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Investor’s EIN:</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Business Address-Street:</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City, State, Zip:</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_______________________________</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 No.:</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Facsimile No.:</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subscribed for:</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Aggregate Subscription Amount: $</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State/Country of Formation or Domicile: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Address-Street (if different):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_______________________________</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 Share: $10</w:t>
      </w:r>
    </w:p>
    <w:p>
      <w:pPr>
        <w:spacing w:after="0" w:line="200" w:lineRule="exact"/>
        <w:rPr>
          <w:sz w:val="20"/>
          <w:szCs w:val="20"/>
          <w:color w:val="auto"/>
        </w:rPr>
      </w:pPr>
    </w:p>
    <w:p>
      <w:pPr>
        <w:sectPr>
          <w:pgSz w:w="11900" w:h="16838" w:orient="portrait"/>
          <w:cols w:equalWidth="0" w:num="2">
            <w:col w:w="3780" w:space="720"/>
            <w:col w:w="4519"/>
          </w:cols>
          <w:pgMar w:left="1440" w:top="270" w:right="1440" w:bottom="1440" w:gutter="0" w:footer="0" w:header="0"/>
          <w:type w:val="continuous"/>
        </w:sectPr>
      </w:pPr>
    </w:p>
    <w:p>
      <w:pPr>
        <w:spacing w:after="0" w:line="3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FSD in the Closing Notice.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3" w:name="page384"/>
    <w:bookmarkEnd w:id="3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IN WITNESS WHEREOF, FSD has accepted this Subscription Agreement as of the date set forth below.</w:t>
      </w:r>
    </w:p>
    <w:p>
      <w:pPr>
        <w:spacing w:after="0" w:line="2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77"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4" w:name="page385"/>
    <w:bookmarkEnd w:id="3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216" w:lineRule="exact"/>
        <w:rPr>
          <w:sz w:val="20"/>
          <w:szCs w:val="20"/>
          <w:color w:val="auto"/>
        </w:rPr>
      </w:pPr>
    </w:p>
    <w:p>
      <w:pPr>
        <w:ind w:left="880" w:right="4419" w:hanging="426"/>
        <w:spacing w:after="0" w:line="395" w:lineRule="auto"/>
        <w:tabs>
          <w:tab w:leader="none" w:pos="880" w:val="left"/>
        </w:tabs>
        <w:numPr>
          <w:ilvl w:val="0"/>
          <w:numId w:val="3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72" w:lineRule="exact"/>
        <w:rPr>
          <w:rFonts w:ascii="Times New Roman" w:cs="Times New Roman" w:eastAsia="Times New Roman" w:hAnsi="Times New Roman"/>
          <w:sz w:val="17"/>
          <w:szCs w:val="17"/>
          <w:color w:val="auto"/>
        </w:rPr>
      </w:pPr>
    </w:p>
    <w:p>
      <w:pPr>
        <w:ind w:left="1100" w:hanging="214"/>
        <w:spacing w:after="0"/>
        <w:tabs>
          <w:tab w:leader="none" w:pos="1100" w:val="left"/>
        </w:tabs>
        <w:numPr>
          <w:ilvl w:val="1"/>
          <w:numId w:val="36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225" w:lineRule="exact"/>
        <w:rPr>
          <w:rFonts w:ascii="MS PGothic" w:cs="MS PGothic" w:eastAsia="MS PGothic" w:hAnsi="MS PGothic"/>
          <w:sz w:val="18"/>
          <w:szCs w:val="18"/>
          <w:color w:val="auto"/>
        </w:rPr>
      </w:pPr>
    </w:p>
    <w:p>
      <w:pPr>
        <w:ind w:left="880" w:right="3979" w:hanging="426"/>
        <w:spacing w:after="0" w:line="360" w:lineRule="auto"/>
        <w:tabs>
          <w:tab w:leader="none" w:pos="88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 (Please check the applicable subparagraphs):</w:t>
      </w:r>
    </w:p>
    <w:p>
      <w:pPr>
        <w:spacing w:after="0" w:line="66" w:lineRule="exact"/>
        <w:rPr>
          <w:sz w:val="20"/>
          <w:szCs w:val="20"/>
          <w:color w:val="auto"/>
        </w:rPr>
      </w:pPr>
    </w:p>
    <w:p>
      <w:pPr>
        <w:jc w:val="both"/>
        <w:ind w:left="1320" w:right="459" w:hanging="434"/>
        <w:spacing w:after="0" w:line="228" w:lineRule="exact"/>
        <w:tabs>
          <w:tab w:leader="none" w:pos="1306" w:val="left"/>
        </w:tabs>
        <w:numPr>
          <w:ilvl w:val="0"/>
          <w:numId w:val="36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01" w:lineRule="exact"/>
        <w:rPr>
          <w:rFonts w:ascii="Times New Roman" w:cs="Times New Roman" w:eastAsia="Times New Roman" w:hAnsi="Times New Roman"/>
          <w:sz w:val="18"/>
          <w:szCs w:val="18"/>
          <w:color w:val="auto"/>
        </w:rPr>
      </w:pPr>
    </w:p>
    <w:p>
      <w:pPr>
        <w:ind w:left="1300" w:hanging="414"/>
        <w:spacing w:after="0" w:line="207" w:lineRule="exact"/>
        <w:tabs>
          <w:tab w:leader="none" w:pos="1300" w:val="left"/>
        </w:tabs>
        <w:numPr>
          <w:ilvl w:val="0"/>
          <w:numId w:val="36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17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16" w:lineRule="exact"/>
        <w:rPr>
          <w:sz w:val="20"/>
          <w:szCs w:val="20"/>
          <w:color w:val="auto"/>
        </w:rPr>
      </w:pPr>
    </w:p>
    <w:p>
      <w:pPr>
        <w:ind w:left="880" w:right="459" w:firstLine="6"/>
        <w:spacing w:after="0" w:line="282" w:lineRule="auto"/>
        <w:tabs>
          <w:tab w:leader="none" w:pos="1109" w:val="left"/>
        </w:tabs>
        <w:numPr>
          <w:ilvl w:val="1"/>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94" w:lineRule="exact"/>
        <w:rPr>
          <w:rFonts w:ascii="MS PGothic" w:cs="MS PGothic" w:eastAsia="MS PGothic" w:hAnsi="MS PGothic"/>
          <w:sz w:val="18"/>
          <w:szCs w:val="18"/>
          <w:color w:val="auto"/>
        </w:rPr>
      </w:pPr>
    </w:p>
    <w:p>
      <w:pPr>
        <w:jc w:val="both"/>
        <w:ind w:left="880" w:right="459" w:firstLine="6"/>
        <w:spacing w:after="0" w:line="266" w:lineRule="auto"/>
        <w:tabs>
          <w:tab w:leader="none" w:pos="1150" w:val="left"/>
        </w:tabs>
        <w:numPr>
          <w:ilvl w:val="1"/>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94" w:lineRule="exact"/>
        <w:rPr>
          <w:rFonts w:ascii="MS PGothic" w:cs="MS PGothic" w:eastAsia="MS PGothic" w:hAnsi="MS PGothic"/>
          <w:sz w:val="18"/>
          <w:szCs w:val="18"/>
          <w:color w:val="auto"/>
        </w:rPr>
      </w:pPr>
    </w:p>
    <w:p>
      <w:pPr>
        <w:jc w:val="both"/>
        <w:ind w:left="880" w:right="479" w:firstLine="6"/>
        <w:spacing w:after="0" w:line="266" w:lineRule="auto"/>
        <w:tabs>
          <w:tab w:leader="none" w:pos="1101" w:val="left"/>
        </w:tabs>
        <w:numPr>
          <w:ilvl w:val="1"/>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08" w:lineRule="exact"/>
        <w:rPr>
          <w:rFonts w:ascii="MS PGothic" w:cs="MS PGothic" w:eastAsia="MS PGothic" w:hAnsi="MS PGothic"/>
          <w:sz w:val="18"/>
          <w:szCs w:val="18"/>
          <w:color w:val="auto"/>
        </w:rPr>
      </w:pPr>
    </w:p>
    <w:p>
      <w:pPr>
        <w:jc w:val="both"/>
        <w:ind w:left="880" w:right="459" w:firstLine="6"/>
        <w:spacing w:after="0" w:line="266" w:lineRule="auto"/>
        <w:tabs>
          <w:tab w:leader="none" w:pos="1110" w:val="left"/>
        </w:tabs>
        <w:numPr>
          <w:ilvl w:val="1"/>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08" w:lineRule="exact"/>
        <w:rPr>
          <w:rFonts w:ascii="MS PGothic" w:cs="MS PGothic" w:eastAsia="MS PGothic" w:hAnsi="MS PGothic"/>
          <w:sz w:val="18"/>
          <w:szCs w:val="18"/>
          <w:color w:val="auto"/>
        </w:rPr>
      </w:pPr>
    </w:p>
    <w:p>
      <w:pPr>
        <w:ind w:left="880" w:right="479" w:firstLine="6"/>
        <w:spacing w:after="0" w:line="282" w:lineRule="auto"/>
        <w:tabs>
          <w:tab w:leader="none" w:pos="1116" w:val="left"/>
        </w:tabs>
        <w:numPr>
          <w:ilvl w:val="1"/>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80" w:lineRule="exact"/>
        <w:rPr>
          <w:rFonts w:ascii="MS PGothic" w:cs="MS PGothic" w:eastAsia="MS PGothic" w:hAnsi="MS PGothic"/>
          <w:sz w:val="18"/>
          <w:szCs w:val="18"/>
          <w:color w:val="auto"/>
        </w:rPr>
      </w:pPr>
    </w:p>
    <w:p>
      <w:pPr>
        <w:ind w:left="880" w:right="479" w:firstLine="6"/>
        <w:spacing w:after="0" w:line="282" w:lineRule="auto"/>
        <w:tabs>
          <w:tab w:leader="none" w:pos="1090" w:val="left"/>
        </w:tabs>
        <w:numPr>
          <w:ilvl w:val="1"/>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94" w:lineRule="exact"/>
        <w:rPr>
          <w:rFonts w:ascii="MS PGothic" w:cs="MS PGothic" w:eastAsia="MS PGothic" w:hAnsi="MS PGothic"/>
          <w:sz w:val="18"/>
          <w:szCs w:val="18"/>
          <w:color w:val="auto"/>
        </w:rPr>
      </w:pPr>
    </w:p>
    <w:p>
      <w:pPr>
        <w:ind w:left="840" w:hanging="386"/>
        <w:spacing w:after="0"/>
        <w:tabs>
          <w:tab w:leader="none" w:pos="8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ACCOUNTS STATUS</w:t>
      </w:r>
    </w:p>
    <w:p>
      <w:pPr>
        <w:spacing w:after="0" w:line="157" w:lineRule="exact"/>
        <w:rPr>
          <w:rFonts w:ascii="Times New Roman" w:cs="Times New Roman" w:eastAsia="Times New Roman" w:hAnsi="Times New Roman"/>
          <w:sz w:val="18"/>
          <w:szCs w:val="18"/>
          <w:color w:val="auto"/>
        </w:rPr>
      </w:pPr>
    </w:p>
    <w:p>
      <w:pPr>
        <w:ind w:left="1100" w:hanging="214"/>
        <w:spacing w:after="0"/>
        <w:tabs>
          <w:tab w:leader="none" w:pos="1100" w:val="left"/>
        </w:tabs>
        <w:numPr>
          <w:ilvl w:val="1"/>
          <w:numId w:val="36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144" w:lineRule="exact"/>
        <w:rPr>
          <w:rFonts w:ascii="MS PGothic" w:cs="MS PGothic" w:eastAsia="MS PGothic" w:hAnsi="MS PGothic"/>
          <w:sz w:val="18"/>
          <w:szCs w:val="18"/>
          <w:color w:val="auto"/>
        </w:rPr>
      </w:pPr>
    </w:p>
    <w:p>
      <w:pPr>
        <w:ind w:left="840" w:hanging="386"/>
        <w:spacing w:after="0"/>
        <w:tabs>
          <w:tab w:leader="none" w:pos="84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29" w:lineRule="exact"/>
        <w:rPr>
          <w:sz w:val="20"/>
          <w:szCs w:val="20"/>
          <w:color w:val="auto"/>
        </w:rPr>
      </w:pPr>
    </w:p>
    <w:p>
      <w:pPr>
        <w:jc w:val="both"/>
        <w:ind w:left="1320" w:right="459" w:hanging="434"/>
        <w:spacing w:after="0" w:line="228" w:lineRule="exact"/>
        <w:tabs>
          <w:tab w:leader="none" w:pos="1347" w:val="left"/>
        </w:tabs>
        <w:numPr>
          <w:ilvl w:val="0"/>
          <w:numId w:val="36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an “accredited investor” within the meaning of Rule 501(a) under the Securities Act or an 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88" w:lineRule="exact"/>
        <w:rPr>
          <w:rFonts w:ascii="Times New Roman" w:cs="Times New Roman" w:eastAsia="Times New Roman" w:hAnsi="Times New Roman"/>
          <w:sz w:val="18"/>
          <w:szCs w:val="18"/>
          <w:color w:val="auto"/>
        </w:rPr>
      </w:pPr>
    </w:p>
    <w:p>
      <w:pPr>
        <w:ind w:left="1300" w:hanging="414"/>
        <w:spacing w:after="0" w:line="207" w:lineRule="exact"/>
        <w:tabs>
          <w:tab w:leader="none" w:pos="1300" w:val="left"/>
        </w:tabs>
        <w:numPr>
          <w:ilvl w:val="0"/>
          <w:numId w:val="36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a natural person.</w:t>
      </w:r>
    </w:p>
    <w:p>
      <w:pPr>
        <w:spacing w:after="0" w:line="18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5" w:name="page386"/>
    <w:bookmarkEnd w:id="3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08" w:lineRule="exact"/>
        <w:rPr>
          <w:sz w:val="20"/>
          <w:szCs w:val="20"/>
          <w:color w:val="auto"/>
        </w:rPr>
      </w:pPr>
    </w:p>
    <w:p>
      <w:pPr>
        <w:ind w:left="880" w:right="459" w:firstLine="6"/>
        <w:spacing w:after="0" w:line="282" w:lineRule="auto"/>
        <w:tabs>
          <w:tab w:leader="none" w:pos="1098" w:val="left"/>
        </w:tabs>
        <w:numPr>
          <w:ilvl w:val="0"/>
          <w:numId w:val="3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94" w:lineRule="exact"/>
        <w:rPr>
          <w:rFonts w:ascii="MS PGothic" w:cs="MS PGothic" w:eastAsia="MS PGothic" w:hAnsi="MS PGothic"/>
          <w:sz w:val="18"/>
          <w:szCs w:val="18"/>
          <w:color w:val="auto"/>
        </w:rPr>
      </w:pPr>
    </w:p>
    <w:p>
      <w:pPr>
        <w:jc w:val="both"/>
        <w:ind w:left="880" w:right="459" w:firstLine="6"/>
        <w:spacing w:after="0" w:line="254" w:lineRule="auto"/>
        <w:tabs>
          <w:tab w:leader="none" w:pos="1088" w:val="left"/>
        </w:tabs>
        <w:numPr>
          <w:ilvl w:val="0"/>
          <w:numId w:val="3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 or</w:t>
      </w:r>
    </w:p>
    <w:p>
      <w:pPr>
        <w:spacing w:after="0" w:line="107" w:lineRule="exact"/>
        <w:rPr>
          <w:rFonts w:ascii="MS PGothic" w:cs="MS PGothic" w:eastAsia="MS PGothic" w:hAnsi="MS PGothic"/>
          <w:sz w:val="18"/>
          <w:szCs w:val="18"/>
          <w:color w:val="auto"/>
        </w:rPr>
      </w:pPr>
    </w:p>
    <w:p>
      <w:pPr>
        <w:jc w:val="both"/>
        <w:ind w:left="880" w:right="459" w:firstLine="6"/>
        <w:spacing w:after="0" w:line="266" w:lineRule="auto"/>
        <w:tabs>
          <w:tab w:leader="none" w:pos="1088" w:val="left"/>
        </w:tabs>
        <w:numPr>
          <w:ilvl w:val="0"/>
          <w:numId w:val="3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6" w:name="page387"/>
    <w:bookmarkEnd w:id="3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SUPPORT AGREEMENT</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PARENT SUPPORT AGREEMENT, dated as of October __,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among FS Development Corp.,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Gemini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each of the stockholders of Parent whose names appear on the signature pages of this Agreement (each, a “</w:t>
      </w:r>
      <w:r>
        <w:rPr>
          <w:rFonts w:ascii="Times New Roman" w:cs="Times New Roman" w:eastAsia="Times New Roman" w:hAnsi="Times New Roman"/>
          <w:sz w:val="18"/>
          <w:szCs w:val="18"/>
          <w:u w:val="single" w:color="auto"/>
          <w:color w:val="auto"/>
        </w:rPr>
        <w:t>Founder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Capitalized terms used herein and not otherwise defined will have the meaning given such terms in the Merger Agreement (as defined below).</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WHEREAS, concurrently herewith, Parent, FSG Merger Sub, Inc., a Delaware corporation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FS Development Holdings, LLC, a Delaware limited liability company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Shareholder Representative Services LLC, a Colorado limited liability company, as the Stockholders’ Representative, and the Company, are entering into that certain Agreement and Plan of Merger (as amended, supplemented or otherwise modified from time to time in accordance with its terms,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Merger Sub will merge with and into the Company, with the Company as the surviving company in the merger and, after giving effect to such merger, becoming a wholly-owned Subsidiary of Parent;</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WHEREAS, as of the date hereof, each Founder owns of record the number of Parent Class A Shares and Parent Class B Shares as set forth opposite such Founder’s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(all such Parent Class A Shares and Parent Class B Shares and the Parent Class A Shares and Parent Class B Shares of which ownership of record or the power to vote is hereafter acquired by the Founders prior to the termination of this Agreement being referred to herein as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in order to induce Parent and the Company to enter into the Merger Agreement, the Founders are executing and delivering this Agreement to Parent and the Company.</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of the mutual covenants and agreements contained herein, and intending to be legally bound hereby, each of the Founders (severally and not jointly), the Company and Parent hereby agrees as follows:</w:t>
      </w:r>
    </w:p>
    <w:p>
      <w:pPr>
        <w:spacing w:after="0" w:line="95" w:lineRule="exact"/>
        <w:rPr>
          <w:sz w:val="20"/>
          <w:szCs w:val="20"/>
          <w:color w:val="auto"/>
        </w:rPr>
      </w:pPr>
    </w:p>
    <w:p>
      <w:pPr>
        <w:jc w:val="both"/>
        <w:ind w:left="460" w:right="459" w:firstLine="426"/>
        <w:spacing w:after="0" w:line="255" w:lineRule="auto"/>
        <w:tabs>
          <w:tab w:leader="none" w:pos="1072"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Each Founder, by this Agreement, with respect to its Shares, hereby agrees to vote, at any meeting of the stockholders of Parent, and in any action by written consent of the stockholders of Parent, all of such Founder’s Shares (a) in favor of the approval and adoption of the Merger Agreement, each of the Parent Proposals, the transactions contemplated by the Merger Agreement and this Agreement, and (b) in favor of any other matter reasonably necessary to the consummation of the transactions contemplated by the Merger Agreement, the approval of the Parent Proposals and considered and voted upon by the stockholders of Parent in connection therewith. Each Founder acknowledges receipt and review of a copy of the Merger Agreement.</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7" w:lineRule="auto"/>
        <w:tabs>
          <w:tab w:leader="none" w:pos="1072"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Each of the Founders agrees that it shall not, directly or indirectly, (a) sell, assign, transfer (including by operation of law), lien, pledge, dispose of or otherwise encumber any of the Shares or otherwise agree to do any of the foregoing (unless the transferee agrees to be bound by this Agreement),</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72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Shares into a voting trust or enter into a voting agreement or arrangement or grant any proxy or power of attorney with respect thereto that is inconsistent with this Agreement, (c) enter into any contract, option or other arrangement or undertaking with respect to the direct or indirect acquisition or sale, assignment, transfer (including by operation of law) or other disposition of any Shares (unless the transferee agrees to be bound by this Agreement) or (d) take any action that would have the effect of preventing or disabling the Founder from performing its obligations hereunder.</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99"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Anti-Dilution Provision</w:t>
      </w:r>
      <w:r>
        <w:rPr>
          <w:rFonts w:ascii="Times New Roman" w:cs="Times New Roman" w:eastAsia="Times New Roman" w:hAnsi="Times New Roman"/>
          <w:sz w:val="18"/>
          <w:szCs w:val="18"/>
          <w:color w:val="auto"/>
        </w:rPr>
        <w:t>. Each Founder hereby (but subject to the consummation of the Merger) waives (for itself, for its successors, heirs and assigns), to the fullest extent permitted by law and the amended and restated certificate of incorporation of Parent (as may be amended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xml:space="preserve">”), the provisions of Section 4.3(b)(i) of the Certificate of Incorporation to have the Parent Class B Shares convert to Parent Class A Shares at a ratio of greater than one-for-one. The waiver specified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applicable only in connection with the transactions contemplated by the Merger Agreement and this Agreement (and any shares of Class A Common Stock or equity-linked securities issued in connection with the transactions contemplated by the Merger Agreement and this Agreement) and shall be void and of no force and effect if the Merger Agreement shall be terminated for any reason.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7" w:name="page388"/>
    <w:bookmarkEnd w:id="3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6" w:lineRule="auto"/>
        <w:tabs>
          <w:tab w:leader="none" w:pos="1112"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Unpaid Parent Liabilities</w:t>
      </w:r>
      <w:r>
        <w:rPr>
          <w:rFonts w:ascii="Times New Roman" w:cs="Times New Roman" w:eastAsia="Times New Roman" w:hAnsi="Times New Roman"/>
          <w:sz w:val="18"/>
          <w:szCs w:val="18"/>
          <w:color w:val="auto"/>
        </w:rPr>
        <w:t>. Sponsor agrees that in the event the Unpaid Parent Liabilities as of immediately prior to the Closing are greater than the $11,500,000 (the “</w:t>
      </w:r>
      <w:r>
        <w:rPr>
          <w:rFonts w:ascii="Times New Roman" w:cs="Times New Roman" w:eastAsia="Times New Roman" w:hAnsi="Times New Roman"/>
          <w:sz w:val="18"/>
          <w:szCs w:val="18"/>
          <w:u w:val="single" w:color="auto"/>
          <w:color w:val="auto"/>
        </w:rPr>
        <w:t>Maximum Liability Amount</w:t>
      </w:r>
      <w:r>
        <w:rPr>
          <w:rFonts w:ascii="Times New Roman" w:cs="Times New Roman" w:eastAsia="Times New Roman" w:hAnsi="Times New Roman"/>
          <w:sz w:val="18"/>
          <w:szCs w:val="18"/>
          <w:color w:val="auto"/>
        </w:rPr>
        <w:t>”), Sponsor will either (a) forfeit for cancellation such number of whole Parent Class B Shares equal in value to the excess of the Maximum Liability Amount divided by $10.00 or (b) pay to Parent at the Closing an amount equal to the difference between the Unpaid Parent Liabilities as of immediately prior to the Closing minus the Maximum Liability Amount.</w:t>
      </w:r>
    </w:p>
    <w:p>
      <w:pPr>
        <w:spacing w:after="0" w:line="119"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Founder, severally and not jointly, represents and warrants to the Company as follows: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35"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Founder of this Agreement and the consummation by such Founder of the transactions contemplated hereby do not and will not (i) conflict with or violate any Law or Order applicable to such Founder, (ii) require any consent, approval or authorization of, declaration, filing or registration with, or notice to, any person or entity, (iii) result in the creation of any Lien on any Shares (other than pursuant to this Agreement or transfer restrictions under applicable securities laws or certificate of incorporation or operating agreement, if any (the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of such Founder) or (iv) conflict with or result in a breach of or constitute a default under any provision of such Founder’s Organizational Documents</w:t>
      </w:r>
    </w:p>
    <w:p>
      <w:pPr>
        <w:spacing w:after="0" w:line="110"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7"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Founder owns of record and has good, valid and marketable title to the Shares set forth opposite the Founder’s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free and clear of any Lien (other than pursuant to this Agreement or transfer restrictions under applicable securities laws or the Organizational Documents of such Founder) and has the sole power (as currently in effect) to vote and full right, power and authority to sell, transfer and deliver such Shares, and such Founder does not own, directly or indirectly, any other Shares.</w:t>
      </w:r>
    </w:p>
    <w:p>
      <w:pPr>
        <w:spacing w:after="0" w:line="11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15"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Founder has the power, authority and capacity to execute, deliver and perform this Agreement and that this Agreement has been duly authorized, executed and delivered by such Founder.</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99"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the obligations of Sponsor and each of the Founders under this Agreement shall automatically terminate upon the earliest of: (a) the Effective Time; (b) the termination of the Merger Agreement in accordance with its terms; and (c) the mutual agreement of the Company and Sponsor.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06"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14"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or in the Merger Agreement, all costs and expenses incurred in connection with this Agreement and the transactions contemplated hereby shall be paid by the party incurring such costs and expenses, whether or not the transactions contemplated hereby are consummated.</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9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claims, demands and other communications hereunder shall be in writing and shall be given (and shall be deemed to have been duly given upon receipt) by delivery in person, by telecopy or e-mail or by registered or certified mail (postage prepaid, return receipt requested)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8" w:name="page389"/>
    <w:bookmarkEnd w:id="3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Mitchell S. Bloom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Laurie A. Burlingame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1320"/>
        <w:spacing w:after="0"/>
        <w:tabs>
          <w:tab w:leader="none" w:pos="20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mbloom@goodwinlaw.com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lburlingame@goodwinlaw.com</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if to Parent or Merger Sub:</w:t>
      </w: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jim@foresitecapital.com</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White&amp; Case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26" w:lineRule="exact"/>
        <w:rPr>
          <w:sz w:val="20"/>
          <w:szCs w:val="20"/>
          <w:color w:val="auto"/>
        </w:rPr>
      </w:pPr>
    </w:p>
    <w:p>
      <w:pPr>
        <w:ind w:left="1320" w:right="459"/>
        <w:spacing w:after="0" w:line="282" w:lineRule="auto"/>
        <w:rPr>
          <w:sz w:val="20"/>
          <w:szCs w:val="20"/>
          <w:color w:val="auto"/>
        </w:rPr>
      </w:pPr>
      <w:r>
        <w:rPr>
          <w:rFonts w:ascii="Times New Roman" w:cs="Times New Roman" w:eastAsia="Times New Roman" w:hAnsi="Times New Roman"/>
          <w:sz w:val="18"/>
          <w:szCs w:val="18"/>
          <w:color w:val="auto"/>
        </w:rPr>
        <w:t>if to a Founder, to the address or facsimile number set forth for Founder on the signature page hereof.</w:t>
      </w:r>
    </w:p>
    <w:p>
      <w:pPr>
        <w:spacing w:after="0" w:line="94" w:lineRule="exact"/>
        <w:rPr>
          <w:sz w:val="20"/>
          <w:szCs w:val="20"/>
          <w:color w:val="auto"/>
        </w:rPr>
      </w:pPr>
    </w:p>
    <w:p>
      <w:pPr>
        <w:jc w:val="both"/>
        <w:ind w:left="460" w:right="479" w:firstLine="858"/>
        <w:spacing w:after="0" w:line="254" w:lineRule="auto"/>
        <w:tabs>
          <w:tab w:leader="none" w:pos="156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0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Merger Agreement and the Additional Agreements constitute the entire agreement among the parties with respect to the subject matter hereof and supersede all prior agreements and undertakings, both written and oral, among the parties, or any of them, with respect to the subject matter hereof. This Agreement shall not be assigned (whether pursuant to a merger, by operation of law or otherwise).</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81"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No Founder shall be liable for the breach by any other Founder of this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68"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may occur in the event any provision of this Agreement was not performed in accordance with the terms hereof and that the parties shall be entitled to seek specific performance of the terms hereof, in addition to any other remedy at law or in equity.</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81"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applicable to contracts executed in and to be performed in that State. All Actions arising out of or relating to this Agreement shall be 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9" w:name="page390"/>
    <w:bookmarkEnd w:id="3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16" w:lineRule="exact"/>
        <w:rPr>
          <w:sz w:val="20"/>
          <w:szCs w:val="20"/>
          <w:color w:val="auto"/>
        </w:rPr>
      </w:pPr>
    </w:p>
    <w:p>
      <w:pPr>
        <w:jc w:val="both"/>
        <w:ind w:left="460" w:right="459" w:firstLine="858"/>
        <w:spacing w:after="0" w:line="261" w:lineRule="auto"/>
        <w:tabs>
          <w:tab w:leader="none" w:pos="1597"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and delivered (including by facsimile or portable document format (pdf) transmission) in one or more counterparts, and by the different parties hereto in separate counterparts, each of which when executed shall be deemed to be an original but all of which taken together shall constitute one and the same agreement.</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5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further consideration, each party shall use commercially reasonable efforts to execute and deliver or cause to be executed and delivered such additional documents and instruments and take all such further action as may be reasonably necessary or desirable to consummate the transactions contemplated by this Agreement.</w:t>
      </w:r>
    </w:p>
    <w:p>
      <w:pPr>
        <w:spacing w:after="0" w:line="9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58"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 effective or binding upon the Company, Sponsor or any Founder until such time as the Merger Agreement is executed.</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55" w:lineRule="auto"/>
        <w:tabs>
          <w:tab w:leader="none" w:pos="1596"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Paragraph (k).</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0" w:name="page391"/>
    <w:bookmarkEnd w:id="3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3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35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225425</wp:posOffset>
            </wp:positionV>
            <wp:extent cx="263144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1" w:name="page392"/>
    <w:bookmarkEnd w:id="3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as of the date first written above.</w:t>
      </w: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FOUNDERS: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w:t>
      </w:r>
    </w:p>
    <w:p>
      <w:pPr>
        <w:spacing w:after="0" w:line="77"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Robert Carey</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Daniel Dubin</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Address:</w:t>
      </w:r>
    </w:p>
    <w:p>
      <w:pPr>
        <w:spacing w:after="0" w:line="1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Deepa Pakianathan</w:t>
      </w:r>
    </w:p>
    <w:p>
      <w:pPr>
        <w:spacing w:after="0" w:line="20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51435</wp:posOffset>
            </wp:positionV>
            <wp:extent cx="210883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Address: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Parent Support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2" w:name="page393"/>
    <w:bookmarkEnd w:id="3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FOUNDERS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40" w:type="dxa"/>
            <w:vAlign w:val="bottom"/>
          </w:tcPr>
          <w:p>
            <w:pPr>
              <w:spacing w:after="0"/>
              <w:rPr>
                <w:sz w:val="17"/>
                <w:szCs w:val="17"/>
                <w:color w:val="auto"/>
              </w:rPr>
            </w:pP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Parent</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Class A    Parent Class B</w:t>
            </w:r>
          </w:p>
        </w:tc>
      </w:tr>
      <w:tr>
        <w:trPr>
          <w:trHeight w:val="203"/>
        </w:trPr>
        <w:tc>
          <w:tcPr>
            <w:tcW w:w="5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12"/>
        </w:trPr>
        <w:tc>
          <w:tcPr>
            <w:tcW w:w="6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Founder</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46"/>
        </w:trPr>
        <w:tc>
          <w:tcPr>
            <w:tcW w:w="5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FS Development Holdings, LLC</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441,500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2,928,750</w:t>
            </w:r>
          </w:p>
        </w:tc>
      </w:tr>
      <w:tr>
        <w:trPr>
          <w:trHeight w:val="24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41"/>
        </w:trPr>
        <w:tc>
          <w:tcPr>
            <w:tcW w:w="5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6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Dubin</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Deepa Pakianathan</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3" w:name="page394"/>
    <w:bookmarkEnd w:id="3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VOTING AGREEMENT</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VOTING AGREEMENT dated as of [•], 2020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FS Development Holdings, LLC, a Delaware limited liability company (“</w:t>
      </w:r>
      <w:r>
        <w:rPr>
          <w:rFonts w:ascii="Times New Roman" w:cs="Times New Roman" w:eastAsia="Times New Roman" w:hAnsi="Times New Roman"/>
          <w:sz w:val="18"/>
          <w:szCs w:val="18"/>
          <w:u w:val="single" w:color="auto"/>
          <w:color w:val="auto"/>
        </w:rPr>
        <w:t>FS Sponsor</w:t>
      </w:r>
      <w:r>
        <w:rPr>
          <w:rFonts w:ascii="Times New Roman" w:cs="Times New Roman" w:eastAsia="Times New Roman" w:hAnsi="Times New Roman"/>
          <w:sz w:val="18"/>
          <w:szCs w:val="18"/>
          <w:color w:val="auto"/>
        </w:rPr>
        <w:t>”), Gemini Therapeutics, Inc., a Delaware corporation formerly known as FS Development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individuals and entities executing a counterpart signature page to this Agreement (each, a “</w:t>
      </w:r>
      <w:r>
        <w:rPr>
          <w:rFonts w:ascii="Times New Roman" w:cs="Times New Roman" w:eastAsia="Times New Roman" w:hAnsi="Times New Roman"/>
          <w:sz w:val="18"/>
          <w:szCs w:val="18"/>
          <w:u w:val="single" w:color="auto"/>
          <w:color w:val="auto"/>
        </w:rPr>
        <w:t>Voting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Voting 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WHEREAS, reference is made to that certain Agreement and Plan of Merger, dated as of October [•], 2020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FSG Merger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FS Development Holdings, LLC, a Delaware limited liability company, Shareholder Representative Services LLC, a Colorado limited liability company, as the Stockholders’ Representative, and Gemini Therapeutics, Inc., a Delaware corporation (the “</w:t>
      </w:r>
      <w:r>
        <w:rPr>
          <w:rFonts w:ascii="Times New Roman" w:cs="Times New Roman" w:eastAsia="Times New Roman" w:hAnsi="Times New Roman"/>
          <w:sz w:val="18"/>
          <w:szCs w:val="18"/>
          <w:u w:val="single" w:color="auto"/>
          <w:color w:val="auto"/>
        </w:rPr>
        <w:t>Gemini</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all capitalized terms used, but not otherwise defined herein, shall have the meanings ascribed to such terms in the Merger Agreement;</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WHEREAS, pursuant to the Merger Agreement and simultaneously with the execution and delivery of this Agreement, Merger Sub is being merged with and into Gemini, with Gemini being the Surviving Corporation, as a result of which Gemini will be the wholly-owned subsidiary of the Company; and</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WHEREAS, the execution and delivery of this Agreement is a condition to the closing of the Merger and the other transactions contemplated by the Merger Agreement.</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mutual covenants and agreements set forth herein, and other good and valuable consideration, the receipt and sufficiency of which are hereby acknowledged, FS Sponsor, the Company and each Voting Party intending to be legally bound,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58" w:lineRule="exact"/>
        <w:rPr>
          <w:sz w:val="20"/>
          <w:szCs w:val="20"/>
          <w:color w:val="auto"/>
        </w:rPr>
      </w:pPr>
    </w:p>
    <w:p>
      <w:pPr>
        <w:jc w:val="both"/>
        <w:ind w:left="460" w:right="479" w:firstLine="426"/>
        <w:spacing w:after="0" w:line="262" w:lineRule="auto"/>
        <w:tabs>
          <w:tab w:leader="none" w:pos="108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 to Vote</w:t>
      </w:r>
      <w:r>
        <w:rPr>
          <w:rFonts w:ascii="Times New Roman" w:cs="Times New Roman" w:eastAsia="Times New Roman" w:hAnsi="Times New Roman"/>
          <w:sz w:val="18"/>
          <w:szCs w:val="18"/>
          <w:color w:val="auto"/>
        </w:rPr>
        <w:t>. During the Term (as defined below), each Voting Party agrees to vote all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of the Company that it owns from time to time and may vote in the election of the Company’s directors (collectively, “</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in accordance with the provisions of this Agreement, whether at a regular or special meeting of stockholders or by written consent.</w:t>
      </w:r>
    </w:p>
    <w:p>
      <w:pPr>
        <w:spacing w:after="0" w:line="108"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2.1 Immediately following the consummation of the Merger, or as soon as practicable thereafter, the Company board of directors (the “Board”) will be comprised of seven (7) directors, which shall be divided into three (3) classes, designated Class I, II and III, with Class I consisting of [•] Directors, Class II consisting of [•] Directors and Class III consisting of [•] Directors. [•], [•], [•] and [•] shall constitute the initial members of Class I and shall be nominated in Class I, the members of which shall have an initial term that expires at the annual meeting of stockholders of the Company held in 2021; [•], [•] and [•] shall constitute the initial members of Class II and shall be nominated in Class II, the members of which shall have an initial term that expires at the annual meeting of stockholders of the Company held in 2022; and [•], [•] and [•] shall constitute the initial members of Class III and shall be nominated in Class III, the members of which shall have an initial term that expires at the annual meeting of stockholders held in 2023.</w:t>
      </w:r>
    </w:p>
    <w:p>
      <w:pPr>
        <w:spacing w:after="0" w:line="12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full seven (7) member Board will be comprised of Jason Meyenberg, Jim Tananbaum, Carl Gordon and four (4) other members of the Gemini board of directors.</w:t>
      </w:r>
    </w:p>
    <w:p>
      <w:pPr>
        <w:spacing w:after="0" w:line="94"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2.2 Until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anniversary of the date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at each annual or special meeting of stockholders of the Company, FS Sponsor shall have the right to designate for election as a member of the Board, and the Board (including any committee thereof) shall nominate (and recommend for election and include such recommendation in a timely manner in any proxy statement, consent solicitation or other applicable announcement to the Company’s stockholders), one (1) individual to serve as a Class III Director; provided, however, if at any time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4" w:name="page395"/>
    <w:bookmarkEnd w:id="3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during such five-year period the FS Sponsor owns less than [•] shares of Class A Common Stock of the Company (as adjusted for any share split, share dividend or other share recapitalization, share exchange or other event), the rights of the FS Sponsor and obligations of the Board under this Section 2.2 shall automatically terminate.</w:t>
      </w:r>
    </w:p>
    <w:p>
      <w:pPr>
        <w:spacing w:after="0" w:line="112"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 xml:space="preserve">2.3 Provisions relating to authority to appoint four (4) of the Gemini directors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be determined by Gemini’s current board of directors at its sole discretion.</w:t>
      </w:r>
    </w:p>
    <w:p>
      <w:pPr>
        <w:spacing w:after="0" w:line="94" w:lineRule="exact"/>
        <w:rPr>
          <w:sz w:val="20"/>
          <w:szCs w:val="20"/>
          <w:color w:val="auto"/>
        </w:rPr>
      </w:pPr>
    </w:p>
    <w:p>
      <w:pPr>
        <w:jc w:val="both"/>
        <w:ind w:left="460" w:right="459" w:firstLine="864"/>
        <w:spacing w:after="0" w:line="258" w:lineRule="auto"/>
        <w:rPr>
          <w:sz w:val="20"/>
          <w:szCs w:val="20"/>
          <w:color w:val="auto"/>
        </w:rPr>
      </w:pPr>
      <w:r>
        <w:rPr>
          <w:rFonts w:ascii="Times New Roman" w:cs="Times New Roman" w:eastAsia="Times New Roman" w:hAnsi="Times New Roman"/>
          <w:sz w:val="18"/>
          <w:szCs w:val="18"/>
          <w:color w:val="auto"/>
        </w:rPr>
        <w:t>2.4 If FS Sponsor or [•] cease to be entitled to nominate any Directors in accordance with Section 2.2 or Section 2.3, then such Directors shall be nominated by the Board and approved by the holders of the outstanding shares of Common Stock. All Directors shall hold office, subject to their earlier death, resignation or removal in accordance with this Agreement and applicable law, until their respective successors shall have been elected and qualified.</w:t>
      </w:r>
    </w:p>
    <w:p>
      <w:pPr>
        <w:spacing w:after="0" w:line="102"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2.5 All Directors elected in accordance with Section 2.2 or Section 2.3, as applicable, shall be removed from the Board only upon the vote or written consent of the Voting Party that is entitled to nominate, appoint or elect such Director under Section 2.2 or Section 2.3, as applicable. Upon any decrease in the rights of any such Voting Party to nominate, appoint or elect any Director pursuant to Section 2.2 or Section 2.3, as applicable, the applicable Voting Party shall promptly cause the removal or resignation of an applicable number of Directors if requested by the Board. Upon any individual elected as provided in Section 2.2 or Section 2.3, as applicable, ceasing to be a member of the Board, whether by death, resignation or removal or otherwise, only the Voting Party that was entitled to nominate, appoint or elect such individual under Section 2.2 or Section 2.3, as applicable, shall have the right to fill any resulting vacancy in the Board; provided that such Voting Party still has the right to nominate, appoint or elect the applicable Director pursuant to Section 2.2 or Section 2.3, as applicable. If the Company has reduced the size of the Board following such death, resignation or removal or other departure of such individual from the Board, then if requested by any Voting Party entitled to designate a Director pursuant to Section 2.2 or Section 2.3, as applicable, who is not currently serving on the Board, the Company and the Voting Party shall take all actions necessary to increase the size of the Board and nominate, appoint or elect to the resulting vacancy the applicable Director entitled to be designated by such Voting Party pursuant to Section 2.2 or Section 2.3, as applicable.</w:t>
      </w:r>
    </w:p>
    <w:p>
      <w:pPr>
        <w:spacing w:after="0" w:line="123" w:lineRule="exact"/>
        <w:rPr>
          <w:sz w:val="20"/>
          <w:szCs w:val="20"/>
          <w:color w:val="auto"/>
        </w:rPr>
      </w:pPr>
    </w:p>
    <w:p>
      <w:pPr>
        <w:jc w:val="both"/>
        <w:ind w:left="460" w:right="479" w:firstLine="426"/>
        <w:spacing w:after="0" w:line="262" w:lineRule="auto"/>
        <w:tabs>
          <w:tab w:leader="none" w:pos="108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in Interest of the Voting Parties and the Company</w:t>
      </w:r>
      <w:r>
        <w:rPr>
          <w:rFonts w:ascii="Times New Roman" w:cs="Times New Roman" w:eastAsia="Times New Roman" w:hAnsi="Times New Roman"/>
          <w:sz w:val="18"/>
          <w:szCs w:val="18"/>
          <w:color w:val="auto"/>
        </w:rPr>
        <w:t>. The provisions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binding upon the successors in interest of any Voting Party with respect to any of such Voting Party’s Voting Shares or any voting rights therein, unless the Voting Shares are sold on a national securities exchange on which the Company common stock is listed for trading on the date in question (the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2" w:lineRule="auto"/>
        <w:tabs>
          <w:tab w:leader="none" w:pos="108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Proxy</w:t>
      </w:r>
      <w:r>
        <w:rPr>
          <w:rFonts w:ascii="Times New Roman" w:cs="Times New Roman" w:eastAsia="Times New Roman" w:hAnsi="Times New Roman"/>
          <w:sz w:val="18"/>
          <w:szCs w:val="18"/>
          <w:color w:val="auto"/>
        </w:rPr>
        <w:t>. The parties agree that this Agreement does not constitute the granting of a proxy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party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should the provisions of this Agreement be construed to constitute the granting of proxies, such proxies shall be deemed coupled with an interest and are irrevocable for the term of this Agreement.</w:t>
      </w:r>
    </w:p>
    <w:p>
      <w:pPr>
        <w:spacing w:after="0" w:line="95"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8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Specific Enforcement</w:t>
      </w:r>
      <w:r>
        <w:rPr>
          <w:rFonts w:ascii="Times New Roman" w:cs="Times New Roman" w:eastAsia="Times New Roman" w:hAnsi="Times New Roman"/>
          <w:sz w:val="18"/>
          <w:szCs w:val="18"/>
          <w:color w:val="auto"/>
        </w:rPr>
        <w:t>. It is agreed and understood that (a) monetary damages would not adequately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compensate an injured party for the breach of this Agreement by any party hereto, (b) this Agreement shall be specifically enforceable and (c) any breach of this Agreement shall be the proper subject of a temporary or permanent injunction or restraining order. Further, each party hereto waives any claim or defense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spacing w:after="0" w:line="115" w:lineRule="exact"/>
        <w:rPr>
          <w:rFonts w:ascii="Times New Roman" w:cs="Times New Roman" w:eastAsia="Times New Roman" w:hAnsi="Times New Roman"/>
          <w:sz w:val="18"/>
          <w:szCs w:val="18"/>
          <w:color w:val="auto"/>
        </w:rPr>
      </w:pPr>
    </w:p>
    <w:p>
      <w:pPr>
        <w:ind w:left="460" w:right="479" w:firstLine="426"/>
        <w:spacing w:after="0" w:line="286" w:lineRule="auto"/>
        <w:tabs>
          <w:tab w:leader="none" w:pos="108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Manner of Voting</w:t>
      </w:r>
      <w:r>
        <w:rPr>
          <w:rFonts w:ascii="Times New Roman" w:cs="Times New Roman" w:eastAsia="Times New Roman" w:hAnsi="Times New Roman"/>
          <w:sz w:val="18"/>
          <w:szCs w:val="18"/>
          <w:color w:val="auto"/>
        </w:rPr>
        <w:t>. The voting of the Voting Shares pursuant to this Agreement may be effected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by proxy, by written consent or in any other manner permitted by applicable law.</w:t>
      </w:r>
    </w:p>
    <w:p>
      <w:pPr>
        <w:spacing w:after="0" w:line="8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shall terminate on the last day of the Term.</w:t>
      </w:r>
    </w:p>
    <w:p>
      <w:pPr>
        <w:spacing w:after="0" w:line="144" w:lineRule="exact"/>
        <w:rPr>
          <w:rFonts w:ascii="Times New Roman" w:cs="Times New Roman" w:eastAsia="Times New Roman" w:hAnsi="Times New Roman"/>
          <w:sz w:val="18"/>
          <w:szCs w:val="18"/>
          <w:color w:val="auto"/>
        </w:rPr>
      </w:pPr>
    </w:p>
    <w:p>
      <w:pPr>
        <w:jc w:val="both"/>
        <w:ind w:left="460" w:right="479" w:firstLine="426"/>
        <w:spacing w:after="0" w:line="268" w:lineRule="auto"/>
        <w:tabs>
          <w:tab w:leader="none" w:pos="108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and Waivers</w:t>
      </w:r>
      <w:r>
        <w:rPr>
          <w:rFonts w:ascii="Times New Roman" w:cs="Times New Roman" w:eastAsia="Times New Roman" w:hAnsi="Times New Roman"/>
          <w:sz w:val="18"/>
          <w:szCs w:val="18"/>
          <w:color w:val="auto"/>
        </w:rPr>
        <w:t>. Except as otherwise provided herein, any provision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or the observance thereof may be waived (either generally or in a particular instance and either retroactively or prospectively) only with the written consent of the Company, FS Sponsor and [•].</w:t>
      </w:r>
    </w:p>
    <w:p>
      <w:pPr>
        <w:spacing w:after="0" w:line="103" w:lineRule="exact"/>
        <w:rPr>
          <w:rFonts w:ascii="Times New Roman" w:cs="Times New Roman" w:eastAsia="Times New Roman" w:hAnsi="Times New Roman"/>
          <w:sz w:val="18"/>
          <w:szCs w:val="18"/>
          <w:color w:val="auto"/>
        </w:rPr>
      </w:pPr>
    </w:p>
    <w:p>
      <w:pPr>
        <w:jc w:val="both"/>
        <w:ind w:left="460" w:right="459" w:firstLine="426"/>
        <w:spacing w:after="0" w:line="268" w:lineRule="auto"/>
        <w:tabs>
          <w:tab w:leader="none" w:pos="108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Splits, Stock Dividends, etc</w:t>
      </w:r>
      <w:r>
        <w:rPr>
          <w:rFonts w:ascii="Times New Roman" w:cs="Times New Roman" w:eastAsia="Times New Roman" w:hAnsi="Times New Roman"/>
          <w:sz w:val="18"/>
          <w:szCs w:val="18"/>
          <w:color w:val="auto"/>
        </w:rPr>
        <w:t>. In the event of any stock split, stock dividend, recapitalization,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reorganization or the like, any securities issued with respect to Voting Shares held by the Voting Parties shall become Voting Shares for purposes of this Agreement.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5" w:name="page396"/>
    <w:bookmarkEnd w:id="3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26"/>
        <w:spacing w:after="0" w:line="268" w:lineRule="auto"/>
        <w:tabs>
          <w:tab w:leader="none" w:pos="122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the event that any provision of the Agreement shall be invalid, illegal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the validity, legality and enforceability of the remaining provisions shall not in any way be affected or impaired thereby.</w:t>
      </w:r>
    </w:p>
    <w:p>
      <w:pPr>
        <w:spacing w:after="0" w:line="103" w:lineRule="exact"/>
        <w:rPr>
          <w:rFonts w:ascii="Times New Roman" w:cs="Times New Roman" w:eastAsia="Times New Roman" w:hAnsi="Times New Roman"/>
          <w:sz w:val="18"/>
          <w:szCs w:val="18"/>
          <w:color w:val="auto"/>
        </w:rPr>
      </w:pPr>
    </w:p>
    <w:p>
      <w:pPr>
        <w:jc w:val="both"/>
        <w:ind w:left="460" w:right="479" w:firstLine="426"/>
        <w:spacing w:after="0" w:line="268" w:lineRule="auto"/>
        <w:tabs>
          <w:tab w:leader="none" w:pos="116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the legal relations between the parties arising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governed by and interpreted in accordance with the laws of the State of Delaware without reference to its conflicts of law provisions.</w:t>
      </w:r>
    </w:p>
    <w:p>
      <w:pPr>
        <w:spacing w:after="0" w:line="103" w:lineRule="exact"/>
        <w:rPr>
          <w:rFonts w:ascii="Times New Roman" w:cs="Times New Roman" w:eastAsia="Times New Roman" w:hAnsi="Times New Roman"/>
          <w:sz w:val="18"/>
          <w:szCs w:val="18"/>
          <w:color w:val="auto"/>
        </w:rPr>
      </w:pPr>
    </w:p>
    <w:p>
      <w:pPr>
        <w:jc w:val="both"/>
        <w:ind w:left="460" w:right="459" w:firstLine="426"/>
        <w:spacing w:after="0" w:line="259" w:lineRule="auto"/>
        <w:tabs>
          <w:tab w:leader="none" w:pos="1162"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Counterparts; Electronic Execution or Delivery</w:t>
      </w:r>
      <w:r>
        <w:rPr>
          <w:rFonts w:ascii="Times New Roman" w:cs="Times New Roman" w:eastAsia="Times New Roman" w:hAnsi="Times New Roman"/>
          <w:sz w:val="18"/>
          <w:szCs w:val="18"/>
          <w:color w:val="auto"/>
        </w:rPr>
        <w:t>. This Agreement may be executed in two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be deemed an original and all of which together shall constitute one instrument. This Agreement may be executed electronically; any executed counterpart of this Agreement may be delivered by facsimile or electronic mail; and any such electronically executed or delivered copy of a counterpart signature page shall have the same force and effect as an originally executed copy hereof.</w:t>
      </w:r>
    </w:p>
    <w:p>
      <w:pPr>
        <w:spacing w:after="0" w:line="98" w:lineRule="exact"/>
        <w:rPr>
          <w:rFonts w:ascii="Times New Roman" w:cs="Times New Roman" w:eastAsia="Times New Roman" w:hAnsi="Times New Roman"/>
          <w:sz w:val="18"/>
          <w:szCs w:val="18"/>
          <w:color w:val="auto"/>
        </w:rPr>
      </w:pPr>
    </w:p>
    <w:p>
      <w:pPr>
        <w:ind w:left="460" w:right="479" w:firstLine="426"/>
        <w:spacing w:after="0" w:line="286" w:lineRule="auto"/>
        <w:tabs>
          <w:tab w:leader="none" w:pos="117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Except as otherwise expressly provided in this Agreement,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shall inure to the benefit of, and be binding upon, the successors and assigns of the parties hereto.</w:t>
      </w:r>
    </w:p>
    <w:p>
      <w:pPr>
        <w:spacing w:after="0" w:line="87" w:lineRule="exact"/>
        <w:rPr>
          <w:rFonts w:ascii="Times New Roman" w:cs="Times New Roman" w:eastAsia="Times New Roman" w:hAnsi="Times New Roman"/>
          <w:sz w:val="18"/>
          <w:szCs w:val="18"/>
          <w:color w:val="auto"/>
        </w:rPr>
      </w:pPr>
    </w:p>
    <w:p>
      <w:pPr>
        <w:jc w:val="both"/>
        <w:ind w:left="460" w:right="459" w:firstLine="426"/>
        <w:spacing w:after="0" w:line="262" w:lineRule="auto"/>
        <w:tabs>
          <w:tab w:leader="none" w:pos="1189"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constitutes the full and entire understanding and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parties, and supersedes any prior agreement or understanding among the parties, with regard to the subject hereof, and no party shall be liable or bound to any other party in any manner by any warranties, representations or covenants except as specifically set forth herein or therein.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6" w:name="page397"/>
    <w:bookmarkEnd w:id="3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this Voting Agreement is hereby executed effective as of the date first set forth above.</w:t>
      </w:r>
    </w:p>
    <w:p>
      <w:pPr>
        <w:spacing w:after="0" w:line="1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FS Development Holdings,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51435</wp:posOffset>
            </wp:positionV>
            <wp:extent cx="236601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18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9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a Delaware corporation f/k/a FS Development Corp.</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51435</wp:posOffset>
            </wp:positionV>
            <wp:extent cx="236601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7" w:name="page398"/>
    <w:bookmarkEnd w:id="3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VOTING PARTIES:</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VENTURES,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LIGHTSTONE SINGAPORE,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LSV Associates,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8" w:name="page399"/>
    <w:bookmarkEnd w:id="3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Capital GP VI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OrbiMed Advisors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Managing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ATLAS VENTURE FUND X, L.P.</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L.P.</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Atlas Venture Associates X,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w:t>
      </w:r>
    </w:p>
    <w:p>
      <w:pPr>
        <w:spacing w:after="0" w:line="19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WU CAPITAL INVESTMENT LLC</w:t>
      </w:r>
    </w:p>
    <w:p>
      <w:pPr>
        <w:spacing w:after="0" w:line="2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Wu Capital Investment LLC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Director</w:t>
      </w:r>
    </w:p>
    <w:p>
      <w:pPr>
        <w:spacing w:after="0" w:line="19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9" w:name="page400"/>
    <w:bookmarkEnd w:id="3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ESCROW AGREEMENT</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THIS ESCROW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 2020,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FS Development Holdings, LLC, a Delaware limited liability company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FS Development Corp.,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Shareholder Representative Services LLC, a Colorado limited liability company solely in its capacity as the representative of the Company Securityholders (the “</w:t>
      </w:r>
      <w:r>
        <w:rPr>
          <w:rFonts w:ascii="Times New Roman" w:cs="Times New Roman" w:eastAsia="Times New Roman" w:hAnsi="Times New Roman"/>
          <w:sz w:val="18"/>
          <w:szCs w:val="18"/>
          <w:b w:val="1"/>
          <w:b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solely in its capacity as the representative, agent and attorney-in-fact of the stockholders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Continental Stock Transfer &amp; Trust Company, a New York corporation (the “</w:t>
      </w: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Parent, FSG Merger Sub Inc., a Delaware corporation and a wholly-owned subsidiary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Gemini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Stockholder Representative entered into an Agreement and Plan of Merger, dated October [•], 2020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providing for, among other things, the merger of Merger Sub with and into the Company and the conversion of shares of Company Capital Stock (other than the Dissenting Shares) into the right to receive a number of Parent Class A Shares equal to the Closing Consideration Conversion Ratio in accordance with the terms set forth in the Merger Agreement; and</w:t>
      </w:r>
    </w:p>
    <w:p>
      <w:pPr>
        <w:spacing w:after="0" w:line="102"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4.1(i) of the Merger Agreement, Parent is required to deposit 2,150,000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Class A Shares, par value $0.0001 per share (the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which Escrow Shares would otherwise be issuable to the Escrow Participants (as defined in the Merger Agreement), with the Escrow Agent on the date hereof in connection with the indemnification obligations of the Escrow Participants as contemplated by the Merger Agreement; and</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and of the mutual covenants hereinafter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agree as follows:</w:t>
      </w:r>
    </w:p>
    <w:p>
      <w:pPr>
        <w:spacing w:after="0" w:line="87" w:lineRule="exact"/>
        <w:rPr>
          <w:sz w:val="20"/>
          <w:szCs w:val="20"/>
          <w:color w:val="auto"/>
        </w:rPr>
      </w:pPr>
    </w:p>
    <w:p>
      <w:pPr>
        <w:ind w:left="1060" w:hanging="174"/>
        <w:spacing w:after="0"/>
        <w:tabs>
          <w:tab w:leader="none" w:pos="106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Defined Terms</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98"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and the Stockholder Representative hereby appoint the Escrow Agent as its escrow agent for the purposes set forth herein, and the Escrow Agent hereby accepts such appointment under the terms and conditions set forth herein.</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06"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with respect to the Escrow Agent shall be defined herein. The Escrow Agent shall act only in accordance with the terms and conditions contained in this Agreement and shall have no duties or obligations with respect to the Merger Agreement.</w:t>
      </w:r>
    </w:p>
    <w:p>
      <w:pPr>
        <w:spacing w:after="0" w:line="104"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9"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agrees to deposit the Escrow Shares with the Escrow Agent on the date hereof. The Escrow Agent shall hold the Escrow Shares as a book-entry position registered on a pro rata basis in the proportion set forth next to the name of each stockholder of the Company as indicated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04"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20" w:right="459" w:firstLine="1078"/>
        <w:spacing w:after="0" w:line="258" w:lineRule="auto"/>
        <w:tabs>
          <w:tab w:leader="none" w:pos="2628"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Escrow Shares are held by the Escrow Agent, with respect to any matter for which the Escrow Shares are permitted to vote, the Escrow Agent shall vote, or cause to be voted, the Escrow Shares in the manner directed by the Stockholder Representative. In the absence of an instruction from the Stockholder Representative, the Escrow Agent shall not vote any of the shares comprising the Escrow Shares.</w:t>
      </w:r>
    </w:p>
    <w:p>
      <w:pPr>
        <w:spacing w:after="0" w:line="102" w:lineRule="exact"/>
        <w:rPr>
          <w:rFonts w:ascii="Times New Roman" w:cs="Times New Roman" w:eastAsia="Times New Roman" w:hAnsi="Times New Roman"/>
          <w:sz w:val="18"/>
          <w:szCs w:val="18"/>
          <w:color w:val="auto"/>
        </w:rPr>
      </w:pPr>
    </w:p>
    <w:p>
      <w:pPr>
        <w:jc w:val="both"/>
        <w:ind w:left="1320" w:right="459" w:firstLine="1078"/>
        <w:spacing w:after="0" w:line="256" w:lineRule="auto"/>
        <w:tabs>
          <w:tab w:leader="none" w:pos="2693"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or other distributions paid with respect to the Escrow Shares (collectively, the “</w:t>
      </w:r>
      <w:r>
        <w:rPr>
          <w:rFonts w:ascii="Times New Roman" w:cs="Times New Roman" w:eastAsia="Times New Roman" w:hAnsi="Times New Roman"/>
          <w:sz w:val="18"/>
          <w:szCs w:val="18"/>
          <w:u w:val="single" w:color="auto"/>
          <w:color w:val="auto"/>
        </w:rPr>
        <w:t>Escrowed Dividends</w:t>
      </w:r>
      <w:r>
        <w:rPr>
          <w:rFonts w:ascii="Times New Roman" w:cs="Times New Roman" w:eastAsia="Times New Roman" w:hAnsi="Times New Roman"/>
          <w:sz w:val="18"/>
          <w:szCs w:val="18"/>
          <w:color w:val="auto"/>
        </w:rPr>
        <w:t>”) shall be delivered to the Escrow Agent and shall immediately be disbursed by the Escrow Agent to the same person or entity to whom such Escrow Shares are to be released in accordance with the terms of this Agreement. For the avoidance of doubt, any release or distribution of Escrow Dividends is intended to comply with, and shall be effected in accordance with, Rev. Proc. 84-42, 1984-1 C.B. 521.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0" w:name="page401"/>
    <w:bookmarkEnd w:id="4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firstLine="1078"/>
        <w:spacing w:after="0" w:line="258" w:lineRule="auto"/>
        <w:tabs>
          <w:tab w:leader="none" w:pos="2809" w:val="left"/>
        </w:tabs>
        <w:numPr>
          <w:ilvl w:val="2"/>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stock split, reverse stock split, stock dividend, recapitalization, reorganization, merger, consolidation, combination, exchange of shares, liquidation, spin-off or other similar change in capitalization or event, or any distribution to holders of the common stock of Parent other than a regular cash dividend, the Escrow Shares under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shall be appropriately adjusted on a pro rata basis.</w:t>
      </w:r>
    </w:p>
    <w:p>
      <w:pPr>
        <w:spacing w:after="0" w:line="111"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Disposition and Termination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78"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Escrow Agent receives an instruction letter signed by each of Sponsor and the Stockholder Representative, the Escrow Agent shall promptly distribute all or any portion of the Escrow Shares as directed by such instruction letter.</w:t>
      </w:r>
    </w:p>
    <w:p>
      <w:pPr>
        <w:spacing w:after="0" w:line="9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57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shall have only those duties as are specifically and expressly provided herein, which shall be deemed purely ministerial in nature, and no other duties shall be implied. The Escrow Agent shall neither be responsible for, nor chargeable with, knowledge of, nor have any requirements to comply with, the terms and conditions of any other agreement, instrument or document between Parent or Sponsor and any other person or entity, in connection herewith, if any, including without limitation the Merger Agreement or nor shall the Escrow Agent be required to determine if any person or entity has complied with any such agreements, nor shall any additional obligations of the Escrow Agent be inferred from the terms of such agreements, even though reference thereto may be made in this Agreement. In the event of any conflict between the terms and provisions of this Agreement, those of the Merger Agreement, any schedule or exhibit attached to this Agreement, or any other agreement between Parent or Sponsor and any other person or entity, the terms and conditions of this Agreement shall control. The Escrow Agent may rely upon and shall not be liable for acting or refraining from acting upon any written notice, document, instruction or request furnished to it hereunder and believed by it to be genuine and to have been signed or presented by the applicable person without inquiry and without requiring substantiating evidence of any kind. The Escrow Agent shall not be liable to any beneficiary or other person for refraining from acting upon any instruction setting forth, claiming, containing, objecting to, or related to the transfer or distribution of the Escrow Shares, or any portion thereof, unless such instruction shall have been delivered to the Escrow Agent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and the Escrow Agent has been able to satisfy any applicable security procedures as may be required hereunder and as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Escrow Agent shall be under no duty to inquire into or investigate the validity, accuracy or content of any such document, notice, instruction or request. The Escrow Agent shall have no duty to solicit any payments which may be due it or the Escrow Shares nor shall the Escrow Agent have any duty or obligation to confirm or verify the accuracy or correctness of any amounts deposited with it hereunder.</w:t>
      </w:r>
    </w:p>
    <w:p>
      <w:pPr>
        <w:spacing w:after="0" w:line="13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8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suffered or omitted to be taken by it in good faith except to the extent that a final adjudication of a court of competent jurisdiction determines that the Escrow Agent’s fraud, gross negligence or willful misconduct was the primary cause of any loss. The Escrow Agent may execute any of its powers and perform any of its duties hereunder directly or through affiliates or agents. The Escrow Agent may consult with counsel, accountants and other skilled persons to be selected and retained by it. The Escrow Agent shall not be liable for any action taken, suffered or omitted to be taken by it in good faith, in accordance with, or in reliance upon, the advice or opinion of any such counsel, accountants or other skilled persons except to the extent that a final adjudication of a court of competent jurisdiction determines that the Escrow Agent’s fraud, gross negligence or willful misconduct was the primary cause of any loss. In the event that the Escrow Agent shall be uncertain or believe there is some ambiguity as to its duties or rights hereunder or shall receive instructions, claims or demands which, in its opinion, conflict with any of the provisions of this Agreement, it shall be entitled to refrain from taking any action and its sole obligation shall be to keep safely all property held in escrow until it shall be given a direction in writing which eliminates such ambiguity or uncertainty to the satisfaction of the Escrow Agent or by a final and non-appealable order or judgment of a court of competent jurisdiction.</w:t>
      </w:r>
    </w:p>
    <w:p>
      <w:pPr>
        <w:spacing w:after="0" w:line="11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1"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Escrow Agent may resign and be discharged from its duties or obligations hereunder by giving thirty (30) days’ advance notice in writing of such resignation to the other parties hereto specifying a date when such resignation shall take effect,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resignation shall not take effect until a successor escrow agent has been appointed in accordance with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If the parties hereto have jointly failed to appoint a successor escrow agent prior to the expiration of thirty (30) days following receipt of the notice of resignation, the Escrow Agent may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1" w:name="page402"/>
    <w:bookmarkEnd w:id="4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petition any court of competent jurisdiction for the appointment of a successor escrow agent or for other appropriate relief, and any such resulting appointment shall be binding upon all of the parties hereto. The Escrow Agent’s sole responsibility after such thirty (30) day notice period expires shall be to hold the Escrow Shares and to deliver the same to a designated substitute escrow agent, if any, or in accordance with the directions of a final order or judgment of a court of competent jurisdiction, at which time of delivery the Escrow Agent’s obligations hereunder shall cease and terminate, subject to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the Escrow Agent shall have the right to withhold, as security, an amount of shares equal to any dollar amount due and owing to the Escrow Agent, plus any costs and expenses the Escrow Agent shall reasonably believe may be incurred by the Escrow Agent in connection with the termination of this Agreement.</w:t>
      </w:r>
    </w:p>
    <w:p>
      <w:pPr>
        <w:spacing w:after="0" w:line="127" w:lineRule="exact"/>
        <w:rPr>
          <w:sz w:val="20"/>
          <w:szCs w:val="20"/>
          <w:color w:val="auto"/>
        </w:rPr>
      </w:pPr>
    </w:p>
    <w:p>
      <w:pPr>
        <w:jc w:val="both"/>
        <w:ind w:left="460" w:right="479" w:firstLine="858"/>
        <w:spacing w:after="0" w:line="266" w:lineRule="auto"/>
        <w:tabs>
          <w:tab w:leader="none" w:pos="159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into which the Escrow Agent may be merged or converted or with which it may be consolidated, or any entity to which all or substantially all the escrow business may be transferred, shall be the Escrow Agent under this Agreement without further act.</w:t>
      </w:r>
    </w:p>
    <w:p>
      <w:pPr>
        <w:spacing w:after="0" w:line="104"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99"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and Reimbursement. </w:t>
      </w:r>
      <w:r>
        <w:rPr>
          <w:rFonts w:ascii="Times New Roman" w:cs="Times New Roman" w:eastAsia="Times New Roman" w:hAnsi="Times New Roman"/>
          <w:sz w:val="18"/>
          <w:szCs w:val="18"/>
          <w:color w:val="auto"/>
        </w:rPr>
        <w:t>The Escrow Agent shall be entitled to compensation for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services under this Agreement as Escrow Agent and for reimbursement for its reasonable and documented out-of-pocket costs and expenses, in the amounts and payable as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All amounts owing under the foregoing sentence shall be paid by Parent. The Escrow Agent shall also be entitled to payment of any amounts to which the Escrow Agent is entitled under the indemnification provisions contained herein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 </w:t>
      </w:r>
      <w:r>
        <w:rPr>
          <w:rFonts w:ascii="Times New Roman" w:cs="Times New Roman" w:eastAsia="Times New Roman" w:hAnsi="Times New Roman"/>
          <w:sz w:val="18"/>
          <w:szCs w:val="18"/>
          <w:i w:val="1"/>
          <w:iCs w:val="1"/>
          <w:color w:val="auto"/>
        </w:rPr>
        <w:t>provided, however, that</w:t>
      </w:r>
      <w:r>
        <w:rPr>
          <w:rFonts w:ascii="Times New Roman" w:cs="Times New Roman" w:eastAsia="Times New Roman" w:hAnsi="Times New Roman"/>
          <w:sz w:val="18"/>
          <w:szCs w:val="18"/>
          <w:color w:val="auto"/>
        </w:rPr>
        <w:t xml:space="preserve"> such compensation, expenses, disbursements and advances shall not be paid from the Escrow Shares. The obligations of Parent set forth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survive the resignation, replacement or removal of the Escrow Agent or the termination of this Agreement.</w:t>
      </w:r>
    </w:p>
    <w:p>
      <w:pPr>
        <w:spacing w:after="0" w:line="103"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01"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be indemnified and held harmless by Parent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other than expenses or losses arising from the fraud, gross negligence or willful misconduct of the Escrow Agent. Promptly after the receipt by the Escrow Agent of notice of any demand or claim or the commencement of any action, suit or proceeding, the Escrow Agent shall notify the other parties hereto in writing and keep the parties advised with respect to all developments concerning such claim. In the event of the receipt of such notice, the Escrow Agent, in its sole discretion, may commence an action in the nature of interpleader in the any state or federal court located in New York County, State of New York.</w:t>
      </w:r>
    </w:p>
    <w:p>
      <w:pPr>
        <w:spacing w:after="0" w:line="126"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59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or omitted by it in good faith and in the exercise of its own best judgment (absent gross negligence or willful misconduct),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577"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Agent shall not be liable for any action taken by it in good faith and believed by it to be authorized or within the rights or powers conferred upon it by this Agreement (absent gross negligence or willful misconduct), and may consult with counsel of its own choice and shall have full and complete authorization and indemnification, for any action taken or suffered by it hereunder in good faith and in accordance with the opinion of such counsel.</w:t>
      </w:r>
    </w:p>
    <w:p>
      <w:pPr>
        <w:spacing w:after="0" w:line="115"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99"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survive termination of this Agreement or the resignation, replacement or removal of the Escrow Agent for any reason.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2" w:name="page403"/>
    <w:bookmarkEnd w:id="4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1060" w:hanging="174"/>
        <w:spacing w:after="0"/>
        <w:tabs>
          <w:tab w:leader="none" w:pos="106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Disclosure/Taxpayer Identification Numbers/Tax Reporting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582" w:val="left"/>
        </w:tabs>
        <w:numPr>
          <w:ilvl w:val="2"/>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 Disclosure</w:t>
      </w:r>
      <w:r>
        <w:rPr>
          <w:rFonts w:ascii="Times New Roman" w:cs="Times New Roman" w:eastAsia="Times New Roman" w:hAnsi="Times New Roman"/>
          <w:sz w:val="18"/>
          <w:szCs w:val="18"/>
          <w:color w:val="auto"/>
        </w:rPr>
        <w:t>. Section 326 of the Uniting and Strengthening America by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Tools Required to Intercept and Obstruct Terrorism Act of 2001 (“</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requires the Escrow Agent to implement reasonable procedures to verify the identity of any person that opens a new account with it. Accordingly, parties hereto acknowledge that Section 326 of the USA PATRIOT Act and the Escrow Agent’s identity verification procedures require the Escrow Agent to obtain information which may be used to confirm identity, including without limitation name, address and organizational documents (“identifying information”). The parties hereto agree to provide the Escrow Agent with information and consent to the Escrow Agent obtaining from third parties any such identifying information required as a condition of opening an account with or using any service provided by the Escrow Agent.</w:t>
      </w:r>
    </w:p>
    <w:p>
      <w:pPr>
        <w:spacing w:after="0" w:line="84"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85" w:val="left"/>
        </w:tabs>
        <w:numPr>
          <w:ilvl w:val="2"/>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transaction does not constitute an installment sale requiring any tax reporting or withholding of imputed interest or original issue discount to the IRS or other taxing authority.</w:t>
      </w:r>
    </w:p>
    <w:p>
      <w:pPr>
        <w:spacing w:after="0" w:line="49" w:lineRule="exact"/>
        <w:rPr>
          <w:rFonts w:ascii="Times New Roman" w:cs="Times New Roman" w:eastAsia="Times New Roman" w:hAnsi="Times New Roman"/>
          <w:sz w:val="18"/>
          <w:szCs w:val="18"/>
          <w:color w:val="auto"/>
        </w:rPr>
      </w:pPr>
    </w:p>
    <w:p>
      <w:pPr>
        <w:jc w:val="both"/>
        <w:ind w:left="460" w:right="459" w:firstLine="426"/>
        <w:spacing w:after="0" w:line="259" w:lineRule="auto"/>
        <w:tabs>
          <w:tab w:leader="none" w:pos="1072"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and communications hereunder shall be deemed to have been duly given and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in writing and if (i) served by personal delivery upon the party for whom it is intended, (ii) delivered by registered or certified mail, return receipt requested, or by Federal Express or similar overnight courier, or</w:t>
      </w:r>
    </w:p>
    <w:p>
      <w:pPr>
        <w:jc w:val="both"/>
        <w:ind w:left="460" w:right="459" w:hanging="6"/>
        <w:spacing w:after="0" w:line="255" w:lineRule="auto"/>
        <w:tabs>
          <w:tab w:leader="none" w:pos="788"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 email, provided that the receipt of such facsimile or email is promptly confirmed, by telephone, electronically or otherwise, to the party at the address set forth below, or such other address as may be designated in writing hereafter, in the same manner, by such party:</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Sponsor:</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Holdings, LLC</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E-mail:Jim@foresitecapital.com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Parent: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Attn: Jim Tananbaum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E-mail:Jim@foresitecapital.com</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Stockholder Representative:</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Shareholder Representative Services LLC</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950 17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Street, Suite 1400</w:t>
      </w:r>
    </w:p>
    <w:p>
      <w:pPr>
        <w:ind w:left="1320"/>
        <w:spacing w:after="0"/>
        <w:rPr>
          <w:sz w:val="20"/>
          <w:szCs w:val="20"/>
          <w:color w:val="auto"/>
        </w:rPr>
      </w:pPr>
      <w:r>
        <w:rPr>
          <w:rFonts w:ascii="Times New Roman" w:cs="Times New Roman" w:eastAsia="Times New Roman" w:hAnsi="Times New Roman"/>
          <w:sz w:val="18"/>
          <w:szCs w:val="18"/>
          <w:color w:val="auto"/>
        </w:rPr>
        <w:t>Denver, CO 80202</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Managing Director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(303) 623-0294</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Telephone: (303) 648-4085</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Escrow Agent:</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Continental Stock Transfer and Trust</w:t>
      </w:r>
    </w:p>
    <w:p>
      <w:pPr>
        <w:spacing w:after="0" w:line="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One State Street —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132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Facsimile No: (212) 616-7615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Attention: George Dalton</w:t>
      </w:r>
    </w:p>
    <w:p>
      <w:pPr>
        <w:spacing w:after="0" w:line="9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Notwithstanding the above, in the case of communications delivered to the Escrow Agent, such communications shall be deemed to have been given on the date received by an officer of the Escrow Agent or any employee of the Escrow Agent who reports directly to any such officer at the above-referenced office. In the event that the Escrow Agent, in its sole discretion, shall determine that an emergency exists, the Escrow Agent may use such other means of communication as the Escrow Agent deems appropriate. For purposes of this Agreement,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any other day on which the Escrow Agent located at the notice address set forth above is authorized or required by law or executive order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253365</wp:posOffset>
            </wp:positionV>
            <wp:extent cx="51435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3" w:name="page404"/>
    <w:bookmarkEnd w:id="4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26"/>
        <w:spacing w:after="0" w:line="254" w:lineRule="auto"/>
        <w:tabs>
          <w:tab w:leader="none" w:pos="1202"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Procedures</w:t>
      </w:r>
      <w:r>
        <w:rPr>
          <w:rFonts w:ascii="Times New Roman" w:cs="Times New Roman" w:eastAsia="Times New Roman" w:hAnsi="Times New Roman"/>
          <w:sz w:val="18"/>
          <w:szCs w:val="18"/>
          <w:color w:val="auto"/>
        </w:rPr>
        <w:t>. Notwithstanding anything to the contrary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instructions setting forth, claiming, containing, objecting to, or in any way related to the transfer or distribution, including but not limited to any transfer instructions that may otherwise be set forth in a written instruction permitted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Agreement, may be given to the Escrow Agent only by confirmed facsimile or other electronic transmission (including e-mail) and no instruction for or related to the transfer or distribution of the Escrow Shares, or any portion thereof, shall be deemed delivered and effective unless the Escrow Agent actually shall have received such instruction by facsimile or other electronic transmission (including e-mail) at the number or e-mail address provided to Sponsor and the Stockholder Representative by the Escrow Agent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and as further evidenced by a confirmed transmittal to that number.</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596"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transfer instructions are so received by the Escrow Agent by facsimile or other electronic transmission (including e-mail), the Escrow Agent is authorized to seek confirmation of such instructions by telephone call-back to the person or persons designated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and the Escrow Agent may rely upon the confirmation of anyone purporting to be the person or persons so designated. The persons and telephone numbers for call-backs may be changed only in a writing actually received and acknowledged by the Escrow Agent.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02"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compliance with the provisions of this Agreement, Sponsor acknowledges that the Escrow Agent is authorized to deliver the Escrow Shares to the custodian account or recipient designated by Sponsor and the Stockholder Representative in writing.</w:t>
      </w:r>
    </w:p>
    <w:p>
      <w:pPr>
        <w:spacing w:after="0" w:line="90"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5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Court Orders. </w:t>
      </w:r>
      <w:r>
        <w:rPr>
          <w:rFonts w:ascii="Times New Roman" w:cs="Times New Roman" w:eastAsia="Times New Roman" w:hAnsi="Times New Roman"/>
          <w:sz w:val="18"/>
          <w:szCs w:val="18"/>
          <w:color w:val="auto"/>
        </w:rPr>
        <w:t>In the event that any escrow property shall be attached, garnished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levied upon by any court order, or the delivery thereof shall be stayed or enjoined by an order of a com1, or any order, judgment or decree shall be made or entered by any court order affecting the property deposited under this Agreement, the Escrow Agent is hereby expressly authorized, in its sole discretion, to obey and comply with all writs, orders or decrees so entered or issued, which it is advised by opinion of legal counsel of its own choosing is binding upon it, whether with or without jurisdiction, and in the event that the Escrow Agent reasonably obeys or complies with any such writ, order or decree it shall not be liable to any of the parties hereto or to any other person, entity, firm or corporation, by reason of such compliance notwithstanding such writ, order or decree be subsequently reversed, modified, annulled, set aside or vacated.</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62"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Except for changes to transfer instructions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waived, altered, amended or supplemented, in whole or in part, only by a writing signed by the Escrow Agent and the other parties hereto. Neither this Agreement nor any right or interest hereunder may be assigned in whole or in part by the Escrow Agent or any other party hereto without the prior consent of all the other parties hereto. This Agreement shall be governed by and construed under the laws of the State of New York. Each of the parties hereto irrevocably waives any objection on the grounds of venue, forum non-conveniens or any similar grounds and irrevocably consents to service of process by mail or in any other manner permitted by applicable law and consents to the jurisdiction of any court of the State of New York or United States federal court, in each case, sitting in New York County, New York. To the extent that in any jurisdiction any party may now or hereafter be entitled to claim for itself or its assets, immunity from suit, execution attachment (before or after judgment), or other legal process, such party shall not claim, and it hereby irrevocably waives, such immunity. The parties further hereby waive any right to a trial by jury with respect to any lawsuit or judicial proceeding arising or relating to this Agreement. No party to this Agreement is liable to any other party for losses due to, or if it is unable to perform its obligations under the terms of this Agreement because of, acts of God, fire, war, terrorism, floods, strikes, electrical outages, equipment or transmission failure, or other causes reasonably beyond its control. This Agreement may be executed in one or more counterparts, each of which shall be deemed an original, but all of which together shall constitute one and the same instrument. All signatures of the parties to this Agreement may be transmitted by facsimile or other electronic transmission (including e-mail), and such facsimile or other electronic transmission (including e-mail) will, for all purposes, be deemed to be the original signature of such party whose signature it reproduces, and will be binding upon such party. If any provision of this Agreement is determined to be prohibited or unenforceable by reason of any applicable law of a jurisdiction, then such provision shall, as to such jurisdiction, be ineffective to the extent of such prohibition or unenforceability without invalidating the remaining provisions thereof, and any such prohibition or unenforceability in such jurisdiction shall not invalidate or render unenforceable such provisions in any other jurisdiction. A person who is not a party to this Agreement shall have no right to enforce any term of this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4" w:name="page405"/>
    <w:bookmarkEnd w:id="4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parties represent, warrant and covenant that each document, notice, instruction or request provided by such party to the other party shall comply with applicable laws and regulations. Where, however, the conflicting provisions of any such applicable law may be waived, they are hereby irrevocably waived by the parties hereto to the fullest extent permitted by law, to the end that this Agreement shall be enforced as written. Except as expressly provided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above, nothing in this Agreement, whether express or implied, shall be construed to give to any person or entity other than the Escrow Agent and the other parties hereto any legal or equitable right, remedy, interest or claim under or in respect of this Agreement or the Escrow Shares escrowed 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 left blank]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5" w:name="page406"/>
    <w:bookmarkEnd w:id="4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executed this Agreement as of the date set forth above.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SPONSOR: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 REPRESENTATIVE: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SHAREHOLDER REPRESENTATIVE SERVICES LLC,</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solely in its capacity as the representative of the Company Securityholders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CONTINENTAL STOCK TRANSFER AND TRUST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_____________________</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Escrow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6" w:name="page407"/>
    <w:bookmarkEnd w:id="4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Schedule l</w:t>
      </w:r>
    </w:p>
    <w:p>
      <w:pPr>
        <w:spacing w:after="0" w:line="15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Telephone Number(s) and authorized signature(s) for</w:t>
      </w:r>
    </w:p>
    <w:p>
      <w:pPr>
        <w:spacing w:after="0" w:line="3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u w:val="single" w:color="auto"/>
          <w:color w:val="auto"/>
        </w:rPr>
        <w:t>Person(s) Designated by Sponsor to give Escrow Shares Transfer Instructions</w:t>
      </w:r>
    </w:p>
    <w:p>
      <w:pPr>
        <w:spacing w:after="0" w:line="209" w:lineRule="exact"/>
        <w:rPr>
          <w:sz w:val="20"/>
          <w:szCs w:val="20"/>
          <w:color w:val="auto"/>
        </w:rPr>
      </w:pPr>
    </w:p>
    <w:p>
      <w:pPr>
        <w:jc w:val="both"/>
        <w:ind w:left="1520"/>
        <w:spacing w:after="0"/>
        <w:tabs>
          <w:tab w:leader="none" w:pos="3780" w:val="left"/>
          <w:tab w:leader="none" w:pos="68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Telephone Number</w:t>
      </w:r>
      <w:r>
        <w:rPr>
          <w:sz w:val="20"/>
          <w:szCs w:val="20"/>
          <w:color w:val="auto"/>
        </w:rPr>
        <w:tab/>
      </w: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 be completed by Sponsor]</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7" w:name="page408"/>
    <w:bookmarkEnd w:id="4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Number(s) and authorized signature(s)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Person(s) Designated by Stockholder Representative to give Escrow Shares Transfer Instructions</w:t>
      </w:r>
    </w:p>
    <w:p>
      <w:pPr>
        <w:spacing w:after="0" w:line="221" w:lineRule="exact"/>
        <w:rPr>
          <w:sz w:val="20"/>
          <w:szCs w:val="20"/>
          <w:color w:val="auto"/>
        </w:rPr>
      </w:pPr>
    </w:p>
    <w:p>
      <w:pPr>
        <w:ind w:left="1520"/>
        <w:spacing w:after="0"/>
        <w:tabs>
          <w:tab w:leader="none" w:pos="3780" w:val="left"/>
          <w:tab w:leader="none" w:pos="684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Telephone Number</w:t>
      </w:r>
      <w:r>
        <w:rPr>
          <w:sz w:val="20"/>
          <w:szCs w:val="20"/>
          <w:color w:val="auto"/>
        </w:rPr>
        <w:tab/>
      </w: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#1</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Chris Letang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#2</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Casey McTigue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Executive Director</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#3</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 LeClair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President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Representative #4</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Paul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3717290</wp:posOffset>
            </wp:positionH>
            <wp:positionV relativeFrom="paragraph">
              <wp:posOffset>43180</wp:posOffset>
            </wp:positionV>
            <wp:extent cx="171450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8" w:name="page409"/>
    <w:bookmarkEnd w:id="4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9" w:name="page410"/>
    <w:bookmarkEnd w:id="4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entered into as of [•], 2020, by and among FS Development Corp.,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the parties listed as Investors on Schedule I hereto (each, an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color w:val="auto"/>
        </w:rPr>
        <w:t>”) and Gemini Therapeutics, Inc., a Delaware company (“</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WHEREAS, the Company, FSG Merger Sub, Inc., a Delaware corporation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Gemini and Shareholder Representative Services LLC, a Colorado limited liability company, as the Stockholders’ Representative, have entered into that certain Agreement and Plan of Merger, dated as of October 15, 2020 (as amended or supplemented from time to time,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pursuant to which, among other things: (a) Merger Sub will merge with and into Gemini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Gemini surviving the Merger as a wholly-owned subsidiary of Company;</w:t>
      </w:r>
    </w:p>
    <w:p>
      <w:pPr>
        <w:spacing w:after="0" w:line="10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WHEREAS, the Company and the Investors listed as Company Investors on Schedule I hereto (collectively, the “</w:t>
      </w:r>
      <w:r>
        <w:rPr>
          <w:rFonts w:ascii="Times New Roman" w:cs="Times New Roman" w:eastAsia="Times New Roman" w:hAnsi="Times New Roman"/>
          <w:sz w:val="18"/>
          <w:szCs w:val="18"/>
          <w:b w:val="1"/>
          <w:bCs w:val="1"/>
          <w:u w:val="single" w:color="auto"/>
          <w:color w:val="auto"/>
        </w:rPr>
        <w:t>Company Investors</w:t>
      </w:r>
      <w:r>
        <w:rPr>
          <w:rFonts w:ascii="Times New Roman" w:cs="Times New Roman" w:eastAsia="Times New Roman" w:hAnsi="Times New Roman"/>
          <w:sz w:val="18"/>
          <w:szCs w:val="18"/>
          <w:color w:val="auto"/>
        </w:rPr>
        <w:t>”) are parties to that certain Registration Rights Agreement, dated August 11, 2020 (the “</w:t>
      </w:r>
      <w:r>
        <w:rPr>
          <w:rFonts w:ascii="Times New Roman" w:cs="Times New Roman" w:eastAsia="Times New Roman" w:hAnsi="Times New Roman"/>
          <w:sz w:val="18"/>
          <w:szCs w:val="18"/>
          <w:b w:val="1"/>
          <w:bCs w:val="1"/>
          <w:u w:val="single" w:color="auto"/>
          <w:color w:val="auto"/>
        </w:rPr>
        <w:t>Prior Agreement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WHEREAS, the Company and the Company Investors desire to terminate the Prior Agreement in its entirety and to accept the rights created pursuant to this Agreement in lieu of the rights granted to them under the Prior Agreement;</w:t>
      </w:r>
    </w:p>
    <w:p>
      <w:pPr>
        <w:spacing w:after="0" w:line="10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WHEREAS, the Company Investors and Gemini Investors listed on Schedule I hereto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have subscribed to purchase shares of Common Stock in the Private Placement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in connection with the consummation of the Merger; and</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 DEFINITIONS. The following capitalized terms used herein have the following meanings:</w:t>
      </w: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Addendum Agreement</w:t>
      </w:r>
      <w:r>
        <w:rPr>
          <w:rFonts w:ascii="Times New Roman" w:cs="Times New Roman" w:eastAsia="Times New Roman" w:hAnsi="Times New Roman"/>
          <w:sz w:val="18"/>
          <w:szCs w:val="18"/>
          <w:color w:val="auto"/>
        </w:rPr>
        <w:t>” is defined in Section 7.2.</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Agreement, as amended, restated, supplemented, or otherwise modified from time to time.</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Bylaws</w:t>
      </w:r>
      <w:r>
        <w:rPr>
          <w:rFonts w:ascii="Times New Roman" w:cs="Times New Roman" w:eastAsia="Times New Roman" w:hAnsi="Times New Roman"/>
          <w:sz w:val="18"/>
          <w:szCs w:val="18"/>
          <w:color w:val="auto"/>
        </w:rPr>
        <w:t>” means the bylaws of the Company, as amended, modified, supplemented or restated and in effect from time to time.</w:t>
      </w:r>
    </w:p>
    <w:p>
      <w:pPr>
        <w:spacing w:after="0" w:line="7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Certificate</w:t>
      </w:r>
      <w:r>
        <w:rPr>
          <w:rFonts w:ascii="Times New Roman" w:cs="Times New Roman" w:eastAsia="Times New Roman" w:hAnsi="Times New Roman"/>
          <w:sz w:val="18"/>
          <w:szCs w:val="18"/>
          <w:color w:val="auto"/>
        </w:rPr>
        <w:t>” means the certificate of incorporation of the Company, as amended, modified, supplemented or restated and in effect from time to time, including any certificate of designation, correction or amendment filed with the Secretary of State of the State of Delaware.</w:t>
      </w:r>
    </w:p>
    <w:p>
      <w:pPr>
        <w:spacing w:after="0" w:line="103"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Securities and Exchange Commission, or any other Federal agency then administering the Securities Act or the Exchange Act.</w:t>
      </w:r>
    </w:p>
    <w:p>
      <w:pPr>
        <w:spacing w:after="0" w:line="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Investors</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is defined in Section 2.2.1.</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is defined in Section 2.2.1.</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is defined in Section 3.1.3.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0" w:name="page411"/>
    <w:bookmarkEnd w:id="4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S-1</w:t>
      </w:r>
      <w:r>
        <w:rPr>
          <w:rFonts w:ascii="Times New Roman" w:cs="Times New Roman" w:eastAsia="Times New Roman" w:hAnsi="Times New Roman"/>
          <w:sz w:val="18"/>
          <w:szCs w:val="18"/>
          <w:color w:val="auto"/>
        </w:rPr>
        <w:t>” means a Registration Statement on Form S-1.</w:t>
      </w:r>
    </w:p>
    <w:p>
      <w:pPr>
        <w:spacing w:after="0" w:line="158"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S-3</w:t>
      </w:r>
      <w:r>
        <w:rPr>
          <w:rFonts w:ascii="Times New Roman" w:cs="Times New Roman" w:eastAsia="Times New Roman" w:hAnsi="Times New Roman"/>
          <w:sz w:val="18"/>
          <w:szCs w:val="18"/>
          <w:color w:val="auto"/>
        </w:rPr>
        <w:t>” means a Registration Statement on Form S-3 or any similar short-form registration that may be available at such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Gemini Investors</w:t>
      </w:r>
      <w:r>
        <w:rPr>
          <w:rFonts w:ascii="Times New Roman" w:cs="Times New Roman" w:eastAsia="Times New Roman" w:hAnsi="Times New Roman"/>
          <w:sz w:val="18"/>
          <w:szCs w:val="18"/>
          <w:color w:val="auto"/>
        </w:rPr>
        <w:t>” is defined in the recitals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Investor” and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is defined in Section 2.2.4.</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is defined in the preamble to this Agreement.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Prior Agreement</w:t>
      </w:r>
      <w:r>
        <w:rPr>
          <w:rFonts w:ascii="Times New Roman" w:cs="Times New Roman" w:eastAsia="Times New Roman" w:hAnsi="Times New Roman"/>
          <w:sz w:val="18"/>
          <w:szCs w:val="18"/>
          <w:color w:val="auto"/>
        </w:rPr>
        <w:t>” is defined in the preamble to this Agreement.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03"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means (i) the shares of Common Stock issued to the Investors in the Merger (including Escrow Shares (as defined in the Merger Agreement)), (ii) the shares of Common Stock held by the Company Investors, (iii) the shares of Common Stock issuable to the Investors in the Private Placement, and</w:t>
      </w:r>
    </w:p>
    <w:p>
      <w:pPr>
        <w:ind w:left="780" w:hanging="326"/>
        <w:spacing w:after="0"/>
        <w:tabs>
          <w:tab w:leader="none" w:pos="78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Common Stock issued to any Investor with respect to such securities referred to in clauses</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677"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(iii) 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w:t>
      </w:r>
    </w:p>
    <w:p>
      <w:pPr>
        <w:spacing w:after="0" w:line="1" w:lineRule="exact"/>
        <w:rPr>
          <w:rFonts w:ascii="Times New Roman" w:cs="Times New Roman" w:eastAsia="Times New Roman" w:hAnsi="Times New Roman"/>
          <w:sz w:val="18"/>
          <w:szCs w:val="18"/>
          <w:color w:val="auto"/>
        </w:rPr>
      </w:pPr>
    </w:p>
    <w:p>
      <w:pPr>
        <w:jc w:val="both"/>
        <w:ind w:left="460" w:right="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such securities shall have been otherwise transferred, new certificates for them not bearing a legend restricting further transfer shall have been delivered by the Company and subsequent public distribution of them shall not require registration under the Securities Act; or (c) such securities shall have ceased to be outstanding.</w:t>
      </w:r>
    </w:p>
    <w:p>
      <w:pPr>
        <w:spacing w:after="0" w:line="10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Resale Shelf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1" w:name="page412"/>
    <w:bookmarkEnd w:id="4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Requesting Holder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2.1.5(a)(ii)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Subsequent Shelf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to (i) sell, offer to sell, contract or agree to sell, hypothecate, pledge, grant any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purchase, make any short sale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Common Stock, or any options or warrants to purchase any shares of Common Stock or any securities convertible into, exchangeable for or that represent the right to receive shares of Common Stock, (ii) enter into any swap or hedging or other arrangement which is designed to or which reasonably could be expected to lead to or result in a sale or disposition of the shares of Common Stock, or that transfers to another, in whole or in part, any of the economic consequences of ownership of any Common Stock,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10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7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Takedown</w:t>
      </w:r>
      <w:r>
        <w:rPr>
          <w:rFonts w:ascii="Times New Roman" w:cs="Times New Roman" w:eastAsia="Times New Roman" w:hAnsi="Times New Roman"/>
          <w:sz w:val="18"/>
          <w:szCs w:val="18"/>
          <w:color w:val="auto"/>
        </w:rPr>
        <w:t>” shall mean an underwritten public offering of Registrable Securities pursuant to the Resale Shelf Registration Statement, as amended or supplemented.</w:t>
      </w:r>
    </w:p>
    <w:p>
      <w:pPr>
        <w:spacing w:after="0" w:line="74"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Demand Registration</w:t>
      </w:r>
      <w:r>
        <w:rPr>
          <w:rFonts w:ascii="Times New Roman" w:cs="Times New Roman" w:eastAsia="Times New Roman" w:hAnsi="Times New Roman"/>
          <w:sz w:val="18"/>
          <w:szCs w:val="18"/>
          <w:color w:val="auto"/>
        </w:rPr>
        <w:t>” shall mean an underwritten public offering of Registrable Securities pursuant to a Demand Registration, as amended or supplemented.</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REGISTRATION RIGHTS.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Resale Shelf Registration Rights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864"/>
        <w:spacing w:after="0" w:line="250"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Registration Statement Covering Resale of Registrable Securities</w:t>
      </w:r>
      <w:r>
        <w:rPr>
          <w:rFonts w:ascii="Times New Roman" w:cs="Times New Roman" w:eastAsia="Times New Roman" w:hAnsi="Times New Roman"/>
          <w:sz w:val="18"/>
          <w:szCs w:val="18"/>
          <w:color w:val="auto"/>
        </w:rPr>
        <w:t>. The Company shall prepare and file or cause to be prepared and filed with the Commission as soon as practicable after the Closing Date (as such term is defined in the Merger Agreement), but in any event no later than [•]</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days after the Closing Date (the “</w:t>
      </w:r>
      <w:r>
        <w:rPr>
          <w:rFonts w:ascii="Times New Roman" w:cs="Times New Roman" w:eastAsia="Times New Roman" w:hAnsi="Times New Roman"/>
          <w:sz w:val="18"/>
          <w:szCs w:val="18"/>
          <w:b w:val="1"/>
          <w:bCs w:val="1"/>
          <w:u w:val="single" w:color="auto"/>
          <w:color w:val="auto"/>
        </w:rPr>
        <w:t>Filing Date</w:t>
      </w:r>
      <w:r>
        <w:rPr>
          <w:rFonts w:ascii="Times New Roman" w:cs="Times New Roman" w:eastAsia="Times New Roman" w:hAnsi="Times New Roman"/>
          <w:sz w:val="18"/>
          <w:szCs w:val="18"/>
          <w:color w:val="auto"/>
        </w:rPr>
        <w:t>”), a Registration Statement for an offering to be made on a continuous basis pursuant to Rule 415 of the Securities Act registering the resale from time to time by Investors of all of the Registrable Securities then held by such Investors that are not covered by an effective registration statement on the Filing Date (the “</w:t>
      </w:r>
      <w:r>
        <w:rPr>
          <w:rFonts w:ascii="Times New Roman" w:cs="Times New Roman" w:eastAsia="Times New Roman" w:hAnsi="Times New Roman"/>
          <w:sz w:val="18"/>
          <w:szCs w:val="18"/>
          <w:b w:val="1"/>
          <w:bCs w:val="1"/>
          <w:u w:val="single" w:color="auto"/>
          <w:color w:val="auto"/>
        </w:rPr>
        <w:t>Resale Shelf Registration Statement</w:t>
      </w:r>
      <w:r>
        <w:rPr>
          <w:rFonts w:ascii="Times New Roman" w:cs="Times New Roman" w:eastAsia="Times New Roman" w:hAnsi="Times New Roman"/>
          <w:sz w:val="18"/>
          <w:szCs w:val="18"/>
          <w:color w:val="auto"/>
        </w:rPr>
        <w:t>”). The Resale Shelf Registration Statement shall be on Form S-3 or another appropriate form permitting Registration of such Registrable Securities for resale by such Investors. The Company shall use reasonable best efforts to cause the Resale Shelf Registration Statement to be declared effective as soon as possible after filing, and once effective, to keep the Resale Shelf Registration Statement continuously effective under the Securities Act at all times until the expiration of the Effectiveness Period.</w:t>
      </w:r>
    </w:p>
    <w:p>
      <w:pPr>
        <w:spacing w:after="0" w:line="331"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Notification and Distribution of Materials</w:t>
      </w:r>
      <w:r>
        <w:rPr>
          <w:rFonts w:ascii="Times New Roman" w:cs="Times New Roman" w:eastAsia="Times New Roman" w:hAnsi="Times New Roman"/>
          <w:sz w:val="18"/>
          <w:szCs w:val="18"/>
          <w:color w:val="auto"/>
        </w:rPr>
        <w:t>. The Company shall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8" w:lineRule="exact"/>
        <w:rPr>
          <w:sz w:val="20"/>
          <w:szCs w:val="20"/>
          <w:color w:val="auto"/>
        </w:rPr>
      </w:pPr>
    </w:p>
    <w:p>
      <w:pPr>
        <w:ind w:left="680" w:right="459" w:hanging="226"/>
        <w:spacing w:after="0" w:line="256" w:lineRule="auto"/>
        <w:tabs>
          <w:tab w:leader="none" w:pos="716" w:val="left"/>
        </w:tabs>
        <w:numPr>
          <w:ilvl w:val="0"/>
          <w:numId w:val="38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To track the date that the shares issued in the PIPE must be registered pursuant to the PIPE subscription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2" w:name="page413"/>
    <w:bookmarkEnd w:id="4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Amendments and Supplements; Subsequent Shelf Registration</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 or to file an additional Registration Statement as a shelf registration (a “</w:t>
      </w:r>
      <w:r>
        <w:rPr>
          <w:rFonts w:ascii="Times New Roman" w:cs="Times New Roman" w:eastAsia="Times New Roman" w:hAnsi="Times New Roman"/>
          <w:sz w:val="18"/>
          <w:szCs w:val="18"/>
          <w:u w:val="single" w:color="auto"/>
          <w:color w:val="auto"/>
        </w:rPr>
        <w:t>Subsequent 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registering the resale of all outstanding Registrable Securities from time to time, and pursuant to any method or combination of methods legally available to, and requested by, any holder. If a Subsequent Shelf Registration is filed, the Company shall use its reasonable best efforts to (i) cause such Subsequent Shelf Registration to become effective under the Securities Act as promptly as is reasonably practicable after the filing thereof and (ii) keep such Subsequent Shelf Registration continuously effective and to comply with the provisions of the Securities Act with respect to the disposition of all the Registrable Securities at all times during the Effectiveness Period.</w:t>
      </w:r>
    </w:p>
    <w:p>
      <w:pPr>
        <w:spacing w:after="0" w:line="120" w:lineRule="exact"/>
        <w:rPr>
          <w:sz w:val="20"/>
          <w:szCs w:val="20"/>
          <w:color w:val="auto"/>
        </w:rPr>
      </w:pPr>
    </w:p>
    <w:p>
      <w:pPr>
        <w:jc w:val="both"/>
        <w:ind w:left="460" w:right="459" w:firstLine="864"/>
        <w:spacing w:after="0" w:line="251" w:lineRule="auto"/>
        <w:rPr>
          <w:sz w:val="20"/>
          <w:szCs w:val="20"/>
          <w:color w:val="auto"/>
        </w:rPr>
      </w:pPr>
      <w:r>
        <w:rPr>
          <w:rFonts w:ascii="Times New Roman" w:cs="Times New Roman" w:eastAsia="Times New Roman" w:hAnsi="Times New Roman"/>
          <w:sz w:val="18"/>
          <w:szCs w:val="18"/>
          <w:color w:val="auto"/>
        </w:rPr>
        <w:t xml:space="preserve">2.1.4 Notwithstanding the registration obligations set forth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 w:cs="Times New Roman" w:eastAsia="Times New Roman" w:hAnsi="Times New Roman"/>
          <w:sz w:val="18"/>
          <w:szCs w:val="18"/>
          <w:b w:val="1"/>
          <w:bCs w:val="1"/>
          <w:u w:val="single" w:color="auto"/>
          <w:color w:val="auto"/>
        </w:rPr>
        <w:t>New Registration Statement</w:t>
      </w:r>
      <w:r>
        <w:rPr>
          <w:rFonts w:ascii="Times New Roman" w:cs="Times New Roman" w:eastAsia="Times New Roman" w:hAnsi="Times New Roman"/>
          <w:sz w:val="18"/>
          <w:szCs w:val="18"/>
          <w:color w:val="auto"/>
        </w:rPr>
        <w:t>”), in either case covering the maximum number of Registrable Securities permitted to be registered by the Commission, on Form S-3 or such other form available to register for resale the Registrable Securities as a secondary offering; provided, however, that prior to filing such amendment or New 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u w:val="single" w:color="auto"/>
          <w:color w:val="auto"/>
        </w:rPr>
        <w:t>SEC Guidance</w:t>
      </w:r>
      <w:r>
        <w:rPr>
          <w:rFonts w:ascii="Times New Roman" w:cs="Times New Roman" w:eastAsia="Times New Roman" w:hAnsi="Times New Roman"/>
          <w:sz w:val="18"/>
          <w:szCs w:val="18"/>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the Company used commercially reasonable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based on the total number of Registrable Securities held by the Investors, subject to a determination by the Commission that certain Investors must be reduced first based on the number of Registrable Securities held by such Investors.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136" w:lineRule="exact"/>
        <w:rPr>
          <w:sz w:val="20"/>
          <w:szCs w:val="20"/>
          <w:color w:val="auto"/>
        </w:rPr>
      </w:pPr>
    </w:p>
    <w:p>
      <w:pPr>
        <w:jc w:val="both"/>
        <w:ind w:left="460" w:right="459" w:firstLine="864"/>
        <w:spacing w:after="0" w:line="256"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The Company shall promptly notify the Investors in writing of any request by the Commission for any amendment or supplement to, or additional information in connection with, the Resale Shelf Registration Statement required to be prepared and filed hereunder (or Prospectus relating thereto). The Company shall promptly notify each Investor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106" w:lineRule="exact"/>
        <w:rPr>
          <w:sz w:val="20"/>
          <w:szCs w:val="20"/>
          <w:color w:val="auto"/>
        </w:rPr>
      </w:pPr>
    </w:p>
    <w:p>
      <w:pPr>
        <w:jc w:val="both"/>
        <w:ind w:left="460" w:right="459" w:firstLine="1074"/>
        <w:spacing w:after="0" w:line="251" w:lineRule="auto"/>
        <w:tabs>
          <w:tab w:leader="none" w:pos="181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receive a request from the holders of Registrable Securities with an estimated market value of at least $[•]</w:t>
      </w: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8"/>
          <w:szCs w:val="18"/>
          <w:color w:val="auto"/>
        </w:rPr>
        <w:t xml:space="preserve"> (the requesting holder(s) shall be referred to herein as the “</w:t>
      </w:r>
      <w:r>
        <w:rPr>
          <w:rFonts w:ascii="Times New Roman" w:cs="Times New Roman" w:eastAsia="Times New Roman" w:hAnsi="Times New Roman"/>
          <w:sz w:val="18"/>
          <w:szCs w:val="18"/>
          <w:b w:val="1"/>
          <w:bCs w:val="1"/>
          <w:u w:val="single" w:color="auto"/>
          <w:color w:val="auto"/>
        </w:rPr>
        <w:t>Requesting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that the Company effect the Underwritten Takedown of all or any portion of the Requesting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Registrable Securities, and specifying the intended method of disposition thereof, then the Company shall promptly give notice of such requested Underwritten Takedown at least ten (10) Business Days prior to the anticipated filing date of the prospectus or supplement relating to such Underwritten Takedown to the other Investors and thereupon shall use its reasonable best efforts to effect, as expeditiously as possible, the offering in such Underwritten Takedown of:</w:t>
      </w:r>
    </w:p>
    <w:p>
      <w:pPr>
        <w:spacing w:after="0" w:line="120" w:lineRule="exact"/>
        <w:rPr>
          <w:rFonts w:ascii="Times New Roman" w:cs="Times New Roman" w:eastAsia="Times New Roman" w:hAnsi="Times New Roman"/>
          <w:sz w:val="18"/>
          <w:szCs w:val="18"/>
          <w:color w:val="auto"/>
        </w:rPr>
      </w:pPr>
    </w:p>
    <w:p>
      <w:pPr>
        <w:ind w:left="460" w:right="479" w:firstLine="1290"/>
        <w:spacing w:after="0" w:line="261" w:lineRule="auto"/>
        <w:tabs>
          <w:tab w:leader="none" w:pos="1976"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all Registrable Securities for which the Requesting Holder has requested such offering under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and</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660" w:hanging="206"/>
        <w:spacing w:after="0"/>
        <w:tabs>
          <w:tab w:leader="none" w:pos="660" w:val="left"/>
        </w:tabs>
        <w:numPr>
          <w:ilvl w:val="0"/>
          <w:numId w:val="38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 xml:space="preserve">Note to Draft: </w:t>
      </w:r>
      <w:r>
        <w:rPr>
          <w:rFonts w:ascii="Times New Roman" w:cs="Times New Roman" w:eastAsia="Times New Roman" w:hAnsi="Times New Roman"/>
          <w:sz w:val="16"/>
          <w:szCs w:val="16"/>
          <w:color w:val="auto"/>
        </w:rPr>
        <w:t>Amount TBD based on post-Closing market cap and pro forma capitalization table.</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3" w:name="page414"/>
    <w:bookmarkEnd w:id="4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1290"/>
        <w:spacing w:after="0" w:line="256" w:lineRule="auto"/>
        <w:tabs>
          <w:tab w:leader="none" w:pos="2041"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all other Registrable Securities that any holders of Registrable Securities (all such holders, together with the Requesting Holder, the “</w:t>
      </w:r>
      <w:r>
        <w:rPr>
          <w:rFonts w:ascii="Times New Roman" w:cs="Times New Roman" w:eastAsia="Times New Roman" w:hAnsi="Times New Roman"/>
          <w:sz w:val="18"/>
          <w:szCs w:val="18"/>
          <w:b w:val="1"/>
          <w:bCs w:val="1"/>
          <w:u w:val="single" w:color="auto"/>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have requested the Company to offer by request received by the Company within seven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such holders receive the Company’s notice of the Underwritten Takedown, all to the extent necessary to permit the disposition (in accordance with the intended methods thereof as aforesaid) of the Registrable Securities so to be offered.</w:t>
      </w:r>
    </w:p>
    <w:p>
      <w:pPr>
        <w:spacing w:after="0" w:line="119" w:lineRule="exact"/>
        <w:rPr>
          <w:rFonts w:ascii="Times New Roman" w:cs="Times New Roman" w:eastAsia="Times New Roman" w:hAnsi="Times New Roman"/>
          <w:sz w:val="18"/>
          <w:szCs w:val="18"/>
          <w:color w:val="auto"/>
        </w:rPr>
      </w:pPr>
    </w:p>
    <w:p>
      <w:pPr>
        <w:jc w:val="both"/>
        <w:ind w:left="460" w:right="459" w:firstLine="1074"/>
        <w:spacing w:after="0" w:line="266" w:lineRule="auto"/>
        <w:tabs>
          <w:tab w:leader="none" w:pos="1797"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expiration of the seven-Business Day-period referred to in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the Company will notify all Selling Holders of the identities of the other Selling Holders and the number of shares of Registrable Securities requested to be included therein.</w:t>
      </w:r>
    </w:p>
    <w:p>
      <w:pPr>
        <w:spacing w:after="0" w:line="108" w:lineRule="exact"/>
        <w:rPr>
          <w:rFonts w:ascii="Times New Roman" w:cs="Times New Roman" w:eastAsia="Times New Roman" w:hAnsi="Times New Roman"/>
          <w:sz w:val="18"/>
          <w:szCs w:val="18"/>
          <w:color w:val="auto"/>
        </w:rPr>
      </w:pPr>
    </w:p>
    <w:p>
      <w:pPr>
        <w:jc w:val="both"/>
        <w:ind w:left="460" w:right="459" w:firstLine="1074"/>
        <w:spacing w:after="0" w:line="244" w:lineRule="auto"/>
        <w:tabs>
          <w:tab w:leader="none" w:pos="179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only be required to effectuate: (i) one Underwritten Takedown within any six-month period; (ii) no more than [•]</w:t>
      </w: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8"/>
          <w:szCs w:val="18"/>
          <w:color w:val="auto"/>
        </w:rPr>
        <w:t xml:space="preserve"> Underwritten Takedowns in respect of all Registrable Securities held by the Company Investors after giving effect to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and (iii) no more than [•]</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8"/>
          <w:szCs w:val="18"/>
          <w:color w:val="auto"/>
        </w:rPr>
        <w:t xml:space="preserve"> Underwritten Takedowns in respect of all Registrable Securities held by Gemini Investors after giving effect to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color w:val="auto"/>
        </w:rPr>
      </w:pPr>
    </w:p>
    <w:p>
      <w:pPr>
        <w:jc w:val="both"/>
        <w:ind w:left="460" w:right="459" w:firstLine="1074"/>
        <w:spacing w:after="0" w:line="254" w:lineRule="auto"/>
        <w:tabs>
          <w:tab w:leader="none" w:pos="182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managing underwriter in an Underwritten Takedown advises the Company and the Requesting Holder that, in its view, the number of shares of Registrable Securities requested to be included in such underwritten offering exceeds the largest number of shares that can be sold without having an adverse effect on such offering, including the price at which such shares can be sold, the shares included in such Underwritten Takedown will be reduced by the Registrable Securities held by the Selling Holders (applied on a pro rata basis based on the total number of Registrable Securities held by such Investors, subject to a determination by the Commission that certain Investors must be reduced first based on the number of Registrable Securities held by such Investors).</w:t>
      </w:r>
    </w:p>
    <w:p>
      <w:pPr>
        <w:spacing w:after="0" w:line="12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Selling Holders holding a majority in interest of the Registrable Securities requested to be sold in an Underwritten Takedown shall have the right to select an Underwriter or Underwriters in connection with such Underwritten Takedown, which Underwriter or Underwriters shall be reasonably acceptable to the Company. In connection with an Underwritten Takedown, the Company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21" w:lineRule="exact"/>
        <w:rPr>
          <w:sz w:val="20"/>
          <w:szCs w:val="20"/>
          <w:color w:val="auto"/>
        </w:rPr>
      </w:pPr>
    </w:p>
    <w:p>
      <w:pPr>
        <w:jc w:val="both"/>
        <w:ind w:left="460" w:right="479" w:firstLine="864"/>
        <w:spacing w:after="0" w:line="282" w:lineRule="auto"/>
        <w:rPr>
          <w:sz w:val="20"/>
          <w:szCs w:val="20"/>
          <w:color w:val="auto"/>
        </w:rPr>
      </w:pPr>
      <w:r>
        <w:rPr>
          <w:rFonts w:ascii="Times New Roman" w:cs="Times New Roman" w:eastAsia="Times New Roman" w:hAnsi="Times New Roman"/>
          <w:sz w:val="18"/>
          <w:szCs w:val="18"/>
          <w:color w:val="auto"/>
        </w:rPr>
        <w:t xml:space="preserve">2.1.7 Registrations effected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be counted as Demand Registrations effected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49"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At any time and from time to time after the expiration of a lock-up to which such shares are subject, if any, (i) Company Investors who hold a majority in interest of the Registrable Securities held by all Company Investors or (ii) Company Investors who hold [•]</w:t>
      </w:r>
      <w:r>
        <w:rPr>
          <w:rFonts w:ascii="Times New Roman" w:cs="Times New Roman" w:eastAsia="Times New Roman" w:hAnsi="Times New Roman"/>
          <w:sz w:val="20"/>
          <w:szCs w:val="20"/>
          <w:color w:val="auto"/>
          <w:vertAlign w:val="superscript"/>
        </w:rPr>
        <w:t>5</w:t>
      </w:r>
      <w:r>
        <w:rPr>
          <w:rFonts w:ascii="Times New Roman" w:cs="Times New Roman" w:eastAsia="Times New Roman" w:hAnsi="Times New Roman"/>
          <w:sz w:val="18"/>
          <w:szCs w:val="18"/>
          <w:color w:val="auto"/>
        </w:rPr>
        <w:t xml:space="preserve"> of the Registrable Securities held by all Company Investors, as the case may be, may make a written demand for Registration under the Securities Act of all or any portion of their Registrable Securities on Form S-1 or any similar long-form Registration or, if then available, on Form S-3. Each registration requested pursuant to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is referred to herein as a “</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Any demand for a Demand Registration shall specify the number of shares of Registrable Securities proposed to be sold and the intended method(s) of distribution thereof. The Company will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xml:space="preserve">”) shall so notify the Company within fifteen (15) days after the receipt by the holder of the notice from the Company. Upon any such request, the Demanding Holders shall be entitled to have their Registrable Securities included in the Demand Registration, subject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the provisos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The Company shall not be obligated to effect: (a) more than one (1) Demand Registration during any six-month period; (b) any Demand Registration at any time there is an effective Resale Shelf Registration Statement on file with the Commission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(c) more than [•]</w:t>
      </w:r>
      <w:r>
        <w:rPr>
          <w:rFonts w:ascii="Times New Roman" w:cs="Times New Roman" w:eastAsia="Times New Roman" w:hAnsi="Times New Roman"/>
          <w:sz w:val="20"/>
          <w:szCs w:val="20"/>
          <w:color w:val="auto"/>
          <w:vertAlign w:val="superscript"/>
        </w:rPr>
        <w:t>6</w:t>
      </w:r>
      <w:r>
        <w:rPr>
          <w:rFonts w:ascii="Times New Roman" w:cs="Times New Roman" w:eastAsia="Times New Roman" w:hAnsi="Times New Roman"/>
          <w:sz w:val="18"/>
          <w:szCs w:val="18"/>
          <w:color w:val="auto"/>
        </w:rPr>
        <w:t xml:space="preserve"> Underwritten Demand Registrations in respect of</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ectPr>
          <w:pgSz w:w="11900" w:h="16838" w:orient="portrait"/>
          <w:cols w:equalWidth="0" w:num="1">
            <w:col w:w="9019"/>
          </w:cols>
          <w:pgMar w:left="1440" w:top="270" w:right="1440" w:bottom="1440" w:gutter="0" w:footer="0" w:header="0"/>
        </w:sectPr>
      </w:pP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3</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4</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5</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6</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TBD based on post-Closing pro forma capitalization.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182" w:lineRule="exact"/>
        <w:rPr>
          <w:sz w:val="20"/>
          <w:szCs w:val="20"/>
          <w:color w:val="auto"/>
        </w:rPr>
      </w:pPr>
    </w:p>
    <w:p>
      <w:pPr>
        <w:sectPr>
          <w:pgSz w:w="11900" w:h="16838" w:orient="portrait"/>
          <w:cols w:equalWidth="0" w:num="2">
            <w:col w:w="500" w:space="160"/>
            <w:col w:w="835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4" w:name="page415"/>
    <w:bookmarkEnd w:id="4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all Registrable Securities held by the Company Investors, each of which will also count as an Underwritten Takedown of the Company Investors under </w:t>
      </w:r>
      <w:r>
        <w:rPr>
          <w:rFonts w:ascii="Times New Roman" w:cs="Times New Roman" w:eastAsia="Times New Roman" w:hAnsi="Times New Roman"/>
          <w:sz w:val="18"/>
          <w:szCs w:val="18"/>
          <w:u w:val="single" w:color="auto"/>
          <w:color w:val="auto"/>
        </w:rPr>
        <w:t>Section 2.1.5(c)(ii)</w:t>
      </w:r>
      <w:r>
        <w:rPr>
          <w:rFonts w:ascii="Times New Roman" w:cs="Times New Roman" w:eastAsia="Times New Roman" w:hAnsi="Times New Roman"/>
          <w:sz w:val="18"/>
          <w:szCs w:val="18"/>
          <w:color w:val="auto"/>
        </w:rPr>
        <w:t>; or (d) more than [•]</w:t>
      </w:r>
      <w:r>
        <w:rPr>
          <w:rFonts w:ascii="Times New Roman" w:cs="Times New Roman" w:eastAsia="Times New Roman" w:hAnsi="Times New Roman"/>
          <w:sz w:val="20"/>
          <w:szCs w:val="20"/>
          <w:color w:val="auto"/>
          <w:vertAlign w:val="superscript"/>
        </w:rPr>
        <w:t>7</w:t>
      </w:r>
      <w:r>
        <w:rPr>
          <w:rFonts w:ascii="Times New Roman" w:cs="Times New Roman" w:eastAsia="Times New Roman" w:hAnsi="Times New Roman"/>
          <w:sz w:val="18"/>
          <w:szCs w:val="18"/>
          <w:color w:val="auto"/>
        </w:rPr>
        <w:t xml:space="preserve"> Underwritten Demand Registrations in respect of all Registrable Securities held by Gemini Investors, each of which will also count as an Underwritten Takedown of Gemini Investors under </w:t>
      </w:r>
      <w:r>
        <w:rPr>
          <w:rFonts w:ascii="Times New Roman" w:cs="Times New Roman" w:eastAsia="Times New Roman" w:hAnsi="Times New Roman"/>
          <w:sz w:val="18"/>
          <w:szCs w:val="18"/>
          <w:u w:val="single" w:color="auto"/>
          <w:color w:val="auto"/>
        </w:rPr>
        <w:t>Section 2.1.5(c)(iii)</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jc w:val="both"/>
        <w:ind w:left="460" w:right="47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24" w:lineRule="exact"/>
        <w:rPr>
          <w:sz w:val="20"/>
          <w:szCs w:val="20"/>
          <w:color w:val="auto"/>
        </w:rPr>
      </w:pPr>
    </w:p>
    <w:p>
      <w:pPr>
        <w:jc w:val="both"/>
        <w:ind w:left="460" w:right="459" w:firstLine="864"/>
        <w:spacing w:after="0" w:line="250"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If the Demanding Holders so elect and such holders so advise the Company as part of their written demand for a Demand Registration, the offering of such Registrable Securities pursuant to such Demand Registration shall be in the form of an underwritten offering with an estimated market value of at least $[•]</w:t>
      </w:r>
      <w:r>
        <w:rPr>
          <w:rFonts w:ascii="Times New Roman" w:cs="Times New Roman" w:eastAsia="Times New Roman" w:hAnsi="Times New Roman"/>
          <w:sz w:val="20"/>
          <w:szCs w:val="20"/>
          <w:color w:val="auto"/>
          <w:vertAlign w:val="superscript"/>
        </w:rPr>
        <w:t>8</w:t>
      </w:r>
      <w:r>
        <w:rPr>
          <w:rFonts w:ascii="Times New Roman" w:cs="Times New Roman" w:eastAsia="Times New Roman" w:hAnsi="Times New Roman"/>
          <w:sz w:val="18"/>
          <w:szCs w:val="18"/>
          <w:color w:val="auto"/>
        </w:rPr>
        <w:t>.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the Company.</w:t>
      </w:r>
    </w:p>
    <w:p>
      <w:pPr>
        <w:spacing w:after="0" w:line="115"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Common Stock or other securities which the Company desires to sell and the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that can be sold without exceeding the Maximum Number of Shares; (ii) second, to the extent that the Maximum Number of Shares has not been reached under the foregoing clause (i), the Common Stock or other securities that the Company desires to sell that can be sold without exceeding the Maximum Number of Shares; (iii) third, to the extent that the Maximum Number of Shares has not been reached under the foregoing clauses (i) and (ii), the Common Stock or other securities for the account of other persons that the Company is obligated to register pursuant to written contractual arrangements with such persons, as to which “piggy-back” registration has been requested by the holders thereof, Pro Rata, that can be sold without exceeding the Maximum Number of Shares.</w:t>
      </w:r>
    </w:p>
    <w:p>
      <w:pPr>
        <w:spacing w:after="0" w:line="122"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 Demanding Holder shall have the right to withdraw all or any portion of its Registrable Securities included in an Underwritten Offering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for any reason or no reason whatsoever upon written notice to the Company and the Underwriter or Underwriters of its intention to withdraw from such Underwritten Offering prior to the pricing of such Underwritten Offering and such withdrawn amount shall no longer be considered an Underwritten Offering. Notwithstanding anything to the contrary in this Agreement, the Company shall be responsible for the registration expenses incurred in connection with an Underwritten Offering prior to its withdrawal under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ectPr>
          <w:pgSz w:w="11900" w:h="16838" w:orient="portrait"/>
          <w:cols w:equalWidth="0" w:num="1">
            <w:col w:w="9019"/>
          </w:cols>
          <w:pgMar w:left="1440" w:top="270" w:right="1440" w:bottom="1440" w:gutter="0" w:footer="0" w:header="0"/>
        </w:sectPr>
      </w:pP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7</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8"/>
          <w:szCs w:val="8"/>
          <w:color w:val="auto"/>
        </w:rPr>
        <w:t>8</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Parties to discuss.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Amount TBD based on post-Closing market cap and pro forma capitalization table.</w:t>
      </w:r>
    </w:p>
    <w:p>
      <w:pPr>
        <w:spacing w:after="0" w:line="182" w:lineRule="exact"/>
        <w:rPr>
          <w:sz w:val="20"/>
          <w:szCs w:val="20"/>
          <w:color w:val="auto"/>
        </w:rPr>
      </w:pPr>
    </w:p>
    <w:p>
      <w:pPr>
        <w:sectPr>
          <w:pgSz w:w="11900" w:h="16838" w:orient="portrait"/>
          <w:cols w:equalWidth="0" w:num="2">
            <w:col w:w="500" w:space="160"/>
            <w:col w:w="835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5" w:name="page416"/>
    <w:bookmarkEnd w:id="4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at any time after the first anniversary of the date of this Agreement,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other than a Registration Statement (i) filed in connection with any employee stock option or other benefit plan,</w:t>
      </w:r>
    </w:p>
    <w:p>
      <w:pPr>
        <w:spacing w:after="0" w:line="5" w:lineRule="exact"/>
        <w:rPr>
          <w:sz w:val="20"/>
          <w:szCs w:val="20"/>
          <w:color w:val="auto"/>
        </w:rPr>
      </w:pPr>
    </w:p>
    <w:p>
      <w:pPr>
        <w:jc w:val="both"/>
        <w:ind w:left="460" w:right="459" w:hanging="6"/>
        <w:spacing w:after="0" w:line="250" w:lineRule="auto"/>
        <w:tabs>
          <w:tab w:leader="none" w:pos="74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44"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to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The rights provided under this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shall not be available to any Investor at such time as (i) there is an effective Resale Shelf Registration Statement available for the resale of the Registerable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(ii) such Registration is solely to be used for the offering of securities by the Company for its own account and (iii) no other shareholder of the Company is entitled to participate in such Registration.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24"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xml:space="preserve">. If the managing Underwriter or Underwriters for a Piggy-Back Registration that is to be an underwritten offering advises the Company and the holders of Registrable Securities in writing that the dollar amount or number of Common Stock which the Company desires to sell, taken together with Common Stock,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exceeds the Maximum Number of Shares, then the Company shall include in any such registration:</w:t>
      </w:r>
    </w:p>
    <w:p>
      <w:pPr>
        <w:spacing w:after="0" w:line="108" w:lineRule="exact"/>
        <w:rPr>
          <w:sz w:val="20"/>
          <w:szCs w:val="20"/>
          <w:color w:val="auto"/>
        </w:rPr>
      </w:pPr>
    </w:p>
    <w:p>
      <w:pPr>
        <w:jc w:val="both"/>
        <w:ind w:left="460" w:right="459" w:firstLine="1074"/>
        <w:spacing w:after="0" w:line="254" w:lineRule="auto"/>
        <w:tabs>
          <w:tab w:leader="none" w:pos="179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undertaken for the Company’s account: (A) first, the Common Stock or other securities that the Company desires to sell that can be sold without exceeding the Maximum Number of Shares; and (B) second, to the extent that the Maximum Number of Shares has not been reached under the foregoing clause (A), the Common Stock or other securities, if any, comprised of Registrable Securities, as to which registration has been requested pursuant to the terms hereof, that can be sold without exceeding the Maximum Number of Shares, Pro Rata; and (C) third, to the extent that the Maximum Number of shares has not been reached under the foregoing clauses (A) and (B), the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120" w:lineRule="exact"/>
        <w:rPr>
          <w:rFonts w:ascii="Times New Roman" w:cs="Times New Roman" w:eastAsia="Times New Roman" w:hAnsi="Times New Roman"/>
          <w:sz w:val="18"/>
          <w:szCs w:val="18"/>
          <w:color w:val="auto"/>
        </w:rPr>
      </w:pPr>
    </w:p>
    <w:p>
      <w:pPr>
        <w:jc w:val="both"/>
        <w:ind w:left="460" w:right="459" w:firstLine="1074"/>
        <w:spacing w:after="0" w:line="253" w:lineRule="auto"/>
        <w:tabs>
          <w:tab w:leader="none" w:pos="1803"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a “demand” registration undertaken at the demand of persons other than either the holders of Registrable Securities, (A) first, the Common Stock or other securities for the account of the demanding persons that can be sold without exceeding the Maximum Number of Shares; (B) second, to the extent that the Maximum Number of Shares has not been reached under the foregoing clause (A), the Common Stock or other securities that the Company desires to sell that can be sold without exceeding the Maximum Number of Shares; (C) third, to the extent that the Maximum Number of Shares has not been reached under the foregoing clauses (A) and (B), the Common Stock or other securities, if any,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Common Stock or other securities for the account of other persons that the Company is obligated to register pursuant to written contractual arrangements with such persons, that can be sold without exceeding the Maximum Number of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6" w:name="page417"/>
    <w:bookmarkEnd w:id="4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64"/>
        <w:spacing w:after="0" w:line="254"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 REGISTRATION PROCEDURES.</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Filings; Information</w:t>
      </w:r>
      <w:r>
        <w:rPr>
          <w:rFonts w:ascii="Times New Roman" w:cs="Times New Roman" w:eastAsia="Times New Roman" w:hAnsi="Times New Roman"/>
          <w:sz w:val="18"/>
          <w:szCs w:val="18"/>
          <w:color w:val="auto"/>
        </w:rPr>
        <w:t xml:space="preserve">. Whenever the Company is required to effect the registration of any Registrable Securities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Company shall use its commercially reasonable best efforts to effect the registration and sale of such Registrable Securities in accordance with the intended method(s) of distribution thereof as expeditiously as practicable, and in connection with any such request:</w:t>
      </w:r>
    </w:p>
    <w:p>
      <w:pPr>
        <w:spacing w:after="0" w:line="99" w:lineRule="exact"/>
        <w:rPr>
          <w:sz w:val="20"/>
          <w:szCs w:val="20"/>
          <w:color w:val="auto"/>
        </w:rPr>
      </w:pPr>
    </w:p>
    <w:p>
      <w:pPr>
        <w:jc w:val="both"/>
        <w:ind w:left="460" w:right="459" w:firstLine="864"/>
        <w:spacing w:after="0" w:line="25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Filing Registration Statement</w:t>
      </w:r>
      <w:r>
        <w:rPr>
          <w:rFonts w:ascii="Times New Roman" w:cs="Times New Roman" w:eastAsia="Times New Roman" w:hAnsi="Times New Roman"/>
          <w:sz w:val="18"/>
          <w:szCs w:val="18"/>
          <w:color w:val="auto"/>
        </w:rPr>
        <w:t xml:space="preserve">. The Company shall use its reasonable best efforts to, as expeditiously as possible after receipt of a request for a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reasonable best efforts to cause such Registration Statement to become effective and use its reasonable best efforts to keep it effective for the Effectiveness Period; provided, however, that the Company shall have the right to defer any Demand Registration for up to sixty (60) days, and any Piggy-Back Registration for such period as may be applicable to deferment of any Demand Registration to which such Piggy-Back Registration relates, in each case if, in the good faith judgment of the Board of Directors of the Company (the “</w:t>
      </w:r>
      <w:r>
        <w:rPr>
          <w:rFonts w:ascii="Times New Roman" w:cs="Times New Roman" w:eastAsia="Times New Roman" w:hAnsi="Times New Roman"/>
          <w:sz w:val="18"/>
          <w:szCs w:val="18"/>
          <w:b w:val="1"/>
          <w:bCs w:val="1"/>
          <w:u w:val="single" w:color="auto"/>
          <w:color w:val="auto"/>
        </w:rPr>
        <w:t>Company Board</w:t>
      </w:r>
      <w:r>
        <w:rPr>
          <w:rFonts w:ascii="Times New Roman" w:cs="Times New Roman" w:eastAsia="Times New Roman" w:hAnsi="Times New Roman"/>
          <w:sz w:val="18"/>
          <w:szCs w:val="18"/>
          <w:color w:val="auto"/>
        </w:rPr>
        <w:t>”), it would be materially detrimental to the Company and its shareholders for such Registration Statement to be effected at such time; provided, further, however, that the Company shall not have the right to exercise the right set forth in the immediately preceding proviso for more than a total of ninety</w:t>
      </w:r>
    </w:p>
    <w:p>
      <w:pPr>
        <w:spacing w:after="0" w:line="1" w:lineRule="exact"/>
        <w:rPr>
          <w:sz w:val="20"/>
          <w:szCs w:val="20"/>
          <w:color w:val="auto"/>
        </w:rPr>
      </w:pPr>
    </w:p>
    <w:p>
      <w:pPr>
        <w:ind w:left="460" w:right="479" w:hanging="6"/>
        <w:spacing w:after="0" w:line="260" w:lineRule="auto"/>
        <w:tabs>
          <w:tab w:leader="none" w:pos="832"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calendar days, or more than one hundred twenty (120) total calendar days in any 365-day period.</w:t>
      </w:r>
    </w:p>
    <w:p>
      <w:pPr>
        <w:spacing w:after="0" w:line="11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Copies</w:t>
      </w:r>
      <w:r>
        <w:rPr>
          <w:rFonts w:ascii="Times New Roman" w:cs="Times New Roman" w:eastAsia="Times New Roman" w:hAnsi="Times New Roman"/>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24"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Until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3" w:lineRule="exact"/>
        <w:rPr>
          <w:sz w:val="20"/>
          <w:szCs w:val="20"/>
          <w:color w:val="auto"/>
        </w:rPr>
      </w:pPr>
    </w:p>
    <w:p>
      <w:pPr>
        <w:jc w:val="both"/>
        <w:ind w:left="460" w:right="459" w:hanging="6"/>
        <w:spacing w:after="0" w:line="252" w:lineRule="auto"/>
        <w:tabs>
          <w:tab w:leader="none" w:pos="754"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all Registrable Securities are permitted to sell the Registrable Securities under Rule 144 (or any similar provision) under the Securities Act without limitation on the amount of securities sold or the manner of sale,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(the “</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7" w:name="page418"/>
    <w:bookmarkEnd w:id="4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121" w:lineRule="exact"/>
        <w:rPr>
          <w:sz w:val="20"/>
          <w:szCs w:val="20"/>
          <w:color w:val="auto"/>
        </w:rPr>
      </w:pPr>
    </w:p>
    <w:p>
      <w:pPr>
        <w:jc w:val="both"/>
        <w:ind w:left="460" w:right="47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Securities Laws Compliance</w:t>
      </w:r>
      <w:r>
        <w:rPr>
          <w:rFonts w:ascii="Times New Roman" w:cs="Times New Roman" w:eastAsia="Times New Roman" w:hAnsi="Times New Roman"/>
          <w:sz w:val="18"/>
          <w:szCs w:val="18"/>
          <w:color w:val="auto"/>
        </w:rPr>
        <w:t>. The Company shall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24"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Agreements for Disposition</w:t>
      </w:r>
      <w:r>
        <w:rPr>
          <w:rFonts w:ascii="Times New Roman" w:cs="Times New Roman" w:eastAsia="Times New Roman" w:hAnsi="Times New Roman"/>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the Company.</w:t>
      </w:r>
    </w:p>
    <w:p>
      <w:pPr>
        <w:spacing w:after="0" w:line="107"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The Company shall obtain a “cold comfort” letter from the Company’s independent registered public accountants in the event of an underwritten offering, in customary form and covering such matters of the type customarily covered by “cold comfort” letters as the managing Underwriter may reasonably request, and reasonably satisfactory to a majority-in-interest of the participating holders.</w:t>
      </w:r>
    </w:p>
    <w:p>
      <w:pPr>
        <w:spacing w:after="0" w:line="112" w:lineRule="exact"/>
        <w:rPr>
          <w:sz w:val="20"/>
          <w:szCs w:val="20"/>
          <w:color w:val="auto"/>
        </w:rPr>
      </w:pPr>
    </w:p>
    <w:p>
      <w:pPr>
        <w:jc w:val="both"/>
        <w:ind w:left="460" w:right="459" w:firstLine="864"/>
        <w:spacing w:after="0" w:line="255"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Opinions</w:t>
      </w:r>
      <w:r>
        <w:rPr>
          <w:rFonts w:ascii="Times New Roman" w:cs="Times New Roman" w:eastAsia="Times New Roman" w:hAnsi="Times New Roman"/>
          <w:sz w:val="18"/>
          <w:szCs w:val="18"/>
          <w:color w:val="auto"/>
        </w:rPr>
        <w:t>. On the date the Registrable Securities are delivered for sale pursuant to any Registration, the Company shall obtain an opinion, dated such date, of one (1)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reasonably satisfactory to a majority in interest of the participating holders.</w:t>
      </w:r>
    </w:p>
    <w:p>
      <w:pPr>
        <w:spacing w:after="0" w:line="121"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 If an Underwritten Offering involves Registrable Securities with a total offering price (including piggyback securities and before deducting underwriting discounts) to exceed $[•], the Company will use its reasonable best efforts to make available senior executives of the Company to participate in customary “road show” presentations that may be reasonably requested by the Underwriter in the Underwritten Offering.</w:t>
      </w:r>
    </w:p>
    <w:p>
      <w:pPr>
        <w:spacing w:after="0" w:line="113"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3.1.10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Upon execution of confidentiality agreements,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8" w:name="page419"/>
    <w:bookmarkEnd w:id="4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64"/>
        <w:spacing w:after="0" w:line="261" w:lineRule="auto"/>
        <w:rPr>
          <w:sz w:val="20"/>
          <w:szCs w:val="20"/>
          <w:color w:val="auto"/>
        </w:rPr>
      </w:pPr>
      <w:r>
        <w:rPr>
          <w:rFonts w:ascii="Times New Roman" w:cs="Times New Roman" w:eastAsia="Times New Roman" w:hAnsi="Times New Roman"/>
          <w:sz w:val="18"/>
          <w:szCs w:val="18"/>
          <w:color w:val="auto"/>
        </w:rPr>
        <w:t xml:space="preserve">3.1.11 </w:t>
      </w: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12" w:lineRule="exact"/>
        <w:rPr>
          <w:sz w:val="20"/>
          <w:szCs w:val="20"/>
          <w:color w:val="auto"/>
        </w:rPr>
      </w:pPr>
    </w:p>
    <w:p>
      <w:pPr>
        <w:jc w:val="both"/>
        <w:ind w:left="460" w:right="479" w:firstLine="864"/>
        <w:spacing w:after="0" w:line="266" w:lineRule="auto"/>
        <w:rPr>
          <w:sz w:val="20"/>
          <w:szCs w:val="20"/>
          <w:color w:val="auto"/>
        </w:rPr>
      </w:pPr>
      <w:r>
        <w:rPr>
          <w:rFonts w:ascii="Times New Roman" w:cs="Times New Roman" w:eastAsia="Times New Roman" w:hAnsi="Times New Roman"/>
          <w:sz w:val="18"/>
          <w:szCs w:val="18"/>
          <w:color w:val="auto"/>
        </w:rPr>
        <w:t xml:space="preserve">3.1.12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reasonable best efforts to cause all Registrable Securities included in any Registration Statement to be listed on such exchanges or otherwise designated for trading in the same manner as similar securities issued by the Company are then listed or designated.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Obligation to Suspend Distribution</w:t>
      </w:r>
      <w:r>
        <w:rPr>
          <w:rFonts w:ascii="Times New Roman" w:cs="Times New Roman" w:eastAsia="Times New Roman" w:hAnsi="Times New Roman"/>
          <w:sz w:val="18"/>
          <w:szCs w:val="18"/>
          <w:color w:val="auto"/>
        </w:rPr>
        <w:t xml:space="preserve">.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3.1.4(iv)</w:t>
      </w:r>
      <w:r>
        <w:rPr>
          <w:rFonts w:ascii="Times New Roman" w:cs="Times New Roman" w:eastAsia="Times New Roman" w:hAnsi="Times New Roman"/>
          <w:sz w:val="18"/>
          <w:szCs w:val="18"/>
          <w:color w:val="auto"/>
        </w:rPr>
        <w:t xml:space="preserve">, or, upon any suspension by the Company, pursuant to a written insider trading compliance program adopted by the Company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Times New Roman" w:cs="Times New Roman" w:eastAsia="Times New Roman" w:hAnsi="Times New Roman"/>
          <w:sz w:val="18"/>
          <w:szCs w:val="18"/>
          <w:u w:val="single" w:color="auto"/>
          <w:color w:val="auto"/>
        </w:rPr>
        <w:t>Section 3.1.4(iv)</w:t>
      </w:r>
      <w:r>
        <w:rPr>
          <w:rFonts w:ascii="Times New Roman" w:cs="Times New Roman" w:eastAsia="Times New Roman" w:hAnsi="Times New Roman"/>
          <w:sz w:val="18"/>
          <w:szCs w:val="18"/>
          <w:color w:val="auto"/>
        </w:rPr>
        <w:t xml:space="preserve">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The Company shall bear all costs and expenses incurred in connection with the Resale Shelf Registration Statement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any Demand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any Underwritten Takedown pursuant to </w:t>
      </w:r>
      <w:r>
        <w:rPr>
          <w:rFonts w:ascii="Times New Roman" w:cs="Times New Roman" w:eastAsia="Times New Roman" w:hAnsi="Times New Roman"/>
          <w:sz w:val="18"/>
          <w:szCs w:val="18"/>
          <w:u w:val="single" w:color="auto"/>
          <w:color w:val="auto"/>
        </w:rPr>
        <w:t>Section 2.1.5(a)(i)</w:t>
      </w:r>
      <w:r>
        <w:rPr>
          <w:rFonts w:ascii="Times New Roman" w:cs="Times New Roman" w:eastAsia="Times New Roman" w:hAnsi="Times New Roman"/>
          <w:sz w:val="18"/>
          <w:szCs w:val="18"/>
          <w:color w:val="auto"/>
        </w:rPr>
        <w:t xml:space="preserve">, any Piggy-Back Registration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any registration on Form S-3 effected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w:t>
      </w:r>
      <w:r>
        <w:rPr>
          <w:rFonts w:ascii="Times New Roman" w:cs="Times New Roman" w:eastAsia="Times New Roman" w:hAnsi="Times New Roman"/>
          <w:sz w:val="18"/>
          <w:szCs w:val="18"/>
          <w:u w:val="single" w:color="auto"/>
          <w:color w:val="auto"/>
        </w:rPr>
        <w:t>Section 3.1.10</w:t>
      </w:r>
      <w:r>
        <w:rPr>
          <w:rFonts w:ascii="Times New Roman" w:cs="Times New Roman" w:eastAsia="Times New Roman" w:hAnsi="Times New Roman"/>
          <w:sz w:val="18"/>
          <w:szCs w:val="18"/>
          <w:color w:val="auto"/>
        </w:rPr>
        <w:t>; (vi) Financial Industry Regulatory Authority fees; (vii) fees and disbursements of counsel for the Company and fees and expenses for independent certified public accountants retained by the Company; (viii) the fees and expenses of any special experts retained by the Company in connection with such registration and (ix) the reasonable fees and expenses of one legal counsel selected by the holders of a majority-in-interest of the Registrable Securities included in such registration not to exceed $25,000.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Underwriter’s marketing costs pro rata in proportion to the respective amount of shares each is selling in such offering.</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holders of Registrable Securities shall promptly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and in connection with the Company’s obligation to comply with Federal and applicable state securities laws.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 INDEMNIFICATION AND CONTRIBUTION.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19" w:name="page420"/>
    <w:bookmarkEnd w:id="4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shall indemnify the Underwriters, their officers, directors and each person who controls such Underwriters (within the meaning of the Securities Act) to the same extent as provided in the foregoing sentence with respect to the indemnification of the holders.</w:t>
      </w:r>
    </w:p>
    <w:p>
      <w:pPr>
        <w:spacing w:after="0" w:line="13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Indemnification by Holders of Registrable Securities</w:t>
      </w:r>
      <w:r>
        <w:rPr>
          <w:rFonts w:ascii="Times New Roman" w:cs="Times New Roman" w:eastAsia="Times New Roman" w:hAnsi="Times New Roman"/>
          <w:sz w:val="18"/>
          <w:szCs w:val="18"/>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other selling holder and each other person, if any, who controls another selling holder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but only to the extent that such untrue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 The selling holders shall indemnify the Underwriters, their officers, directors and each person who controls such Underwriters (within the meaning of the Securities Act) to the same extent as provided in the foregoing with respect to the indemnification of the Company.</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xml:space="preserve">. Promptly after receipt by any person of any notice of any loss, claim, damage or liability or any action in respect of which indemnity may be sought pursuant to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such person (the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shall, if a claim in respect thereof is to be made against any other person for indemnification hereunder, notify such other person (the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0" w:name="page421"/>
    <w:bookmarkEnd w:id="4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864"/>
        <w:spacing w:after="0" w:line="253" w:lineRule="auto"/>
        <w:rPr>
          <w:sz w:val="20"/>
          <w:szCs w:val="20"/>
          <w:color w:val="auto"/>
        </w:rPr>
      </w:pPr>
      <w:r>
        <w:rPr>
          <w:rFonts w:ascii="Times New Roman" w:cs="Times New Roman" w:eastAsia="Times New Roman" w:hAnsi="Times New Roman"/>
          <w:sz w:val="18"/>
          <w:szCs w:val="18"/>
          <w:color w:val="auto"/>
        </w:rPr>
        <w:t xml:space="preserve">4.4.1 If the indemnification provided for in the foregoing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11" w:lineRule="exact"/>
        <w:rPr>
          <w:sz w:val="20"/>
          <w:szCs w:val="20"/>
          <w:color w:val="auto"/>
        </w:rPr>
      </w:pPr>
    </w:p>
    <w:p>
      <w:pPr>
        <w:jc w:val="both"/>
        <w:ind w:left="460" w:right="459" w:firstLine="864"/>
        <w:spacing w:after="0" w:line="266" w:lineRule="auto"/>
        <w:rPr>
          <w:sz w:val="20"/>
          <w:szCs w:val="20"/>
          <w:color w:val="auto"/>
        </w:rPr>
      </w:pPr>
      <w:r>
        <w:rPr>
          <w:rFonts w:ascii="Times New Roman" w:cs="Times New Roman" w:eastAsia="Times New Roman" w:hAnsi="Times New Roman"/>
          <w:sz w:val="18"/>
          <w:szCs w:val="18"/>
          <w:color w:val="auto"/>
        </w:rPr>
        <w:t xml:space="preserve">4.4.2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4.4.2</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the immediately preceding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864"/>
        <w:spacing w:after="0" w:line="254" w:lineRule="auto"/>
        <w:rPr>
          <w:sz w:val="20"/>
          <w:szCs w:val="20"/>
          <w:color w:val="auto"/>
        </w:rPr>
      </w:pPr>
      <w:r>
        <w:rPr>
          <w:rFonts w:ascii="Times New Roman" w:cs="Times New Roman" w:eastAsia="Times New Roman" w:hAnsi="Times New Roman"/>
          <w:sz w:val="18"/>
          <w:szCs w:val="18"/>
          <w:color w:val="auto"/>
        </w:rPr>
        <w:t xml:space="preserve">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 UNDERWRITING AND DISTRIBUTION.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such holders with true and complete copies of all such filings. The Company further covenants that it shall take such further action as any such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 LOCK-UP AGREEMENTS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Investor Lock-Up</w:t>
      </w:r>
      <w:r>
        <w:rPr>
          <w:rFonts w:ascii="Times New Roman" w:cs="Times New Roman" w:eastAsia="Times New Roman" w:hAnsi="Times New Roman"/>
          <w:sz w:val="18"/>
          <w:szCs w:val="18"/>
          <w:color w:val="auto"/>
        </w:rPr>
        <w:t>. Each Investor agrees that such Investor shall not Transfer any shares of Common Stock or any securities convertible into or exercisable or exchangeable (directly or indirectly) for Common Stock (whether such shares of Common Stock or any such securities are held by such Investor as of the date of this Agreement or are thereafter acquired) for one hundred eighty (180) days following the Closing Date (as such term is defined in the Merger Agreement). The foregoing restriction is expressly agreed to preclude each Investor during the Lock-up Period from engaging in any hedging or other transaction which is designed to or which reasonably could be expected to lead to or result in a sale or disposition of such Investor’s shares of Common Stock even if such shares of Common Stock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Investor’s shares of Common Stock or with respect to any security that includes, relates to, or derives any significant part of its value from such shares of Common Stock.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1" w:name="page422"/>
    <w:bookmarkEnd w:id="4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foregoing notwithstanding, each executive officer and director of the Company shall be permitted to establish a plan to acquire and sell shares of Common Stock pursuant to Rule 10b5-1 under the Exchange Act; provided, however, no sale of shares under any such plan shall be made prior to the expiration of the one hundred eighty (180) lock-up period referred to in the first sentence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7. MISCELLANEOUS.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Registration Rights and Arrangements</w:t>
      </w:r>
      <w:r>
        <w:rPr>
          <w:rFonts w:ascii="Times New Roman" w:cs="Times New Roman" w:eastAsia="Times New Roman" w:hAnsi="Times New Roman"/>
          <w:sz w:val="18"/>
          <w:szCs w:val="18"/>
          <w:color w:val="auto"/>
        </w:rPr>
        <w:t>. The Company represents and warrants that no person, other than a holder of the Registrable Securities has any right to require the Company to register any of the Company’s share capital for sale or to include the Company’s share capital in any registration filed by the Company for the sale of shares for its own account or for the account of any other person. Company and the Company Investors hereby terminate the Prior Agreement, which shall be of no further force and effect and is hereby superseded and replaced in its entirety by this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 xml:space="preserve">.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permitted transfer of Registrable Securities by any such holder.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 rights of a holder of Registrable Securities under this Agreement may be transferred by such a holder to a transferee who acquires or holds Registrable Securities; provided, however, that such transferee has executed and delivered to the Company a properly completed agreement to be bound by the terms of this Agreement substantially in form attached hereto as Exhibit A (an “</w:t>
      </w:r>
      <w:r>
        <w:rPr>
          <w:rFonts w:ascii="Times New Roman" w:cs="Times New Roman" w:eastAsia="Times New Roman" w:hAnsi="Times New Roman"/>
          <w:sz w:val="18"/>
          <w:szCs w:val="18"/>
          <w:b w:val="1"/>
          <w:bCs w:val="1"/>
          <w:u w:val="single" w:color="auto"/>
          <w:color w:val="auto"/>
        </w:rPr>
        <w:t>Addendum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and the transferor shall have delivered to the Company no later than thirty (30) days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the transfer, written 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Without limiting the generality of the foregoing, clause “(ii) of the definition of “Registrable Securities, Section 2.1.5(c)(ii), Section 2.2.1(i), Section 2.2.1(c), Section 6.1 and Section 7.4 shall only be waived, amended and modified by the Company Investors who hold a majority in interest of the Registrable Securities held by all Company Investors at the time in question.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2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w:t>
      </w:r>
    </w:p>
    <w:p>
      <w:pPr>
        <w:spacing w:after="0" w:line="3" w:lineRule="exact"/>
        <w:rPr>
          <w:sz w:val="20"/>
          <w:szCs w:val="20"/>
          <w:color w:val="auto"/>
        </w:rPr>
      </w:pPr>
    </w:p>
    <w:p>
      <w:pPr>
        <w:jc w:val="both"/>
        <w:ind w:left="460" w:right="479" w:hanging="6"/>
        <w:spacing w:after="0" w:line="251" w:lineRule="auto"/>
        <w:tabs>
          <w:tab w:leader="none" w:pos="75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all Registrable Securities are permitted to sell the Registrable Securities under Rule 144 (or any similar provision) under the Securities Act without limitation on the amount of securities sold or the manner of sale; provided further that with respect to any Investor, such Investor will have no rights under this Agreement and all obligations of the Company to such Investor under this Agreement shall terminate upon the earlier of (x) the date such Investor ceases to hold at least [•] Registrable Securities or (y) if such Investor is an individual and such Investor is a director or an executive officer of Gemini as of immediately prior to the consummation of the Merger, the date such Investor is no longer an affiliate of the Company; provided, however, that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survive such termination.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2" w:name="page423"/>
    <w:bookmarkEnd w:id="4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telegram, telex or facsimile; provided, that if such service or transmission is not on a Business Day or is after normal business hours, then such notice shall be deemed given on the next Business Day (ii) one Business Day after being deposited with a reputable courier service with an order for next-day delivery, to the parties as follows: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w:t>
      </w:r>
    </w:p>
    <w:p>
      <w:pPr>
        <w:ind w:left="88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Jason Meyenburg</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880"/>
        <w:spacing w:after="0"/>
        <w:tabs>
          <w:tab w:leader="none" w:pos="1460" w:val="left"/>
        </w:tabs>
        <w:rPr>
          <w:sz w:val="20"/>
          <w:szCs w:val="20"/>
          <w:color w:val="auto"/>
        </w:rPr>
      </w:pPr>
      <w:r>
        <w:rPr>
          <w:rFonts w:ascii="Times New Roman" w:cs="Times New Roman" w:eastAsia="Times New Roman" w:hAnsi="Times New Roman"/>
          <w:sz w:val="18"/>
          <w:szCs w:val="18"/>
          <w:color w:val="auto"/>
        </w:rPr>
        <w:t>Attn:</w:t>
        <w:tab/>
        <w:t>Mitchell S. Bloom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Jocelyn M. Arel</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Daniel J. Espinoza</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mbloom@goodwinlaw.com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jarel@goodwinlaw.com</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despinoza@goodwinlaw.com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If to Company:</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Facsimile: [____________]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[_______________]</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[________________]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Facsimile: [____________]</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[_______________]</w:t>
      </w:r>
    </w:p>
    <w:p>
      <w:pPr>
        <w:spacing w:after="0" w:line="13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to an Investor, to the address set forth under such Investor’s signature to this Agreement or to such Investor’s address as found in the Company’s books and records.</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taken together shall constitute one and the same instrument.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3" w:name="page424"/>
    <w:bookmarkEnd w:id="4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1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4" w:name="page425"/>
    <w:bookmarkEnd w:id="4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executed and delivered by their duly authorized representatives as of the date first written above.</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FS DEVELOPMENT CORP.</w:t>
      </w:r>
    </w:p>
    <w:p>
      <w:pPr>
        <w:spacing w:after="0" w:line="7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43180</wp:posOffset>
            </wp:positionV>
            <wp:extent cx="20148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5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EGISTRATION</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5" w:name="page426"/>
    <w:bookmarkEnd w:id="4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Rights Agreement to be executed and delivered by their duly authorized representatives as of the date first written above.</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222885</wp:posOffset>
            </wp:positionV>
            <wp:extent cx="230568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4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Address: [__________]</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w:t>
      </w:r>
    </w:p>
    <w:p>
      <w:pPr>
        <w:spacing w:after="0" w:line="7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6" w:name="page427"/>
    <w:bookmarkEnd w:id="4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Agreement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Addendum Agreement (“</w:t>
      </w:r>
      <w:r>
        <w:rPr>
          <w:rFonts w:ascii="Times New Roman" w:cs="Times New Roman" w:eastAsia="Times New Roman" w:hAnsi="Times New Roman"/>
          <w:sz w:val="18"/>
          <w:szCs w:val="18"/>
          <w:u w:val="single" w:color="auto"/>
          <w:color w:val="auto"/>
        </w:rPr>
        <w:t>Addendum Agreement</w:t>
      </w:r>
      <w:r>
        <w:rPr>
          <w:rFonts w:ascii="Times New Roman" w:cs="Times New Roman" w:eastAsia="Times New Roman" w:hAnsi="Times New Roman"/>
          <w:sz w:val="18"/>
          <w:szCs w:val="18"/>
          <w:color w:val="auto"/>
        </w:rPr>
        <w:t>”) is executed on __________________, 20___, by</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undersigned (the “</w:t>
      </w:r>
      <w:r>
        <w:rPr>
          <w:rFonts w:ascii="Times New Roman" w:cs="Times New Roman" w:eastAsia="Times New Roman" w:hAnsi="Times New Roman"/>
          <w:sz w:val="18"/>
          <w:szCs w:val="18"/>
          <w:u w:val="single" w:color="auto"/>
          <w:color w:val="auto"/>
        </w:rPr>
        <w:t>New Holder</w:t>
      </w:r>
      <w:r>
        <w:rPr>
          <w:rFonts w:ascii="Times New Roman" w:cs="Times New Roman" w:eastAsia="Times New Roman" w:hAnsi="Times New Roman"/>
          <w:sz w:val="18"/>
          <w:szCs w:val="18"/>
          <w:color w:val="auto"/>
        </w:rPr>
        <w:t>”) pursuant to the terms of that certain Registration Rights Agreement dated as of [•], 2020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the Company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119" w:lineRule="exact"/>
        <w:rPr>
          <w:sz w:val="20"/>
          <w:szCs w:val="20"/>
          <w:color w:val="auto"/>
        </w:rPr>
      </w:pPr>
    </w:p>
    <w:p>
      <w:pPr>
        <w:jc w:val="both"/>
        <w:ind w:left="460" w:right="459" w:firstLine="426"/>
        <w:spacing w:after="0" w:line="261" w:lineRule="auto"/>
        <w:tabs>
          <w:tab w:leader="none" w:pos="1072"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New Holder acknowledges that New Holder is acquiring certain shares of common stock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as a transferee of such Shares from a party in such party’s capacity as a holder of Registrable Securities under the Agreement, and after such transfer, New Holder shall be considered an “Investor” and a holder of Registrable Securities for all purposes under the Agreement.</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072"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New Holder hereby (a) agrees that the Shares shall be bound by and subject to the terms of the Agreement and (b) adopts the Agreement with the same force and effect as if the New Holder were originally a party thereto.</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72"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or permitted by the Agreement shall be given to New Holder at the address or facsimile number listed below New Holder’s signature below.</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w:t>
            </w: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w:t>
            </w: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ACCEPTED AND AGREED:</w:t>
            </w:r>
          </w:p>
        </w:tc>
        <w:tc>
          <w:tcPr>
            <w:tcW w:w="0" w:type="dxa"/>
            <w:vAlign w:val="bottom"/>
          </w:tcPr>
          <w:p>
            <w:pPr>
              <w:spacing w:after="0"/>
              <w:rPr>
                <w:sz w:val="1"/>
                <w:szCs w:val="1"/>
                <w:color w:val="auto"/>
              </w:rPr>
            </w:pP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FS DEVELOPMENT CORP.</w:t>
            </w:r>
          </w:p>
        </w:tc>
        <w:tc>
          <w:tcPr>
            <w:tcW w:w="0" w:type="dxa"/>
            <w:vAlign w:val="bottom"/>
          </w:tcPr>
          <w:p>
            <w:pPr>
              <w:spacing w:after="0"/>
              <w:rPr>
                <w:sz w:val="1"/>
                <w:szCs w:val="1"/>
                <w:color w:val="auto"/>
              </w:rPr>
            </w:pPr>
          </w:p>
        </w:tc>
      </w:tr>
      <w:tr>
        <w:trPr>
          <w:trHeight w:val="40"/>
        </w:trPr>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22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5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412"/>
        </w:trPr>
        <w:tc>
          <w:tcPr>
            <w:tcW w:w="1280" w:type="dxa"/>
            <w:vAlign w:val="bottom"/>
            <w:gridSpan w:val="2"/>
            <w:vMerge w:val="continue"/>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Annex A-124</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27" w:name="page428"/>
    <w:bookmarkEnd w:id="4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SCHEDULE I</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Atlas Venture Fund X,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Singapore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Ventures (A), L.P.</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Lightstone Ventures,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OrbiMed Private Investments VI, 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Wu Capital Investment LLC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8" w:name="page429"/>
    <w:bookmarkEnd w:id="4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 The name of its registered agent at such address is [•].</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[__________] Million ([__________]) of which (i) [__________] Million ([______]) shares shall be a</w:t>
      </w: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class designated as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08" w:lineRule="exact"/>
        <w:rPr>
          <w:sz w:val="20"/>
          <w:szCs w:val="20"/>
          <w:color w:val="auto"/>
        </w:rPr>
      </w:pPr>
    </w:p>
    <w:p>
      <w:pPr>
        <w:jc w:val="both"/>
        <w:ind w:left="460" w:right="459" w:firstLine="858"/>
        <w:spacing w:after="0" w:line="253" w:lineRule="auto"/>
        <w:tabs>
          <w:tab w:leader="none" w:pos="1601"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9" w:name="page430"/>
    <w:bookmarkEnd w:id="4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1" w:lineRule="auto"/>
        <w:tabs>
          <w:tab w:leader="none" w:pos="158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any authorized committee thereof; and</w:t>
      </w:r>
    </w:p>
    <w:p>
      <w:pPr>
        <w:spacing w:after="0" w:line="112"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576"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94" w:lineRule="exact"/>
        <w:rPr>
          <w:rFonts w:ascii="Times New Roman" w:cs="Times New Roman" w:eastAsia="Times New Roman" w:hAnsi="Times New Roman"/>
          <w:sz w:val="18"/>
          <w:szCs w:val="18"/>
          <w:color w:val="auto"/>
        </w:rPr>
      </w:pPr>
    </w:p>
    <w:p>
      <w:pPr>
        <w:ind w:left="660" w:hanging="206"/>
        <w:spacing w:after="0"/>
        <w:tabs>
          <w:tab w:leader="none" w:pos="66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Undesignated Preferred Stock</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Action</w:t>
      </w:r>
    </w:p>
    <w:p>
      <w:pPr>
        <w:spacing w:after="0" w:line="162" w:lineRule="exact"/>
        <w:rPr>
          <w:sz w:val="20"/>
          <w:szCs w:val="20"/>
          <w:color w:val="auto"/>
        </w:rPr>
      </w:pPr>
    </w:p>
    <w:p>
      <w:pPr>
        <w:jc w:val="both"/>
        <w:ind w:left="460" w:right="459" w:firstLine="426"/>
        <w:spacing w:after="0" w:line="254" w:lineRule="auto"/>
        <w:tabs>
          <w:tab w:leader="none" w:pos="1072"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99"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48" w:lineRule="exact"/>
        <w:rPr>
          <w:sz w:val="20"/>
          <w:szCs w:val="20"/>
          <w:color w:val="auto"/>
        </w:rPr>
      </w:pPr>
    </w:p>
    <w:p>
      <w:pPr>
        <w:ind w:left="460" w:right="459" w:firstLine="426"/>
        <w:spacing w:after="0" w:line="282" w:lineRule="auto"/>
        <w:tabs>
          <w:tab w:leader="none" w:pos="1072"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94"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08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provide.</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072"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Subject to the terms of the Registration and Rights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number of Directors of the Corporation shall be fixed solely and exclusively by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0" w:name="page431"/>
    <w:bookmarkEnd w:id="4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 Corporation shall be [Jim Tananbaum], [•] 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3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99" w:lineRule="exact"/>
        <w:rPr>
          <w:sz w:val="20"/>
          <w:szCs w:val="20"/>
          <w:color w:val="auto"/>
        </w:rPr>
      </w:pPr>
    </w:p>
    <w:p>
      <w:pPr>
        <w:jc w:val="both"/>
        <w:ind w:left="460" w:right="459" w:firstLine="426"/>
        <w:spacing w:after="0" w:line="252" w:lineRule="auto"/>
        <w:tabs>
          <w:tab w:leader="none" w:pos="1072"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072"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w:t>
      </w:r>
    </w:p>
    <w:p>
      <w:pPr>
        <w:spacing w:after="0" w:line="2" w:lineRule="exact"/>
        <w:rPr>
          <w:rFonts w:ascii="Times New Roman" w:cs="Times New Roman" w:eastAsia="Times New Roman" w:hAnsi="Times New Roman"/>
          <w:sz w:val="18"/>
          <w:szCs w:val="18"/>
          <w:color w:val="auto"/>
        </w:rPr>
      </w:pPr>
    </w:p>
    <w:p>
      <w:pPr>
        <w:jc w:val="both"/>
        <w:ind w:left="460" w:right="479" w:hanging="6"/>
        <w:spacing w:after="0" w:line="253" w:lineRule="auto"/>
        <w:tabs>
          <w:tab w:leader="none" w:pos="747"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1" w:name="page432"/>
    <w:bookmarkEnd w:id="4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148" w:lineRule="exact"/>
        <w:rPr>
          <w:sz w:val="20"/>
          <w:szCs w:val="20"/>
          <w:color w:val="auto"/>
        </w:rPr>
      </w:pPr>
    </w:p>
    <w:p>
      <w:pPr>
        <w:jc w:val="both"/>
        <w:ind w:left="460" w:right="479" w:firstLine="426"/>
        <w:spacing w:after="0" w:line="257" w:lineRule="auto"/>
        <w:tabs>
          <w:tab w:leader="none" w:pos="1085"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31"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01"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074"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By-Laws</w:t>
      </w:r>
    </w:p>
    <w:p>
      <w:pPr>
        <w:spacing w:after="0" w:line="148" w:lineRule="exact"/>
        <w:rPr>
          <w:sz w:val="20"/>
          <w:szCs w:val="20"/>
          <w:color w:val="auto"/>
        </w:rPr>
      </w:pPr>
    </w:p>
    <w:p>
      <w:pPr>
        <w:jc w:val="both"/>
        <w:ind w:left="460" w:right="459" w:firstLine="426"/>
        <w:spacing w:after="0" w:line="266" w:lineRule="auto"/>
        <w:tabs>
          <w:tab w:leader="none" w:pos="1072"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08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Certificate of Incorporation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148" w:lineRule="exact"/>
        <w:rPr>
          <w:sz w:val="20"/>
          <w:szCs w:val="20"/>
          <w:color w:val="auto"/>
        </w:rPr>
      </w:pPr>
    </w:p>
    <w:p>
      <w:pPr>
        <w:ind w:left="1060" w:hanging="174"/>
        <w:spacing w:after="0"/>
        <w:tabs>
          <w:tab w:leader="none" w:pos="106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157"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072"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2" w:name="page433"/>
    <w:bookmarkEnd w:id="4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1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[End of Text]</w:t>
      </w:r>
    </w:p>
    <w:p>
      <w:pPr>
        <w:spacing w:after="0" w:line="18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3" w:name="page434"/>
    <w:bookmarkEnd w:id="4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AMENDED AND RESTATED CERTIFICATE OF INCORPORATION is executed as of this ____</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day of __________, 2020.</w:t>
      </w:r>
    </w:p>
    <w:p>
      <w:pPr>
        <w:spacing w:after="0" w:line="20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8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43180</wp:posOffset>
            </wp:positionV>
            <wp:extent cx="192024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7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Closing Certificate of Incorporation]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4" w:name="page435"/>
    <w:bookmarkEnd w:id="4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3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140" w:hanging="254"/>
        <w:spacing w:after="0"/>
        <w:tabs>
          <w:tab w:leader="none" w:pos="114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3" w:lineRule="auto"/>
        <w:tabs>
          <w:tab w:leader="none" w:pos="1151"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and such stockholder must comply with the notice and other procedures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47" w:lineRule="auto"/>
        <w:tabs>
          <w:tab w:leader="none" w:pos="1154"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5" w:name="page436"/>
    <w:bookmarkEnd w:id="4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2" w:lineRule="auto"/>
        <w:rPr>
          <w:sz w:val="20"/>
          <w:szCs w:val="20"/>
          <w:color w:val="auto"/>
        </w:rPr>
      </w:pPr>
      <w:r>
        <w:rPr>
          <w:rFonts w:ascii="Times New Roman" w:cs="Times New Roman" w:eastAsia="Times New Roman" w:hAnsi="Times New Roman"/>
          <w:sz w:val="18"/>
          <w:szCs w:val="18"/>
          <w:color w:val="auto"/>
        </w:rPr>
        <w:t>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or sent by the Corporation. Such stockholder’s Timely Notice shall set forth:</w:t>
      </w:r>
    </w:p>
    <w:p>
      <w:pPr>
        <w:spacing w:after="0" w:line="120" w:lineRule="exact"/>
        <w:rPr>
          <w:sz w:val="20"/>
          <w:szCs w:val="20"/>
          <w:color w:val="auto"/>
        </w:rPr>
      </w:pPr>
    </w:p>
    <w:p>
      <w:pPr>
        <w:jc w:val="both"/>
        <w:ind w:left="880" w:right="459" w:firstLine="438"/>
        <w:spacing w:after="0" w:line="252" w:lineRule="auto"/>
        <w:tabs>
          <w:tab w:leader="none" w:pos="1628"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24" w:lineRule="exact"/>
        <w:rPr>
          <w:rFonts w:ascii="Times New Roman" w:cs="Times New Roman" w:eastAsia="Times New Roman" w:hAnsi="Times New Roman"/>
          <w:sz w:val="18"/>
          <w:szCs w:val="18"/>
          <w:color w:val="auto"/>
        </w:rPr>
      </w:pPr>
    </w:p>
    <w:p>
      <w:pPr>
        <w:jc w:val="both"/>
        <w:ind w:left="880" w:right="459" w:firstLine="438"/>
        <w:spacing w:after="0" w:line="261" w:lineRule="auto"/>
        <w:tabs>
          <w:tab w:leader="none" w:pos="163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98" w:lineRule="exact"/>
        <w:rPr>
          <w:rFonts w:ascii="Times New Roman" w:cs="Times New Roman" w:eastAsia="Times New Roman" w:hAnsi="Times New Roman"/>
          <w:sz w:val="18"/>
          <w:szCs w:val="18"/>
          <w:color w:val="auto"/>
        </w:rPr>
      </w:pPr>
    </w:p>
    <w:p>
      <w:pPr>
        <w:jc w:val="both"/>
        <w:ind w:left="880" w:right="459" w:firstLine="438"/>
        <w:spacing w:after="0" w:line="251" w:lineRule="auto"/>
        <w:tabs>
          <w:tab w:leader="none" w:pos="1658"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w:t>
      </w:r>
      <w:r>
        <w:rPr>
          <w:rFonts w:ascii="Times New Roman" w:cs="Times New Roman" w:eastAsia="Times New Roman" w:hAnsi="Times New Roman"/>
          <w:sz w:val="18"/>
          <w:szCs w:val="18"/>
          <w:u w:val="single" w:color="auto"/>
          <w:color w:val="auto"/>
        </w:rPr>
        <w:t>Material Ownership Interests</w:t>
      </w:r>
      <w:r>
        <w:rPr>
          <w:rFonts w:ascii="Times New Roman" w:cs="Times New Roman" w:eastAsia="Times New Roman" w:hAnsi="Times New Roman"/>
          <w:sz w:val="18"/>
          <w:szCs w:val="18"/>
          <w:color w:val="auto"/>
        </w:rPr>
        <w:t>”)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6" w:name="page437"/>
    <w:bookmarkEnd w:id="4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438"/>
        <w:spacing w:after="0" w:line="254" w:lineRule="auto"/>
        <w:tabs>
          <w:tab w:leader="none" w:pos="1627"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5" w:lineRule="auto"/>
        <w:tabs>
          <w:tab w:leader="none" w:pos="1636"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8"/>
          <w:szCs w:val="18"/>
          <w:u w:val="single" w:color="auto"/>
          <w:color w:val="auto"/>
        </w:rPr>
        <w:t>Solicitation Statement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Synthetic Equity Interest</w:t>
      </w:r>
      <w:r>
        <w:rPr>
          <w:rFonts w:ascii="Times New Roman" w:cs="Times New Roman" w:eastAsia="Times New Roman" w:hAnsi="Times New Roman"/>
          <w:sz w:val="18"/>
          <w:szCs w:val="18"/>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12" w:lineRule="exact"/>
        <w:rPr>
          <w:sz w:val="20"/>
          <w:szCs w:val="20"/>
          <w:color w:val="auto"/>
        </w:rPr>
      </w:pPr>
    </w:p>
    <w:p>
      <w:pPr>
        <w:jc w:val="both"/>
        <w:ind w:left="460" w:right="459" w:firstLine="426"/>
        <w:spacing w:after="0" w:line="247" w:lineRule="auto"/>
        <w:tabs>
          <w:tab w:leader="none" w:pos="1158"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after the record date for the Annual Meeting (in the case of the update and supplement required to be made as of the record date), and not later than the close of business on the eighth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prior to the date of the Annual Meeting (in the case of the update and supplement required to be made as of ten (10) business days prior to the meeting).</w:t>
      </w:r>
    </w:p>
    <w:p>
      <w:pPr>
        <w:spacing w:after="0" w:line="130"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5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a stockholder’s notice required by these By-laws 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7" w:name="page438"/>
    <w:bookmarkEnd w:id="4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140" w:hanging="254"/>
        <w:spacing w:after="0"/>
        <w:tabs>
          <w:tab w:leader="none" w:pos="114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188"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and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8"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6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87"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6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Times New Roman" w:cs="Times New Roman" w:eastAsia="Times New Roman" w:hAnsi="Times New Roman"/>
          <w:sz w:val="18"/>
          <w:szCs w:val="18"/>
          <w:color w:val="auto"/>
        </w:rPr>
        <w:t>matters set forth in these By-laws. Nothing in these By-laws shall be deemed to affect any rights of</w:t>
      </w:r>
    </w:p>
    <w:p>
      <w:pPr>
        <w:spacing w:after="0" w:line="9" w:lineRule="exact"/>
        <w:rPr>
          <w:sz w:val="20"/>
          <w:szCs w:val="20"/>
          <w:color w:val="auto"/>
        </w:rPr>
      </w:pPr>
    </w:p>
    <w:p>
      <w:pPr>
        <w:jc w:val="both"/>
        <w:ind w:left="460" w:right="479" w:hanging="6"/>
        <w:spacing w:after="0" w:line="253" w:lineRule="auto"/>
        <w:tabs>
          <w:tab w:leader="none" w:pos="679"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47"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8" w:name="page439"/>
    <w:bookmarkEnd w:id="4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these By-laws shall govern such special meeting.</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4" w:lineRule="auto"/>
        <w:tabs>
          <w:tab w:leader="none" w:pos="1142"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54"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37"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6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w:t>
      </w:r>
    </w:p>
    <w:p>
      <w:pPr>
        <w:spacing w:after="0" w:line="106"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61"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9" w:name="page440"/>
    <w:bookmarkEnd w:id="4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these By-laws, is entitled to such notice.</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0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Presiding Officer</w:t>
      </w:r>
      <w:r>
        <w:rPr>
          <w:rFonts w:ascii="Times New Roman" w:cs="Times New Roman" w:eastAsia="Times New Roman" w:hAnsi="Times New Roman"/>
          <w:sz w:val="18"/>
          <w:szCs w:val="18"/>
          <w:color w:val="auto"/>
        </w:rPr>
        <w:t xml:space="preserve">.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The order of business and all other matters of procedure at any meeting of the stockholders shall be determined by the presiding officer.</w:t>
      </w:r>
    </w:p>
    <w:p>
      <w:pPr>
        <w:spacing w:after="0" w:line="9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0" w:name="page441"/>
    <w:bookmarkEnd w:id="4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 the Registration and Shareholder Rights Agreement and the Voting Agreement.</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 the Registration and Shareholder Rights Agreement and the Voting Agreement.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8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1" w:name="page442"/>
    <w:bookmarkEnd w:id="4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3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2" w:name="page443"/>
    <w:bookmarkEnd w:id="4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officer need be a stockholder or a director. Any person may occupy more than one office of the Corporation at any time.</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Treasurer and Assistant Treasurers</w:t>
      </w:r>
      <w:r>
        <w:rPr>
          <w:rFonts w:ascii="Times New Roman" w:cs="Times New Roman" w:eastAsia="Times New Roman" w:hAnsi="Times New Roman"/>
          <w:sz w:val="18"/>
          <w:szCs w:val="18"/>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3" w:name="page444"/>
    <w:bookmarkEnd w:id="4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8"/>
          <w:szCs w:val="18"/>
          <w:b w:val="1"/>
          <w:bCs w:val="1"/>
          <w:color w:val="auto"/>
        </w:rPr>
        <w:t>Notwithstanding anything to</w:t>
      </w:r>
      <w:r>
        <w:rPr>
          <w:rFonts w:ascii="Times New Roman" w:cs="Times New Roman" w:eastAsia="Times New Roman" w:hAnsi="Times New Roman"/>
          <w:sz w:val="18"/>
          <w:szCs w:val="18"/>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3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4" w:name="page445"/>
    <w:bookmarkEnd w:id="44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w:t>
      </w:r>
    </w:p>
    <w:p>
      <w:pPr>
        <w:spacing w:after="0" w:line="131" w:lineRule="exact"/>
        <w:rPr>
          <w:sz w:val="20"/>
          <w:szCs w:val="20"/>
          <w:color w:val="auto"/>
        </w:rPr>
      </w:pPr>
    </w:p>
    <w:p>
      <w:pPr>
        <w:jc w:val="both"/>
        <w:ind w:left="460" w:right="459" w:firstLine="426"/>
        <w:spacing w:after="0" w:line="253" w:lineRule="auto"/>
        <w:tabs>
          <w:tab w:leader="none" w:pos="113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xml:space="preserve">”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4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81"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6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4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1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6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1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67"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4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6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8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0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8" w:lineRule="auto"/>
        <w:tabs>
          <w:tab w:leader="none" w:pos="1137"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5" w:name="page446"/>
    <w:bookmarkEnd w:id="44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880" w:right="459" w:firstLine="438"/>
        <w:spacing w:after="0" w:line="254" w:lineRule="auto"/>
        <w:tabs>
          <w:tab w:leader="none" w:pos="1567"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3" w:lineRule="auto"/>
        <w:tabs>
          <w:tab w:leader="none" w:pos="1567"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19" w:lineRule="exact"/>
        <w:rPr>
          <w:rFonts w:ascii="Times New Roman" w:cs="Times New Roman" w:eastAsia="Times New Roman" w:hAnsi="Times New Roman"/>
          <w:sz w:val="18"/>
          <w:szCs w:val="18"/>
          <w:color w:val="auto"/>
        </w:rPr>
      </w:pPr>
    </w:p>
    <w:p>
      <w:pPr>
        <w:jc w:val="both"/>
        <w:ind w:left="880" w:right="459" w:firstLine="438"/>
        <w:spacing w:after="0" w:line="266" w:lineRule="auto"/>
        <w:tabs>
          <w:tab w:leader="none" w:pos="1567"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94" w:lineRule="exact"/>
        <w:rPr>
          <w:rFonts w:ascii="Times New Roman" w:cs="Times New Roman" w:eastAsia="Times New Roman" w:hAnsi="Times New Roman"/>
          <w:sz w:val="18"/>
          <w:szCs w:val="18"/>
          <w:color w:val="auto"/>
        </w:rPr>
      </w:pPr>
    </w:p>
    <w:p>
      <w:pPr>
        <w:jc w:val="both"/>
        <w:ind w:left="880" w:right="479" w:firstLine="438"/>
        <w:spacing w:after="0" w:line="256" w:lineRule="auto"/>
        <w:tabs>
          <w:tab w:leader="none" w:pos="1634"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xml:space="preserve">. 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2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xml:space="preserve">. Unless ordered by a court, no indemnification shall be provided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6" w:name="page447"/>
    <w:bookmarkEnd w:id="44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15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if such Proceeding (including any parts of such Proceeding not initiated by such Director) was</w:t>
      </w:r>
    </w:p>
    <w:p>
      <w:pPr>
        <w:spacing w:after="0" w:line="9" w:lineRule="exact"/>
        <w:rPr>
          <w:sz w:val="20"/>
          <w:szCs w:val="20"/>
          <w:color w:val="auto"/>
        </w:rPr>
      </w:pPr>
    </w:p>
    <w:p>
      <w:pPr>
        <w:ind w:left="460" w:right="479" w:hanging="6"/>
        <w:spacing w:after="0" w:line="260" w:lineRule="auto"/>
        <w:tabs>
          <w:tab w:leader="none" w:pos="68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by the Board of Directors, or (ii) brought to enforce such Director’s rights to indemnification or advancement of Expenses under these By-laws.</w:t>
      </w:r>
    </w:p>
    <w:p>
      <w:pPr>
        <w:spacing w:after="0" w:line="100"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52"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26"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38"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08"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Advancement of Expenses to Officers and Non-Officer Employees Prior to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460" w:right="459" w:firstLine="426"/>
        <w:spacing w:after="0" w:line="254" w:lineRule="auto"/>
        <w:tabs>
          <w:tab w:leader="none" w:pos="1137"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0"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48"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firstLine="426"/>
        <w:spacing w:after="0" w:line="253" w:lineRule="auto"/>
        <w:tabs>
          <w:tab w:leader="none" w:pos="115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7" w:name="page448"/>
    <w:bookmarkEnd w:id="44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indemnification and to advancement of expenses provided by, or granted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08" w:lineRule="exact"/>
        <w:rPr>
          <w:sz w:val="20"/>
          <w:szCs w:val="20"/>
          <w:color w:val="auto"/>
        </w:rPr>
      </w:pPr>
    </w:p>
    <w:p>
      <w:pPr>
        <w:jc w:val="both"/>
        <w:ind w:left="460" w:right="459" w:firstLine="426"/>
        <w:spacing w:after="0" w:line="253" w:lineRule="auto"/>
        <w:tabs>
          <w:tab w:leader="none" w:pos="117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142"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to indemnification and to advancement of Expenses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8" w:name="page449"/>
    <w:bookmarkEnd w:id="44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Exclusive Jurisdiction</w:t>
      </w:r>
      <w:r>
        <w:rPr>
          <w:rFonts w:ascii="Times New Roman" w:cs="Times New Roman" w:eastAsia="Times New Roman" w:hAnsi="Times New Roman"/>
          <w:sz w:val="18"/>
          <w:szCs w:val="18"/>
          <w:color w:val="auto"/>
        </w:rPr>
        <w:t xml:space="preserve">.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426"/>
        <w:spacing w:after="0" w:line="266" w:lineRule="auto"/>
        <w:tabs>
          <w:tab w:leader="none" w:pos="115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7"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9" w:name="page450"/>
    <w:bookmarkEnd w:id="44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u w:val="single" w:color="auto"/>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60" w:right="2599" w:firstLine="214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2020 STOCK OPTION AND INCENTIVE PLAN </w:t>
      </w: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158"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performing the functions of the compensation committee and which is comprised of not less than two Non-Employee Directors who are independent.</w:t>
      </w:r>
    </w:p>
    <w:p>
      <w:pPr>
        <w:spacing w:after="0" w:line="9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Incentive Stock Options, Non-Qualified Stock Options, Stock Appreciation Rights, Restricted Stock Units, Restricted Stock Awards, Unrestricted Stock Awards, Cash-Based Awards, and Dividend Equivalent Rights.</w:t>
      </w:r>
    </w:p>
    <w:p>
      <w:pPr>
        <w:spacing w:after="0" w:line="112"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an Award granted under the Plan. Each Award Certificate is subject to the terms and conditions of the Plan.</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Merger Agreement, dated as of October 15, 2020, by and among the Company and the other parties thereto.</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regulations and interpretations.</w:t>
      </w:r>
    </w:p>
    <w:p>
      <w:pPr>
        <w:spacing w:after="0" w:line="91"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as an independent contractor and who qualifies as a consultant or advisor under Instruction A.1.(a)(1) of Form S-8 under the Act.</w:t>
      </w:r>
    </w:p>
    <w:p>
      <w:pPr>
        <w:spacing w:after="0" w:line="10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that would have been paid on the shares of Stock specified in the Dividend Equivalent Right (or other award to which it relates) if such shares had been issued to and held by the grantee.</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15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0" w:name="page451"/>
    <w:bookmarkEnd w:id="45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115"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Section 422 of the Code.</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Subsidiary.</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risk of forfeiture or the Company’s right of repurchase.</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Administrator may determine at the time of grant.</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determine at the time of grant.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means (i) the sale of all or substantially all of the assets of the Company on a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04"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91"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Affiliate (e.g., a Service Relationship shall be deemed to continue without interruption in the event an individual’s status changes from full-time employee to part-time employee or Consultant).</w:t>
      </w:r>
    </w:p>
    <w:p>
      <w:pPr>
        <w:spacing w:after="0" w:line="9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$0.0001 per share, of the Company, subject to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3.</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a 50 percent interest, either directly or indirectly.</w:t>
      </w:r>
    </w:p>
    <w:p>
      <w:pPr>
        <w:spacing w:after="0" w:line="77"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of Section 424(d) of the Code) more than 10 percent of the combined voting power of all classes of stock of the Company or any parent or subsidiary corporation.</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18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1" w:name="page452"/>
    <w:bookmarkEnd w:id="45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SECTION 2. ADMINISTRATION OF PLAN; ADMINISTRATOR AUTHORITY TO SELECT GRANTEES AND DETERMINE AWARDS</w:t>
      </w:r>
    </w:p>
    <w:p>
      <w:pPr>
        <w:spacing w:after="0" w:line="94" w:lineRule="exact"/>
        <w:rPr>
          <w:sz w:val="20"/>
          <w:szCs w:val="20"/>
          <w:color w:val="auto"/>
        </w:rPr>
      </w:pPr>
    </w:p>
    <w:p>
      <w:pPr>
        <w:ind w:left="1140" w:hanging="254"/>
        <w:spacing w:after="0"/>
        <w:tabs>
          <w:tab w:leader="none" w:pos="114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5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74"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80"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2" w:lineRule="exact"/>
        <w:rPr>
          <w:rFonts w:ascii="Times New Roman" w:cs="Times New Roman" w:eastAsia="Times New Roman" w:hAnsi="Times New Roman"/>
          <w:sz w:val="18"/>
          <w:szCs w:val="18"/>
          <w:color w:val="auto"/>
        </w:rPr>
      </w:pPr>
    </w:p>
    <w:p>
      <w:pPr>
        <w:ind w:left="1640" w:hanging="322"/>
        <w:spacing w:after="0"/>
        <w:tabs>
          <w:tab w:leader="none" w:pos="164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4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635"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08"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5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662"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80"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68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1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94" w:lineRule="exact"/>
        <w:rPr>
          <w:sz w:val="20"/>
          <w:szCs w:val="20"/>
          <w:color w:val="auto"/>
        </w:rPr>
      </w:pPr>
    </w:p>
    <w:p>
      <w:pPr>
        <w:jc w:val="both"/>
        <w:ind w:left="460" w:right="459" w:firstLine="426"/>
        <w:spacing w:after="0" w:line="253" w:lineRule="auto"/>
        <w:tabs>
          <w:tab w:leader="none" w:pos="119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13"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147"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5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144"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2" w:name="page453"/>
    <w:bookmarkEnd w:id="45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3. STOCK ISSUABLE UNDER THE PLAN; MERGERS; SUBSTITUTION</w:t>
      </w:r>
    </w:p>
    <w:p>
      <w:pPr>
        <w:spacing w:after="0" w:line="158" w:lineRule="exact"/>
        <w:rPr>
          <w:sz w:val="20"/>
          <w:szCs w:val="20"/>
          <w:color w:val="auto"/>
        </w:rPr>
      </w:pPr>
    </w:p>
    <w:p>
      <w:pPr>
        <w:jc w:val="both"/>
        <w:ind w:left="460" w:right="459" w:firstLine="426"/>
        <w:spacing w:after="0" w:line="252" w:lineRule="auto"/>
        <w:tabs>
          <w:tab w:leader="none" w:pos="113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_____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147"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3" w:name="page454"/>
    <w:bookmarkEnd w:id="45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1" w:lineRule="auto"/>
        <w:tabs>
          <w:tab w:leader="none" w:pos="113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3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147"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$750,000, provided, however that such amount shall be $1,000,000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4. ELIGIBILITY</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5. STOCK OPTIONS</w:t>
      </w:r>
    </w:p>
    <w:p>
      <w:pPr>
        <w:spacing w:after="0" w:line="158" w:lineRule="exact"/>
        <w:rPr>
          <w:sz w:val="20"/>
          <w:szCs w:val="20"/>
          <w:color w:val="auto"/>
        </w:rPr>
      </w:pPr>
    </w:p>
    <w:p>
      <w:pPr>
        <w:ind w:left="460" w:right="479" w:firstLine="426"/>
        <w:spacing w:after="0" w:line="282" w:lineRule="auto"/>
        <w:tabs>
          <w:tab w:leader="none" w:pos="1163"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16" w:lineRule="exact"/>
        <w:rPr>
          <w:sz w:val="20"/>
          <w:szCs w:val="20"/>
          <w:color w:val="auto"/>
        </w:rPr>
      </w:pPr>
    </w:p>
    <w:p>
      <w:pPr>
        <w:jc w:val="both"/>
        <w:ind w:left="460" w:right="459" w:firstLine="426"/>
        <w:spacing w:after="0" w:line="261" w:lineRule="auto"/>
        <w:tabs>
          <w:tab w:leader="none" w:pos="1147"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4" w:name="page455"/>
    <w:bookmarkEnd w:id="45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16" w:lineRule="exact"/>
        <w:rPr>
          <w:sz w:val="20"/>
          <w:szCs w:val="20"/>
          <w:color w:val="auto"/>
        </w:rPr>
      </w:pPr>
    </w:p>
    <w:p>
      <w:pPr>
        <w:jc w:val="both"/>
        <w:ind w:left="460" w:right="479" w:firstLine="426"/>
        <w:spacing w:after="0" w:line="261" w:lineRule="auto"/>
        <w:tabs>
          <w:tab w:leader="none" w:pos="113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47"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77"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12" w:lineRule="exact"/>
        <w:rPr>
          <w:rFonts w:ascii="Times New Roman" w:cs="Times New Roman" w:eastAsia="Times New Roman" w:hAnsi="Times New Roman"/>
          <w:sz w:val="18"/>
          <w:szCs w:val="18"/>
          <w:color w:val="auto"/>
        </w:rPr>
      </w:pPr>
    </w:p>
    <w:p>
      <w:pPr>
        <w:ind w:left="1540" w:hanging="222"/>
        <w:spacing w:after="0"/>
        <w:tabs>
          <w:tab w:leader="none" w:pos="1540"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587"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55"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71"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09" w:lineRule="exact"/>
        <w:rPr>
          <w:sz w:val="20"/>
          <w:szCs w:val="20"/>
          <w:color w:val="auto"/>
        </w:rPr>
      </w:pPr>
    </w:p>
    <w:p>
      <w:pPr>
        <w:jc w:val="both"/>
        <w:ind w:left="460" w:right="459" w:firstLine="426"/>
        <w:spacing w:after="0" w:line="256" w:lineRule="auto"/>
        <w:tabs>
          <w:tab w:leader="none" w:pos="1117"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5" w:name="page456"/>
    <w:bookmarkEnd w:id="45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6. STOCK APPRECIATION RIGHTS</w:t>
      </w:r>
    </w:p>
    <w:p>
      <w:pPr>
        <w:spacing w:after="0" w:line="158" w:lineRule="exact"/>
        <w:rPr>
          <w:sz w:val="20"/>
          <w:szCs w:val="20"/>
          <w:color w:val="auto"/>
        </w:rPr>
      </w:pPr>
    </w:p>
    <w:p>
      <w:pPr>
        <w:jc w:val="both"/>
        <w:ind w:left="460" w:right="459" w:firstLine="426"/>
        <w:spacing w:after="0" w:line="256" w:lineRule="auto"/>
        <w:tabs>
          <w:tab w:leader="none" w:pos="115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9"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16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8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5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6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7. RESTRICTED STOCK AWARDS</w:t>
      </w:r>
    </w:p>
    <w:p>
      <w:pPr>
        <w:spacing w:after="0" w:line="144" w:lineRule="exact"/>
        <w:rPr>
          <w:sz w:val="20"/>
          <w:szCs w:val="20"/>
          <w:color w:val="auto"/>
        </w:rPr>
      </w:pPr>
    </w:p>
    <w:p>
      <w:pPr>
        <w:jc w:val="both"/>
        <w:ind w:left="460" w:right="459" w:firstLine="426"/>
        <w:spacing w:after="0" w:line="261" w:lineRule="auto"/>
        <w:tabs>
          <w:tab w:leader="none" w:pos="115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12" w:lineRule="exact"/>
        <w:rPr>
          <w:rFonts w:ascii="Times New Roman" w:cs="Times New Roman" w:eastAsia="Times New Roman" w:hAnsi="Times New Roman"/>
          <w:sz w:val="18"/>
          <w:szCs w:val="18"/>
          <w:color w:val="auto"/>
        </w:rPr>
      </w:pPr>
    </w:p>
    <w:p>
      <w:pPr>
        <w:jc w:val="both"/>
        <w:ind w:left="460" w:right="479" w:firstLine="426"/>
        <w:spacing w:after="0" w:line="253" w:lineRule="auto"/>
        <w:tabs>
          <w:tab w:leader="none" w:pos="1147"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5" w:lineRule="exact"/>
        <w:rPr>
          <w:rFonts w:ascii="Times New Roman" w:cs="Times New Roman" w:eastAsia="Times New Roman" w:hAnsi="Times New Roman"/>
          <w:sz w:val="18"/>
          <w:szCs w:val="18"/>
          <w:color w:val="auto"/>
        </w:rPr>
      </w:pPr>
    </w:p>
    <w:p>
      <w:pPr>
        <w:jc w:val="both"/>
        <w:ind w:left="460" w:right="459" w:hanging="6"/>
        <w:spacing w:after="0" w:line="252" w:lineRule="auto"/>
        <w:tabs>
          <w:tab w:leader="none" w:pos="691"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204"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6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6" w:name="page457"/>
    <w:bookmarkEnd w:id="45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8. RESTRICTED STOCK UNITS</w:t>
      </w:r>
    </w:p>
    <w:p>
      <w:pPr>
        <w:spacing w:after="0" w:line="158" w:lineRule="exact"/>
        <w:rPr>
          <w:sz w:val="20"/>
          <w:szCs w:val="20"/>
          <w:color w:val="auto"/>
        </w:rPr>
      </w:pPr>
    </w:p>
    <w:p>
      <w:pPr>
        <w:jc w:val="both"/>
        <w:ind w:left="460" w:right="459" w:firstLine="426"/>
        <w:spacing w:after="0" w:line="253" w:lineRule="auto"/>
        <w:tabs>
          <w:tab w:leader="none" w:pos="113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16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5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01"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9. UNRESTRICTED STOCK AWARDS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10. CASH-BASED AWARDS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11. DIVIDEND EQUIVALENT RIGHTS</w:t>
      </w:r>
    </w:p>
    <w:p>
      <w:pPr>
        <w:spacing w:after="0" w:line="158" w:lineRule="exact"/>
        <w:rPr>
          <w:sz w:val="20"/>
          <w:szCs w:val="20"/>
          <w:color w:val="auto"/>
        </w:rPr>
      </w:pPr>
    </w:p>
    <w:p>
      <w:pPr>
        <w:jc w:val="both"/>
        <w:ind w:left="460" w:right="459" w:firstLine="426"/>
        <w:spacing w:after="0" w:line="258" w:lineRule="auto"/>
        <w:tabs>
          <w:tab w:leader="none" w:pos="113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7" w:name="page458"/>
    <w:bookmarkEnd w:id="45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24" w:lineRule="exact"/>
        <w:rPr>
          <w:sz w:val="20"/>
          <w:szCs w:val="20"/>
          <w:color w:val="auto"/>
        </w:rPr>
      </w:pPr>
    </w:p>
    <w:p>
      <w:pPr>
        <w:jc w:val="both"/>
        <w:ind w:left="460" w:right="459" w:firstLine="426"/>
        <w:spacing w:after="0" w:line="261" w:lineRule="auto"/>
        <w:tabs>
          <w:tab w:leader="none" w:pos="1201"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144" w:lineRule="exact"/>
        <w:rPr>
          <w:sz w:val="20"/>
          <w:szCs w:val="20"/>
          <w:color w:val="auto"/>
        </w:rPr>
      </w:pPr>
    </w:p>
    <w:p>
      <w:pPr>
        <w:jc w:val="both"/>
        <w:ind w:left="460" w:right="459" w:firstLine="426"/>
        <w:spacing w:after="0" w:line="256" w:lineRule="auto"/>
        <w:tabs>
          <w:tab w:leader="none" w:pos="1163"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47"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177"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47"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158" w:lineRule="exact"/>
        <w:rPr>
          <w:sz w:val="20"/>
          <w:szCs w:val="20"/>
          <w:color w:val="auto"/>
        </w:rPr>
      </w:pPr>
    </w:p>
    <w:p>
      <w:pPr>
        <w:jc w:val="both"/>
        <w:ind w:left="460" w:right="459" w:firstLine="426"/>
        <w:spacing w:after="0" w:line="254" w:lineRule="auto"/>
        <w:tabs>
          <w:tab w:leader="none" w:pos="113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8" w:name="page459"/>
    <w:bookmarkEnd w:id="45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3" w:lineRule="auto"/>
        <w:tabs>
          <w:tab w:leader="none" w:pos="116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158" w:lineRule="exact"/>
        <w:rPr>
          <w:sz w:val="20"/>
          <w:szCs w:val="20"/>
          <w:color w:val="auto"/>
        </w:rPr>
      </w:pPr>
    </w:p>
    <w:p>
      <w:pPr>
        <w:jc w:val="both"/>
        <w:ind w:left="460" w:right="459" w:firstLine="426"/>
        <w:spacing w:after="0" w:line="266" w:lineRule="auto"/>
        <w:tabs>
          <w:tab w:leader="none" w:pos="1136"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8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567"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 or</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591"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9" w:name="page460"/>
    <w:bookmarkEnd w:id="45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58" w:lineRule="exact"/>
        <w:rPr>
          <w:sz w:val="20"/>
          <w:szCs w:val="20"/>
          <w:color w:val="auto"/>
        </w:rPr>
      </w:pPr>
    </w:p>
    <w:p>
      <w:pPr>
        <w:jc w:val="both"/>
        <w:ind w:left="460" w:right="459" w:firstLine="426"/>
        <w:spacing w:after="0" w:line="266" w:lineRule="auto"/>
        <w:tabs>
          <w:tab w:leader="none" w:pos="113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16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38"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13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174"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02"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6"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13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0" w:name="page461"/>
    <w:bookmarkEnd w:id="46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15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STOCKHOLDERS: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1" w:name="page462"/>
    <w:bookmarkEnd w:id="46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J</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FIRPTA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Treasury Regulations Section 1.1445-2(c)(3) and Section 1.897-2(h)</w:t>
      </w:r>
    </w:p>
    <w:p>
      <w:pPr>
        <w:spacing w:after="0" w:line="139"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This certificate (this “FIRPTA Certificate”) is provided by Gemini Therapeutics, Inc., a Delaware corporation (the “Company”), pursuant to Treasury Regulations Section 1.1445-2(c)(3) and 1.897-2(h), in connection with that certain Merger Agreement entered into as of October [__], 2020, by any among the Company, Shareholder Representative Services LLC, a Colorado limited liability company solely in its capacity as the Stockholders’ Representative, FS Development Corp, a Delaware corporation (“Transferee”), and FSG Merger Sub, Inc., a Delaware corporation.</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To inform Transferee that withholding of tax is not required under section 1445 of the Code in connection with the transactions contemplated under the Agreement, the undersigned, on behalf of the Company, hereby certifies that:</w:t>
      </w:r>
    </w:p>
    <w:p>
      <w:pPr>
        <w:spacing w:after="0" w:line="95" w:lineRule="exact"/>
        <w:rPr>
          <w:sz w:val="20"/>
          <w:szCs w:val="20"/>
          <w:color w:val="auto"/>
        </w:rPr>
      </w:pPr>
    </w:p>
    <w:p>
      <w:pPr>
        <w:ind w:left="1060" w:hanging="174"/>
        <w:spacing w:after="0"/>
        <w:tabs>
          <w:tab w:leader="none" w:pos="106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and is treated as a corporation for U.S. federal income tax purposes.</w:t>
      </w:r>
    </w:p>
    <w:p>
      <w:pPr>
        <w:spacing w:after="0" w:line="15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U.S. employer identification number is [•].</w:t>
      </w:r>
    </w:p>
    <w:p>
      <w:pPr>
        <w:spacing w:after="0" w:line="157"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address is: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 02139.</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10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as of the date hereof, a “United States real property holding corporation” (a “USRPHC”) as such term is defined by Section 897(c)(2) of the Internal Revenue Code of 1986, as amended (the “Code”), and the Treasury Regulations promulgated thereunder, and has not been a USRPHC on any determination date (as specified in Treasury Regulations Section 1.897-2(c)) during the five-year period ending on the date hereof. Accordingly, interests in the Company do not constitute “U.S. real property interests” as defined in Section 897(c)(1) of the Code (“USRPIs”).</w:t>
      </w:r>
    </w:p>
    <w:p>
      <w:pPr>
        <w:spacing w:after="0" w:line="119"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089"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this certification may be disclosed to the Internal Revenue Service by Transferee and that any false statement contained herein could be punished by fine, imprisonment or both.</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Attached hereto is a notice, dated as of the date hereof, from the Company to the Internal Revenue Service to the effect that the Company has determined equity interests in the Company are not USRPIs.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penalties of perjury, the undersigned declares that [s]he has examined the certifications set forth above and verifies that they are true, correct, and complete to [his/her] knowledge and belief, and the undersigned further declares that [he/she] has the authority to execute this FIRPTA Certificate on behalf of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2" w:name="page463"/>
    <w:bookmarkEnd w:id="46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Dated: [date]</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GEMINI THERAPEUTICS, INC.,</w:t>
      </w:r>
    </w:p>
    <w:p>
      <w:pPr>
        <w:spacing w:after="0" w:line="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194564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3" w:name="page464"/>
    <w:bookmarkEnd w:id="46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CERTIFIED MAIL</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RETURN RECEIPT REQUESTED]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Internal Revenue Service Center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 Box 409101</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Ogden, UT 84409</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 Notice Required Under Treasury Regulations Section 1.897-2(h)(2)</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Dear Sir/Madam:</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At the request of FS Development Corp., a Delaware corporation (“Transferee”), in connection with the acquisition of Gemini Therapeutics, Inc., a Delaware corporation (the “Company”), we provided the attached statement to Transferee on [Date].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notice is provided pursuant to the requirements of Treasury Regulations Section 1.897-2(h)(2).</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information relates to the corporation providing the notice:</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EIN:</w:t>
        <w:tab/>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300 One Kendall Square, 3</w:t>
      </w:r>
      <w:r>
        <w:rPr>
          <w:rFonts w:ascii="Times New Roman" w:cs="Times New Roman" w:eastAsia="Times New Roman" w:hAnsi="Times New Roman"/>
          <w:sz w:val="9"/>
          <w:szCs w:val="9"/>
          <w:color w:val="auto"/>
        </w:rPr>
        <w:t>rd</w:t>
      </w:r>
      <w:r>
        <w:rPr>
          <w:rFonts w:ascii="Times New Roman" w:cs="Times New Roman" w:eastAsia="Times New Roman" w:hAnsi="Times New Roman"/>
          <w:sz w:val="17"/>
          <w:szCs w:val="17"/>
          <w:color w:val="auto"/>
        </w:rPr>
        <w:t xml:space="preserve"> Floor</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2">
            <w:col w:w="1520" w:space="80"/>
            <w:col w:w="7419"/>
          </w:cols>
          <w:pgMar w:left="1440" w:top="270" w:right="1440" w:bottom="1440" w:gutter="0" w:footer="0" w:header="0"/>
          <w:type w:val="continuous"/>
        </w:sect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attached statement was not requested by a foreign interest holder. It was voluntarily provided by the Company in response to a request from the Transferee in accordance with Treasury Regulations Section 1.1445-2(c)(3)(i). The following information relates to the Transferee:</w:t>
      </w:r>
    </w:p>
    <w:p>
      <w:pPr>
        <w:sectPr>
          <w:pgSz w:w="11900" w:h="16838" w:orient="portrait"/>
          <w:cols w:equalWidth="0" w:num="1">
            <w:col w:w="9019"/>
          </w:cols>
          <w:pgMar w:left="1440" w:top="270" w:right="1440" w:bottom="1440" w:gutter="0" w:footer="0" w:header="0"/>
          <w:type w:val="continuous"/>
        </w:sectPr>
      </w:pP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880"/>
        <w:spacing w:after="0"/>
        <w:tabs>
          <w:tab w:leader="none" w:pos="1440" w:val="left"/>
        </w:tabs>
        <w:rPr>
          <w:sz w:val="20"/>
          <w:szCs w:val="20"/>
          <w:color w:val="auto"/>
        </w:rPr>
      </w:pPr>
      <w:r>
        <w:rPr>
          <w:rFonts w:ascii="Times New Roman" w:cs="Times New Roman" w:eastAsia="Times New Roman" w:hAnsi="Times New Roman"/>
          <w:sz w:val="18"/>
          <w:szCs w:val="18"/>
          <w:color w:val="auto"/>
        </w:rPr>
        <w:t>EIN:</w:t>
        <w:tab/>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600 Montgomery Street, Suite 4500</w:t>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sectPr>
          <w:pgSz w:w="11900" w:h="16838" w:orient="portrait"/>
          <w:cols w:equalWidth="0" w:num="2">
            <w:col w:w="1520" w:space="80"/>
            <w:col w:w="7419"/>
          </w:cols>
          <w:pgMar w:left="1440" w:top="270" w:right="1440" w:bottom="1440" w:gutter="0" w:footer="0" w:header="0"/>
          <w:type w:val="continuous"/>
        </w:sect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interests in question (equity interests in the Company) are not “U.S. real property interests,” as that term is defined in section 897(c)(1) of the Internal Revenue Code of 1986, as amended.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4" w:name="page465"/>
    <w:bookmarkEnd w:id="46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penalties of perjury, the undersigned declares that (i) [s]he is a responsible corporate officer of the Company with the authority to sign this document on behalf of the Company and (ii) the above notice (including the attachment hereto) is true, correct, and complete to [his/her] knowledge and belief.</w:t>
      </w:r>
    </w:p>
    <w:p>
      <w:pPr>
        <w:spacing w:after="0" w:line="14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5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43180</wp:posOffset>
            </wp:positionV>
            <wp:extent cx="183451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5" w:name="page466"/>
    <w:bookmarkEnd w:id="46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This Lockup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dated as of October [•], 2020 and is between FS Development Corp., a Delaware corporation (“</w:t>
      </w:r>
      <w:r>
        <w:rPr>
          <w:rFonts w:ascii="Times New Roman" w:cs="Times New Roman" w:eastAsia="Times New Roman" w:hAnsi="Times New Roman"/>
          <w:sz w:val="18"/>
          <w:szCs w:val="18"/>
          <w:b w:val="1"/>
          <w:bCs w:val="1"/>
          <w:u w:val="single" w:color="auto"/>
          <w:color w:val="auto"/>
        </w:rPr>
        <w:t>FSD</w:t>
      </w:r>
      <w:r>
        <w:rPr>
          <w:rFonts w:ascii="Times New Roman" w:cs="Times New Roman" w:eastAsia="Times New Roman" w:hAnsi="Times New Roman"/>
          <w:sz w:val="18"/>
          <w:szCs w:val="18"/>
          <w:color w:val="auto"/>
        </w:rPr>
        <w:t xml:space="preserve">”), and each of the stockholder parties identified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hereto and the other persons who enter into a joinder to this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with FSD in order to become a “Stockholder Party” for purposes of this Agreement (collectively, the “</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Capitalized terms used but not defined herein shall have the meanings assigned to them in the Merger Agreement (as defined below).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that certain Agreement and Plan of Merger, dated as of October [•], 2020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FSG Merger Sub Inc., a Delaware corporation and a direct, wholly owned subsidiary of FSD, will merge (the “</w:t>
      </w:r>
      <w:r>
        <w:rPr>
          <w:rFonts w:ascii="Times New Roman" w:cs="Times New Roman" w:eastAsia="Times New Roman" w:hAnsi="Times New Roman"/>
          <w:sz w:val="18"/>
          <w:szCs w:val="18"/>
          <w:b w:val="1"/>
          <w:bCs w:val="1"/>
          <w:u w:val="single" w:color="auto"/>
          <w:color w:val="auto"/>
        </w:rPr>
        <w:t>Merger</w:t>
      </w:r>
      <w:r>
        <w:rPr>
          <w:rFonts w:ascii="Times New Roman" w:cs="Times New Roman" w:eastAsia="Times New Roman" w:hAnsi="Times New Roman"/>
          <w:sz w:val="18"/>
          <w:szCs w:val="18"/>
          <w:color w:val="auto"/>
        </w:rPr>
        <w:t>”) with and into Gemini Therapeutics, Inc., a Delaware corporation (“</w:t>
      </w:r>
      <w:r>
        <w:rPr>
          <w:rFonts w:ascii="Times New Roman" w:cs="Times New Roman" w:eastAsia="Times New Roman" w:hAnsi="Times New Roman"/>
          <w:sz w:val="18"/>
          <w:szCs w:val="18"/>
          <w:b w:val="1"/>
          <w:bCs w:val="1"/>
          <w:u w:val="single" w:color="auto"/>
          <w:color w:val="auto"/>
        </w:rPr>
        <w:t>Gemini</w:t>
      </w:r>
      <w:r>
        <w:rPr>
          <w:rFonts w:ascii="Times New Roman" w:cs="Times New Roman" w:eastAsia="Times New Roman" w:hAnsi="Times New Roman"/>
          <w:sz w:val="18"/>
          <w:szCs w:val="18"/>
          <w:color w:val="auto"/>
        </w:rPr>
        <w:t>”), with Gemini surviving the Merger as a wholly owned subsidiary of FSD;</w:t>
      </w:r>
    </w:p>
    <w:p>
      <w:pPr>
        <w:spacing w:after="0" w:line="9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owns the number and type of Equity Interest in Gemini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opposite of such Stockholder Party’s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Equity Interests, the “</w:t>
      </w:r>
      <w:r>
        <w:rPr>
          <w:rFonts w:ascii="Times New Roman" w:cs="Times New Roman" w:eastAsia="Times New Roman" w:hAnsi="Times New Roman"/>
          <w:sz w:val="18"/>
          <w:szCs w:val="18"/>
          <w:b w:val="1"/>
          <w:bCs w:val="1"/>
          <w:u w:val="single" w:color="auto"/>
          <w:color w:val="auto"/>
        </w:rPr>
        <w:t>Gemini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Interests</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of the Stockholder Parties will receive a certain number of shares of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$0.0001 par value per share, of FSD and/or options to purchase such shares of Class A common stock (the “</w:t>
      </w:r>
      <w:r>
        <w:rPr>
          <w:rFonts w:ascii="Times New Roman" w:cs="Times New Roman" w:eastAsia="Times New Roman" w:hAnsi="Times New Roman"/>
          <w:sz w:val="18"/>
          <w:szCs w:val="18"/>
          <w:b w:val="1"/>
          <w:bCs w:val="1"/>
          <w:u w:val="single" w:color="auto"/>
          <w:color w:val="auto"/>
        </w:rPr>
        <w:t>FSD Equity Interests</w:t>
      </w:r>
      <w:r>
        <w:rPr>
          <w:rFonts w:ascii="Times New Roman" w:cs="Times New Roman" w:eastAsia="Times New Roman" w:hAnsi="Times New Roman"/>
          <w:sz w:val="18"/>
          <w:szCs w:val="18"/>
          <w:color w:val="auto"/>
        </w:rPr>
        <w:t>”, together with the Gemini Equity Interests, and together with any of the foregoing acquired after the date hereof, the “</w:t>
      </w:r>
      <w:r>
        <w:rPr>
          <w:rFonts w:ascii="Times New Roman" w:cs="Times New Roman" w:eastAsia="Times New Roman" w:hAnsi="Times New Roman"/>
          <w:sz w:val="18"/>
          <w:szCs w:val="18"/>
          <w:b w:val="1"/>
          <w:bCs w:val="1"/>
          <w:u w:val="single" w:color="auto"/>
          <w:color w:val="auto"/>
        </w:rPr>
        <w:t>Covered Equity Interest</w:t>
      </w:r>
      <w:r>
        <w:rPr>
          <w:rFonts w:ascii="Times New Roman" w:cs="Times New Roman" w:eastAsia="Times New Roman" w:hAnsi="Times New Roman"/>
          <w:sz w:val="18"/>
          <w:szCs w:val="18"/>
          <w:color w:val="auto"/>
        </w:rPr>
        <w:t>”), pursuant to the terms of the Merger Agreement;</w:t>
      </w:r>
    </w:p>
    <w:p>
      <w:pPr>
        <w:spacing w:after="0" w:line="109"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consideration for the benefits to be received by each Stockholder Party under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Merger Agreement and as a material inducement to FSD and the other Parent Parties agreeing to enter into and consummate the transactions contemplated by the Merger Agreement, each Stockholder Party agrees to enter into this Agreement and to be bound by the agreements, covenants and obligations contained in this Agreement; and</w:t>
      </w:r>
    </w:p>
    <w:p>
      <w:pPr>
        <w:spacing w:after="0" w:line="98"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hereto acknowledge and agree that FSD would not have entered into and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consummate the transactions contemplated by the Merger Agreement without each Stockholder Party entering into this Agreement and agreeing to be bound by the agreements, covenants and obligations contained in this Agreement;</w:t>
      </w:r>
    </w:p>
    <w:p>
      <w:pPr>
        <w:spacing w:after="0" w:line="109"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in connection with FSD entering into the Merger Agreement, the parties hereto wish to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herein certain understandings between such parties with respect to restrictions on transfer of the Covered Equity Interest.</w:t>
      </w:r>
    </w:p>
    <w:p>
      <w:pPr>
        <w:spacing w:after="0" w:line="103"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mutual promises set forth herein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hereto, each intending to be legally bound, hereby agree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MATTERS</w:t>
      </w:r>
    </w:p>
    <w:p>
      <w:pPr>
        <w:spacing w:after="0" w:line="144"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In addition to the terms defined elsewhere herein, the following terms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meanings when used herein with initial capital letters:</w:t>
      </w:r>
    </w:p>
    <w:p>
      <w:pPr>
        <w:spacing w:after="0" w:line="87"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Lockup Agreement, as the same may be amended, supplemented, restated or otherwise modified from time to time in accordance with the terms hereof.</w:t>
      </w:r>
    </w:p>
    <w:p>
      <w:pPr>
        <w:spacing w:after="0" w:line="8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 as the same may be amended from time to time.</w:t>
      </w:r>
    </w:p>
    <w:p>
      <w:pPr>
        <w:spacing w:after="0" w:line="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has the meaning set forth in the Recitals.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6" w:name="page467"/>
    <w:bookmarkEnd w:id="46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Non-Recourse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Stockholder Parties</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language used in this Agreement will be deemed to be the language chosen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express their mutual intent, and no rule of strict construction will be applied against any party. Unless the context otherwise requires: (a) “or” is disjunctive but not exclusive, (b) words in the singular include the plural, and in the plural include the singular, and (c) the words “hereof”, “herein”, and “hereunder” and words of similar import when used in this Agreement refer to this Agreement as a whole and not to any particular provision of this Agreement, and Section references are to sections of this Agreement unless otherwise specified.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Lockup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20" w:right="459" w:hanging="434"/>
        <w:spacing w:after="0" w:line="251" w:lineRule="auto"/>
        <w:tabs>
          <w:tab w:leader="none" w:pos="1373"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agrees that such Stockholder Party shall not Transfer any Covered Equity Interest or any securities convertible into or exercisable or exchangeable (directly or indirectly) for any Covered Equity Interest (whether such Covered Equity Interest or any such securities are held by such Stockholder Party as of the date hereof or are thereafter acquired) from the date hereof and ending one-hundred eighty (180) days following the Closing Date (the “</w:t>
      </w:r>
      <w:r>
        <w:rPr>
          <w:rFonts w:ascii="Times New Roman" w:cs="Times New Roman" w:eastAsia="Times New Roman" w:hAnsi="Times New Roman"/>
          <w:sz w:val="18"/>
          <w:szCs w:val="18"/>
          <w:b w:val="1"/>
          <w:bCs w:val="1"/>
          <w:u w:val="single" w:color="auto"/>
          <w:color w:val="auto"/>
        </w:rPr>
        <w:t>Lock-Up Period</w:t>
      </w:r>
      <w:r>
        <w:rPr>
          <w:rFonts w:ascii="Times New Roman" w:cs="Times New Roman" w:eastAsia="Times New Roman" w:hAnsi="Times New Roman"/>
          <w:sz w:val="18"/>
          <w:szCs w:val="18"/>
          <w:color w:val="auto"/>
        </w:rPr>
        <w:t>”). The foregoing restriction is expressly agreed to preclude each Stockholder Party during the Lock-up Period from engaging in any hedging or other transaction which is designed to or which reasonably could be expected to lead to or result in a sale or disposition of such Stockholder Party’s Covered Equity Interest even if such Covered Equity Interest would be disposed of by someone other than the undersigned. Such prohibited hedging or other transactions during the Lock-up Period would include without limitation any short sale or any purchase, sale or grant of any right (including, without limitation, any put or call option) with respect to any of the Stockholder Party’s Covered Equity Interest or with respect to any security that includes, relates to, or derives any significant part of its value from such Covered Equity Interest. The foregoing notwithstanding, each executive officer and director of FSD shall be permitted to establish a plan to acquire and sell Covered Equity Interest pursuant to Rule 10b5-1 under the Exchange Act; provided, however, no sale of any Covered Equity Interest under any such plan shall be made prior to the expiration of the Lock-Up Period. For purposes of this agreement,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Covered Equity Interest, (ii) enter into any swap or other arrangement that transfers to another, in whole or in part, any of the economic consequences of ownership of any Covered Equity Interest, whether any such transaction is to be settled by delivery of such securities, in cash or otherwise, or (iii) publicly announce any intention to effect any transaction, including the filing of a registration statement specified in clause (i) or (ii).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 by executing and delivering the Form of Joinder Agreement set forth on Exhibit B to the FSD.</w:t>
      </w:r>
    </w:p>
    <w:p>
      <w:pPr>
        <w:spacing w:after="0" w:line="133"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3"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also agrees and consents to the entry of stop transfer instructions with FSD’s transfer agent and registrar against the transfer of any Covered Equity Interest except in compliance with the foregoing restrictions and to the addition of a legend to such Stockholder Party’s Covered Equity Interest describing the foregoing restrictions.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7" w:name="page468"/>
    <w:bookmarkEnd w:id="46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 PARTIES</w:t>
      </w:r>
    </w:p>
    <w:p>
      <w:pPr>
        <w:spacing w:after="0" w:line="1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Stockholder Representations and Warranties</w:t>
      </w:r>
      <w:r>
        <w:rPr>
          <w:rFonts w:ascii="Times New Roman" w:cs="Times New Roman" w:eastAsia="Times New Roman" w:hAnsi="Times New Roman"/>
          <w:sz w:val="18"/>
          <w:szCs w:val="18"/>
          <w:color w:val="auto"/>
        </w:rPr>
        <w:t>. Each Stockholder Party represents and warrants to</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FSD as follows:</w:t>
      </w:r>
    </w:p>
    <w:p>
      <w:pPr>
        <w:spacing w:after="0" w:line="139" w:lineRule="exact"/>
        <w:rPr>
          <w:sz w:val="20"/>
          <w:szCs w:val="20"/>
          <w:color w:val="auto"/>
        </w:rPr>
      </w:pPr>
    </w:p>
    <w:p>
      <w:pPr>
        <w:jc w:val="both"/>
        <w:ind w:left="1320" w:right="459" w:hanging="434"/>
        <w:spacing w:after="0" w:line="258" w:lineRule="auto"/>
        <w:tabs>
          <w:tab w:leader="none" w:pos="1398"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23"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 Party is not an individual, the Stockholder Party has the requisite corporate, limited liability company or other similar power and authority to execute and deliver this Agreement, to perform its covenants, agreements and obligations hereunder (including, for the avoidance of doubt, those covenants, agreements and obligations hereunder that relate to the provisions of the Merger Agreement), and to consummate the transactions contemplated hereby. The execution and delivery of this Agreement has been duly authorized by all necessary corporate (or other similar) action on the part of such Stockholder Party. This Agreement has been duly and validly executed and delivered by such Stockholder Party and constitutes a valid, legal and binding agreement of each Stockholder Party (assuming that this Agreement is duly authorized, executed and delivered by FSD), enforceable against each such Stockholder Party in accordance with its terms (subject to applicable bankruptcy, insolvency, reorganization, moratorium or other Laws affecting generally the enforcement of creditors’ rights and subject to general principles of equity).</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6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Party is the record and beneficial owner of the Gemini Equity Interests set forth opposite such Stockholder Party’s name on Exhibit A hereto and has valid, good and marketable title to the Gemini Equity Interests, free and clear of all Liens (other than transfer restrictions under applicable Securities Law). Each Stockholder Party is not party to or bound by (i) any option, warrant, purchase right, or other Contract that would (either alone or in connection with one or more events, developments (including the satisfaction or waiver of any conditions precedent)) require such Stockholder Party to Transfer any of the Covered Equity Interests or (ii) any voting trust, proxy or other Contract with respect to the voting or Transfer of any of the Covered Equity Interests.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35"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and the obligations of each Stockholder Party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terminate upon the termination of the Merger Agreement in accordance with its terms. Upon termination or expiration of this Agreement, no party shall have any further obligations or liabilities under this Agreement; provided, however, that such termination or expiration shall not relieve any party from liability for any willful breach of this Agreement occurring prior to its termination.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hereunder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shall be given (and shall be deemed to have been duly given) by delivery in person, by facsimile (having obtained electronic delivery confirmation thereof) if applicable,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FSD’s address is: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Attn: Dennis Ryan</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docs-Investments@foresitecapital.com</w:t>
      </w:r>
    </w:p>
    <w:p>
      <w:pPr>
        <w:spacing w:after="0" w:line="16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A-165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8" w:name="page469"/>
    <w:bookmarkEnd w:id="46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White&amp; Case LLP</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Attention: Joel L. Rubinstein, Esq.</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joel.rubinstein@whitecase.com</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such address as such Stockholder Party shall furnish to FSD in writing.</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Amendment; Waiver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20" w:right="479" w:hanging="434"/>
        <w:spacing w:after="0" w:line="258" w:lineRule="auto"/>
        <w:tabs>
          <w:tab w:leader="none" w:pos="140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and provisions of this Agreement may be modified or amended only with the written approval of the FSD (including from and after the Effective Time, the approval of the member of the board of directors of FSD nominated by the Sponsor) and Stockholder Parties holding a majority of the Covered Equity Interests then held by the Stockholder Parties in the aggregate as to which this Agreement has not been terminated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9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in this Agreement, neither the failure nor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402"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right, remedy, power or privilege under this Agreement, unless the waiver of such claim, right, remedy, power or privilege is expressly set forth in a written instrument duly executed and delivered on behalf of such party; and any such waiver shall not be applicable or have any effect except in the specific instance in which it is given.</w:t>
      </w:r>
    </w:p>
    <w:p>
      <w:pPr>
        <w:spacing w:after="0" w:line="11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The parties hereto will sign such further documents, cause such meetings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resolutions passed, exercise their votes and do and perform and cause to be done such further acts and things necessary, proper or advisable in order to give full effect to this Agreement and every provision hereof.</w:t>
      </w:r>
    </w:p>
    <w:p>
      <w:pPr>
        <w:spacing w:after="0" w:line="103"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This Agreement may not be assigned without the express prior written consent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hereto, and any attempted assignment, without such consents, will be null and void. This Agreement will inure to the benefit of and be binding on the parties hereto and their respective successors and permitted assigns.</w:t>
      </w:r>
    </w:p>
    <w:p>
      <w:pPr>
        <w:spacing w:after="0" w:line="95"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u w:val="single" w:color="auto"/>
          <w:color w:val="auto"/>
        </w:rPr>
        <w:t>Third Parties</w:t>
      </w:r>
      <w:r>
        <w:rPr>
          <w:rFonts w:ascii="Times New Roman" w:cs="Times New Roman" w:eastAsia="Times New Roman" w:hAnsi="Times New Roman"/>
          <w:sz w:val="18"/>
          <w:szCs w:val="18"/>
          <w:color w:val="auto"/>
        </w:rPr>
        <w:t>. Except with respect to any Non-Recourse Party, this Agreement does not create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claims or benefits inuring to any person that is not a party hereto nor create or establish any third party beneficiary hereto.</w:t>
      </w:r>
    </w:p>
    <w:p>
      <w:pPr>
        <w:spacing w:after="0" w:line="103"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LEGAL RELATIONS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ARISING HEREUNDER SHALL BE GOVERNED BY AND INTERPRETED IN ACCORDANCE WITH THE LAWS OF THE STATE OF DELAWARE WITHOUT REFERENCE TO ITS CONFLICTS OF LAW PROVISIONS.</w:t>
      </w:r>
    </w:p>
    <w:p>
      <w:pPr>
        <w:spacing w:after="0" w:line="10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4.8. </w:t>
      </w:r>
      <w:r>
        <w:rPr>
          <w:rFonts w:ascii="Times New Roman" w:cs="Times New Roman" w:eastAsia="Times New Roman" w:hAnsi="Times New Roman"/>
          <w:sz w:val="18"/>
          <w:szCs w:val="18"/>
          <w:b w:val="1"/>
          <w:bCs w:val="1"/>
          <w:u w:val="single" w:color="auto"/>
          <w:color w:val="auto"/>
        </w:rPr>
        <w:t>Jurisdiction; Waiver of Jury Trial</w:t>
      </w:r>
      <w:r>
        <w:rPr>
          <w:rFonts w:ascii="Times New Roman" w:cs="Times New Roman" w:eastAsia="Times New Roman" w:hAnsi="Times New Roman"/>
          <w:sz w:val="18"/>
          <w:szCs w:val="18"/>
          <w:color w:val="auto"/>
        </w:rPr>
        <w:t>. All Actions arising out of or relating to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heard and determined exclusively in any Delaware Chancery Court. The parties hereto hereby (i) submit to the exclusive jurisdiction of the Delaware Chancery Court for the purpose of any Action arising out of or relating to this Agreement brought by any party hereto,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hereunder may not be enforced in or by any of the above-named courts.</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Each party hereto acknowledges and agrees that in the event of any breach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by any of them, the other parties hereto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specific performance of this Agreement without the posting of a bond.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9" w:name="page470"/>
    <w:bookmarkEnd w:id="46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4.10.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sets forth the entire understanding of the parties hereto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subject matter hereof. There are no agreements, representations, warranties, covenants or understandings with respect to the subject matter hereof other than those expressly set forth herein. This Agreement supersedes all other prior agreements and understandings between the parties with respect to such subject matter.</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4.11.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or the application of such provision to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15"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4.12. </w:t>
      </w:r>
      <w:r>
        <w:rPr>
          <w:rFonts w:ascii="Times New Roman" w:cs="Times New Roman" w:eastAsia="Times New Roman" w:hAnsi="Times New Roman"/>
          <w:sz w:val="18"/>
          <w:szCs w:val="18"/>
          <w:b w:val="1"/>
          <w:bCs w:val="1"/>
          <w:u w:val="single" w:color="auto"/>
          <w:color w:val="auto"/>
        </w:rPr>
        <w:t>Table of Contents, Headings and Captions</w:t>
      </w:r>
      <w:r>
        <w:rPr>
          <w:rFonts w:ascii="Times New Roman" w:cs="Times New Roman" w:eastAsia="Times New Roman" w:hAnsi="Times New Roman"/>
          <w:sz w:val="18"/>
          <w:szCs w:val="18"/>
          <w:color w:val="auto"/>
        </w:rPr>
        <w:t>. The table of contents, headings, subheadings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captions contained in this Agreement are included for convenience of reference only, and in no way define, limit or describe the scope of this Agreement or the intent of any provision hereof.</w:t>
      </w:r>
    </w:p>
    <w:p>
      <w:pPr>
        <w:spacing w:after="0" w:line="90"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4.13.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and any amendment hereto may be signed in any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counterparts, each of which shall be deemed an original, but all of which taken together shall constitute one agreement (or amendment, as applicable).</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4.14. </w:t>
      </w: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color w:val="auto"/>
        </w:rPr>
        <w:t>. This Agreement shall be valid and enforceable as of the date of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revoked by any party hereto.</w:t>
      </w:r>
    </w:p>
    <w:p>
      <w:pPr>
        <w:spacing w:after="0" w:line="8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4.15. </w:t>
      </w:r>
      <w:r>
        <w:rPr>
          <w:rFonts w:ascii="Times New Roman" w:cs="Times New Roman" w:eastAsia="Times New Roman" w:hAnsi="Times New Roman"/>
          <w:sz w:val="18"/>
          <w:szCs w:val="18"/>
          <w:b w:val="1"/>
          <w:bCs w:val="1"/>
          <w:u w:val="single" w:color="auto"/>
          <w:color w:val="auto"/>
        </w:rPr>
        <w:t>No Recourse</w:t>
      </w:r>
      <w:r>
        <w:rPr>
          <w:rFonts w:ascii="Times New Roman" w:cs="Times New Roman" w:eastAsia="Times New Roman" w:hAnsi="Times New Roman"/>
          <w:sz w:val="18"/>
          <w:szCs w:val="18"/>
          <w:color w:val="auto"/>
        </w:rPr>
        <w:t>. This Agreement may only be enforced against, and any claim or cause of action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based upon, arise out of 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partner, shareholder, agent, attorney or representative of any party hereto or any past, present or future Affiliate, director, officer, employee, incorporator, member, manager, partner, stockholder, agent, attorney or representative of any of the foregoing (each, a “</w:t>
      </w:r>
      <w:r>
        <w:rPr>
          <w:rFonts w:ascii="Times New Roman" w:cs="Times New Roman" w:eastAsia="Times New Roman" w:hAnsi="Times New Roman"/>
          <w:sz w:val="18"/>
          <w:szCs w:val="18"/>
          <w:u w:val="single" w:color="auto"/>
          <w:color w:val="auto"/>
        </w:rPr>
        <w:t>Non-Recourse Party</w:t>
      </w:r>
      <w:r>
        <w:rPr>
          <w:rFonts w:ascii="Times New Roman" w:cs="Times New Roman" w:eastAsia="Times New Roman" w:hAnsi="Times New Roman"/>
          <w:sz w:val="18"/>
          <w:szCs w:val="18"/>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0" w:name="page471"/>
    <w:bookmarkEnd w:id="47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executed this Lockup Agreement on the day and year first above written.</w:t>
      </w:r>
    </w:p>
    <w:p>
      <w:pPr>
        <w:spacing w:after="0" w:line="15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FS DEVELOPMENT CORP.</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1" w:name="page472"/>
    <w:bookmarkEnd w:id="47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LIGHTSTONE VENTURES,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2" w:name="page473"/>
    <w:bookmarkEnd w:id="47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LIGHTSTONE VENTURES (A),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3" w:name="page474"/>
    <w:bookmarkEnd w:id="47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LIGHSTONE SINGAPORE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4" w:name="page475"/>
    <w:bookmarkEnd w:id="47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ORBIMED PRIVATE INVESTMENTS VI,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5" w:name="page476"/>
    <w:bookmarkEnd w:id="47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STOCKHOLDER PARTY: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ATLAS VENTURE FUND X, L.P.</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6" w:name="page477"/>
    <w:bookmarkEnd w:id="47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8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WU CAPITAL</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7" w:name="page478"/>
    <w:bookmarkEnd w:id="47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9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8" w:name="page479"/>
    <w:bookmarkEnd w:id="47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79" w:name="page480"/>
    <w:bookmarkEnd w:id="47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0" w:name="page481"/>
    <w:bookmarkEnd w:id="48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STOCKHOLDER PARTY:</w:t>
      </w: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Lockup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1" w:name="page482"/>
    <w:bookmarkEnd w:id="48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PARTIES</w:t>
      </w:r>
      <w:r>
        <w:rPr>
          <w:rFonts w:ascii="Times New Roman" w:cs="Times New Roman" w:eastAsia="Times New Roman" w:hAnsi="Times New Roman"/>
          <w:sz w:val="20"/>
          <w:szCs w:val="20"/>
          <w:b w:val="1"/>
          <w:bCs w:val="1"/>
          <w:color w:val="auto"/>
          <w:vertAlign w:val="superscript"/>
        </w:rPr>
        <w:t>[10]</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Series A</w:t>
            </w: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Series B</w:t>
            </w:r>
          </w:p>
        </w:tc>
        <w:tc>
          <w:tcPr>
            <w:tcW w:w="12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Options</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 Ventures,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11,653,137</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976,931</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Lightstone Ventures (A), L.P.</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1,587,559</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133,112</w:t>
            </w: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Lighstone Singapore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3,700,139</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OrbiMed Private Investments VI, L.P.</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13,240,696</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7,400,280</w:t>
            </w: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 L.P.</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13,240,696</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5,180,196</w:t>
            </w: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Wu Capital</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7,400,280</w:t>
            </w: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Lauder</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480,000</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James McLaughlin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4,500,000</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 Reilly</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185,175</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Steve Squinto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396,803</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Meyenburg</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3,285,939</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Gregg Beloff</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Uknis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Suresh Katti</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319,535</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Walter Strapps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319,535</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David Lubner</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Tuyen Ong</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Phil Reilly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185,175</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880" w:hanging="426"/>
        <w:spacing w:after="0"/>
        <w:tabs>
          <w:tab w:leader="none" w:pos="880" w:val="left"/>
        </w:tabs>
        <w:numPr>
          <w:ilvl w:val="0"/>
          <w:numId w:val="45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To be confirmed whether any other members of Gemini management owns shares of Gemini.</w:t>
      </w:r>
    </w:p>
    <w:p>
      <w:pPr>
        <w:sectPr>
          <w:pgSz w:w="11900" w:h="16838" w:orient="portrait"/>
          <w:cols w:equalWidth="0" w:num="1">
            <w:col w:w="9019"/>
          </w:cols>
          <w:pgMar w:left="1440" w:top="269"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type w:val="continuous"/>
        </w:sectPr>
      </w:pPr>
    </w:p>
    <w:bookmarkStart w:id="482" w:name="page483"/>
    <w:bookmarkEnd w:id="48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JOINDER TO LOCKUP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20</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Reference is made to the Lockup Agreement, dated as of October [•], 2020, by and between FSD Development Corp. and the Stockholder Parties (as defined therein) from time to time party thereto (as amended from time to time,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Capitalized terms used but not otherwise defined herein shall have the meanings ascribed to such terms in the Lockup Agreement.</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Each of FSD and each undersigned holder of shares of FSD (each, a “</w:t>
      </w:r>
      <w:r>
        <w:rPr>
          <w:rFonts w:ascii="Times New Roman" w:cs="Times New Roman" w:eastAsia="Times New Roman" w:hAnsi="Times New Roman"/>
          <w:sz w:val="18"/>
          <w:szCs w:val="18"/>
          <w:u w:val="single" w:color="auto"/>
          <w:color w:val="auto"/>
        </w:rPr>
        <w:t>New Stockholder Party</w:t>
      </w:r>
      <w:r>
        <w:rPr>
          <w:rFonts w:ascii="Times New Roman" w:cs="Times New Roman" w:eastAsia="Times New Roman" w:hAnsi="Times New Roman"/>
          <w:sz w:val="18"/>
          <w:szCs w:val="18"/>
          <w:color w:val="auto"/>
        </w:rPr>
        <w:t>”) agrees that this Joinder to the Lockup Agreement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is being executed and delivered for good and valuable consideration.</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Each undersigned New Stockholder Party hereby agrees to and does become party to the Lockup Agreement as a Stockholder Party. This Joinder shall serve as a counterpart signature page to the Lockup Agreement and by executing below each undersigned New Stockholder Party is deemed to have executed the Lockup Agreement with the same force and effect as if originally named a party thereto.</w:t>
      </w:r>
    </w:p>
    <w:p>
      <w:pPr>
        <w:spacing w:after="0" w:line="9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This Joinder may be executed in multiple counterparts, including by means of facsimile or electronic signature, each of which shall be deemed an original, but all of which together shall constitute the same instrument.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3" w:name="page484"/>
    <w:bookmarkEnd w:id="48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WITNESS WHEREOF, the undersigned have duly executed this joinder as of the date first set forth above.</w:t>
      </w:r>
    </w:p>
    <w:p>
      <w:pPr>
        <w:spacing w:after="0" w:line="23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[NEW STOCKHOLDER PARTY]</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43180</wp:posOffset>
            </wp:positionV>
            <wp:extent cx="198882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7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By:</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4" w:name="page485"/>
    <w:bookmarkEnd w:id="48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u w:val="single" w:color="auto"/>
          <w:color w:val="auto"/>
        </w:rPr>
        <w:t>EXHIBIT 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MERGER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FSG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 AND INTO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13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the provisions of Section 251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Gemini Therapeutics, Inc., a corporation organized and existing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the following information relating to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of FSG Merger Sub, Inc., a corporation organized and existing under the laws of Delaware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with the Company as the surviving corporation of the Merger:</w:t>
      </w:r>
    </w:p>
    <w:p>
      <w:pPr>
        <w:spacing w:after="0" w:line="98" w:lineRule="exact"/>
        <w:rPr>
          <w:sz w:val="20"/>
          <w:szCs w:val="20"/>
          <w:color w:val="auto"/>
        </w:rPr>
      </w:pPr>
    </w:p>
    <w:p>
      <w:pPr>
        <w:jc w:val="both"/>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names and states of incorporation of the constituent corporations to the Merger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Corporations</w:t>
      </w:r>
      <w:r>
        <w:rPr>
          <w:rFonts w:ascii="Times New Roman" w:cs="Times New Roman" w:eastAsia="Times New Roman" w:hAnsi="Times New Roman"/>
          <w:sz w:val="18"/>
          <w:szCs w:val="18"/>
          <w:color w:val="auto"/>
        </w:rPr>
        <w:t>”) are as follows:</w:t>
      </w:r>
    </w:p>
    <w:p>
      <w:pPr>
        <w:spacing w:after="0" w:line="175"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r>
      <w:tr>
        <w:trPr>
          <w:trHeight w:val="46"/>
        </w:trPr>
        <w:tc>
          <w:tcPr>
            <w:tcW w:w="3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Gemini Therapeutics, Inc.</w:t>
            </w:r>
          </w:p>
        </w:tc>
        <w:tc>
          <w:tcPr>
            <w:tcW w:w="10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FSG Merger Sub, Inc.</w:t>
            </w: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19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October [•], 2020,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among the Company, FS Development Corp., a Delaware corporation, Merger Sub, and Shareholder Representative Services LLC (solely in its capacity as the stockholder representative as set forth therein), has been approved, adopted, certified, executed and acknowledged by each of the Constituent Corporations pursuant to, and in accordance with, Section 251 of the DGCL.</w:t>
      </w:r>
    </w:p>
    <w:p>
      <w:pPr>
        <w:spacing w:after="0" w:line="11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name of the surviving corporation, upon the effectiveness of the Merger, shall be Gemini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a Delaware corporation.</w:t>
      </w:r>
    </w:p>
    <w:p>
      <w:pPr>
        <w:spacing w:after="0" w:line="74"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The Certificate of Incorporation of the Company, as in effect prior to the filing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 of Merger, shall be amended as of the filing of this Certificate of Merger so as to contain the provisions, and only the provisions, contained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 and, as so amended, shall be the Certificate of Incorporation of the surviving corporation.</w:t>
      </w:r>
    </w:p>
    <w:p>
      <w:pPr>
        <w:spacing w:after="0" w:line="109"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This Certificate of Merger and the Merger shall become effective immediately upon the filing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Certificate of Merger with the Secretary of State of the State of Delaware.</w:t>
      </w:r>
    </w:p>
    <w:p>
      <w:pPr>
        <w:spacing w:after="0" w:line="8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The executed Agreement is on file at the principal place of business of the surviving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address of the principal place of business of the surviving corporation is 300 One Kendall Square,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Cambridge, MA 02139.</w:t>
      </w:r>
    </w:p>
    <w:p>
      <w:pPr>
        <w:spacing w:after="0" w:line="99"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A copy of the Agreement will be furnished by the surviving corporation on request,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to any stockholder of either of the Constituent Corporations.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IS BLANK INTENTIONALLY]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5" w:name="page486"/>
    <w:bookmarkEnd w:id="48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said surviving corporation has caused this certificate to be signed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on the _____ day of _____, 2020.</w:t>
      </w:r>
    </w:p>
    <w:p>
      <w:pPr>
        <w:spacing w:after="0" w:line="15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GEMINI THERAPEUTICS, INC.</w:t>
      </w:r>
    </w:p>
    <w:p>
      <w:pPr>
        <w:spacing w:after="0" w:line="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43180</wp:posOffset>
            </wp:positionV>
            <wp:extent cx="223710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Delaware Certificate of Merger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6" w:name="page487"/>
    <w:bookmarkEnd w:id="48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attached.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7" w:name="page488"/>
    <w:bookmarkEnd w:id="48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name of the Corporation is Gemini Therapeutics,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 The name of its registered agent at such address is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[__________] Million ([__________]) of which (i) [__________] Million ([______]) shares shall be a class</w:t>
      </w: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designated as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 Preferred Stock</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0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15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08" w:lineRule="exact"/>
        <w:rPr>
          <w:sz w:val="20"/>
          <w:szCs w:val="20"/>
          <w:color w:val="auto"/>
        </w:rPr>
      </w:pPr>
    </w:p>
    <w:p>
      <w:pPr>
        <w:jc w:val="both"/>
        <w:ind w:left="460" w:right="459" w:firstLine="858"/>
        <w:spacing w:after="0" w:line="253" w:lineRule="auto"/>
        <w:tabs>
          <w:tab w:leader="none" w:pos="1835"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(the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10"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791"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8" w:name="page489"/>
    <w:bookmarkEnd w:id="48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459" w:firstLine="858"/>
        <w:spacing w:after="0" w:line="282" w:lineRule="auto"/>
        <w:tabs>
          <w:tab w:leader="none" w:pos="1808"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Undesignated Preferred Stock</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Action</w:t>
      </w:r>
    </w:p>
    <w:p>
      <w:pPr>
        <w:spacing w:after="0" w:line="162" w:lineRule="exact"/>
        <w:rPr>
          <w:sz w:val="20"/>
          <w:szCs w:val="20"/>
          <w:color w:val="auto"/>
        </w:rPr>
      </w:pPr>
    </w:p>
    <w:p>
      <w:pPr>
        <w:jc w:val="both"/>
        <w:ind w:left="460" w:right="459" w:firstLine="498"/>
        <w:spacing w:after="0" w:line="254" w:lineRule="auto"/>
        <w:tabs>
          <w:tab w:leader="none" w:pos="1369"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78"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ind w:left="460" w:right="459" w:firstLine="426"/>
        <w:spacing w:after="0" w:line="282" w:lineRule="auto"/>
        <w:tabs>
          <w:tab w:leader="none" w:pos="1337"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94"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351"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provide.</w:t>
      </w:r>
    </w:p>
    <w:p>
      <w:pPr>
        <w:spacing w:after="0" w:line="80"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553"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Subject to the terms of the Registration and Rights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[names]; the initial Class II Directors of the Corporation shall be [names]; and the initial Class III Directors of the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89" w:name="page490"/>
    <w:bookmarkEnd w:id="48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Corporation shall be [Jim Tananbaum], [•] and [•]. The initial Class I Directors shall serve for a term expiring at the annual meeting of stockholders to be held in [2021], the initial Class II Directors shall serve for a term expiring at the annual meeting of stockholders to be held in [2022], and the initial Class III Directors shall serve for a term expiring at the annual meeting of stockholders to be held in [2023]. The mailing address of each person who is to serve initially as a director is c/o Gemini Therapeutics, Inc., One Kendall Square, Building 300, Cambridge, MA.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99" w:lineRule="exact"/>
        <w:rPr>
          <w:sz w:val="20"/>
          <w:szCs w:val="20"/>
          <w:color w:val="auto"/>
        </w:rPr>
      </w:pPr>
    </w:p>
    <w:p>
      <w:pPr>
        <w:jc w:val="both"/>
        <w:ind w:left="460" w:right="459" w:firstLine="426"/>
        <w:spacing w:after="0" w:line="252" w:lineRule="auto"/>
        <w:tabs>
          <w:tab w:leader="none" w:pos="131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and subject to the terms of the Registration Rights Agreement and the Voting Agreement,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(except as otherwise provided in the Registration Rights Agreement and the Voting Agreement).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472"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and subject to the terms of the Registration Rights Agreement and the Voting Agreement, any Director (including persons elected by Directors to fill vacancies in the Board of Directors) may be removed from office (i) only with cause and (ii) only by the affirmative vote of the holders of not less than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Limitation of Liability</w:t>
      </w:r>
    </w:p>
    <w:p>
      <w:pPr>
        <w:spacing w:after="0" w:line="162" w:lineRule="exact"/>
        <w:rPr>
          <w:sz w:val="20"/>
          <w:szCs w:val="20"/>
          <w:color w:val="auto"/>
        </w:rPr>
      </w:pPr>
    </w:p>
    <w:p>
      <w:pPr>
        <w:jc w:val="both"/>
        <w:ind w:left="460" w:right="479" w:firstLine="426"/>
        <w:spacing w:after="0" w:line="257" w:lineRule="auto"/>
        <w:tabs>
          <w:tab w:leader="none" w:pos="1351" w:val="left"/>
        </w:tabs>
        <w:numPr>
          <w:ilvl w:val="1"/>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Director Liability</w:t>
      </w:r>
      <w:r>
        <w:rPr>
          <w:rFonts w:ascii="Times New Roman" w:cs="Times New Roman" w:eastAsia="Times New Roman" w:hAnsi="Times New Roman"/>
          <w:sz w:val="18"/>
          <w:szCs w:val="18"/>
          <w:color w:val="auto"/>
        </w:rPr>
        <w:t>.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5" w:lineRule="auto"/>
        <w:tabs>
          <w:tab w:leader="none" w:pos="731"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(c) under Section 174 of the DGCL or (d) for any transaction from which the Director derived an improper personal benefit. If</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0" w:name="page491"/>
    <w:bookmarkEnd w:id="49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08" w:lineRule="exact"/>
        <w:rPr>
          <w:sz w:val="20"/>
          <w:szCs w:val="20"/>
          <w:color w:val="auto"/>
        </w:rPr>
      </w:pPr>
    </w:p>
    <w:p>
      <w:pPr>
        <w:jc w:val="both"/>
        <w:ind w:left="460" w:right="459" w:firstLine="426"/>
        <w:spacing w:after="0" w:line="258" w:lineRule="auto"/>
        <w:tabs>
          <w:tab w:leader="none" w:pos="1361"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97"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By-Laws</w:t>
      </w:r>
    </w:p>
    <w:p>
      <w:pPr>
        <w:spacing w:after="0" w:line="148" w:lineRule="exact"/>
        <w:rPr>
          <w:sz w:val="20"/>
          <w:szCs w:val="20"/>
          <w:color w:val="auto"/>
        </w:rPr>
      </w:pPr>
    </w:p>
    <w:p>
      <w:pPr>
        <w:jc w:val="both"/>
        <w:ind w:left="460" w:right="479" w:firstLine="426"/>
        <w:spacing w:after="0" w:line="266" w:lineRule="auto"/>
        <w:tabs>
          <w:tab w:leader="none" w:pos="1297"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1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provided therein, the By-laws of the Corporation may be amended or repealed at any annual meeting of stockholders, or special meeting of stockholders called for such purpose, by the affirmative vote of not less than two 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of Certificate of Incorporation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 Combinations</w:t>
      </w:r>
    </w:p>
    <w:p>
      <w:pPr>
        <w:spacing w:after="0" w:line="148" w:lineRule="exact"/>
        <w:rPr>
          <w:sz w:val="20"/>
          <w:szCs w:val="20"/>
          <w:color w:val="auto"/>
        </w:rPr>
      </w:pPr>
    </w:p>
    <w:p>
      <w:pPr>
        <w:ind w:left="1300" w:hanging="414"/>
        <w:spacing w:after="0"/>
        <w:tabs>
          <w:tab w:leader="none" w:pos="130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 Out of DGCL 203</w:t>
      </w:r>
      <w:r>
        <w:rPr>
          <w:rFonts w:ascii="Times New Roman" w:cs="Times New Roman" w:eastAsia="Times New Roman" w:hAnsi="Times New Roman"/>
          <w:sz w:val="18"/>
          <w:szCs w:val="18"/>
          <w:color w:val="auto"/>
        </w:rPr>
        <w:t>. The Corporation shall not be governed by Section 203 of the DGCL.</w:t>
      </w:r>
    </w:p>
    <w:p>
      <w:pPr>
        <w:spacing w:after="0" w:line="157"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31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Opportunity</w:t>
      </w:r>
      <w:r>
        <w:rPr>
          <w:rFonts w:ascii="Times New Roman" w:cs="Times New Roman" w:eastAsia="Times New Roman" w:hAnsi="Times New Roman"/>
          <w:sz w:val="18"/>
          <w:szCs w:val="18"/>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 of Text]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1" w:name="page492"/>
    <w:bookmarkEnd w:id="49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THIS AMENDED AND RESTATED CERTIFICATE OF INCORPORATION is executed as of this ____</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day of __________, 2020.</w:t>
      </w:r>
    </w:p>
    <w:p>
      <w:pPr>
        <w:spacing w:after="0" w:line="20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18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2945765</wp:posOffset>
            </wp:positionH>
            <wp:positionV relativeFrom="paragraph">
              <wp:posOffset>51435</wp:posOffset>
            </wp:positionV>
            <wp:extent cx="24860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Name: James Meyenburg</w:t>
      </w:r>
    </w:p>
    <w:p>
      <w:pPr>
        <w:spacing w:after="0" w:line="77" w:lineRule="exact"/>
        <w:rPr>
          <w:sz w:val="20"/>
          <w:szCs w:val="20"/>
          <w:color w:val="auto"/>
        </w:rPr>
      </w:pPr>
    </w:p>
    <w:p>
      <w:pPr>
        <w:ind w:left="4060"/>
        <w:spacing w:after="0"/>
        <w:tabs>
          <w:tab w:leader="none" w:pos="46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Closing Certificate of Incorporation]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2" w:name="page493"/>
    <w:bookmarkEnd w:id="49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1. Annual Meeting. The annual meeting of stockholders (any such meeting being referred to in these By-laws as an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shall be held at the hour, date and place within or without the United States which is fixed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340"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Notice of Stockholder Business and Nominations.</w:t>
      </w:r>
    </w:p>
    <w:p>
      <w:pPr>
        <w:spacing w:after="0" w:line="144" w:lineRule="exact"/>
        <w:rPr>
          <w:sz w:val="20"/>
          <w:szCs w:val="20"/>
          <w:color w:val="auto"/>
        </w:rPr>
      </w:pPr>
    </w:p>
    <w:p>
      <w:pPr>
        <w:ind w:left="1320" w:hanging="434"/>
        <w:spacing w:after="0"/>
        <w:tabs>
          <w:tab w:leader="none" w:pos="132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3" w:lineRule="auto"/>
        <w:tabs>
          <w:tab w:leader="none" w:pos="1314"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and such stockholder must comply with the notice and other procedures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477"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nominations or other business to be properly brought before an Annual Meeting by a stockholder pursuant to clause (ii)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of these By-laws, the stockholder must (i) have given Timely Notice (as defined below) thereof in writing to the Secretary of the Corporation, (ii) have provided any updates or supplements to such notice at the times and in the forms required by these By-laws and</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42" w:lineRule="auto"/>
        <w:tabs>
          <w:tab w:leader="none" w:pos="779"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nor earlier than the close of business on the one hundred twentieth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meeting is first made (such notice within such time periods shall be referred to as “</w:t>
      </w:r>
      <w:r>
        <w:rPr>
          <w:rFonts w:ascii="Times New Roman" w:cs="Times New Roman" w:eastAsia="Times New Roman" w:hAnsi="Times New Roman"/>
          <w:sz w:val="18"/>
          <w:szCs w:val="18"/>
          <w:u w:val="single" w:color="auto"/>
          <w:color w:val="auto"/>
        </w:rPr>
        <w:t>Timely Notice</w:t>
      </w:r>
      <w:r>
        <w:rPr>
          <w:rFonts w:ascii="Times New Roman" w:cs="Times New Roman" w:eastAsia="Times New Roman" w:hAnsi="Times New Roman"/>
          <w:sz w:val="18"/>
          <w:szCs w:val="18"/>
          <w:color w:val="auto"/>
        </w:rPr>
        <w:t>”). Notwithstanding anything to the contrary provided herein, for the first Annual Meeting following the initial public offering of common stock of the Corporation, a stockholder’s notice shall be timely if received by the Secretary at the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3" w:name="page494"/>
    <w:bookmarkEnd w:id="49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1" w:lineRule="auto"/>
        <w:rPr>
          <w:sz w:val="20"/>
          <w:szCs w:val="20"/>
          <w:color w:val="auto"/>
        </w:rPr>
      </w:pPr>
      <w:r>
        <w:rPr>
          <w:rFonts w:ascii="Times New Roman" w:cs="Times New Roman" w:eastAsia="Times New Roman" w:hAnsi="Times New Roman"/>
          <w:sz w:val="18"/>
          <w:szCs w:val="18"/>
          <w:color w:val="auto"/>
        </w:rPr>
        <w:t>principal executive offices of the Corporation not later than the close of business on the later of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prior to the scheduled date of such Annual Meeting or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public announcement of the date of such Annual Meeting is first made or sent by the Corporation. Such stockholder’s Timely Notice shall set forth:</w:t>
      </w:r>
    </w:p>
    <w:p>
      <w:pPr>
        <w:spacing w:after="0" w:line="123" w:lineRule="exact"/>
        <w:rPr>
          <w:sz w:val="20"/>
          <w:szCs w:val="20"/>
          <w:color w:val="auto"/>
        </w:rPr>
      </w:pPr>
    </w:p>
    <w:p>
      <w:pPr>
        <w:jc w:val="both"/>
        <w:ind w:left="1760" w:right="459" w:firstLine="422"/>
        <w:spacing w:after="0" w:line="252" w:lineRule="auto"/>
        <w:tabs>
          <w:tab w:leader="none" w:pos="2893"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20" w:lineRule="exact"/>
        <w:rPr>
          <w:rFonts w:ascii="Times New Roman" w:cs="Times New Roman" w:eastAsia="Times New Roman" w:hAnsi="Times New Roman"/>
          <w:sz w:val="18"/>
          <w:szCs w:val="18"/>
          <w:color w:val="auto"/>
        </w:rPr>
      </w:pPr>
    </w:p>
    <w:p>
      <w:pPr>
        <w:jc w:val="both"/>
        <w:ind w:left="1760" w:right="459" w:firstLine="422"/>
        <w:spacing w:after="0" w:line="258" w:lineRule="auto"/>
        <w:tabs>
          <w:tab w:leader="none" w:pos="3002"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102" w:lineRule="exact"/>
        <w:rPr>
          <w:rFonts w:ascii="Times New Roman" w:cs="Times New Roman" w:eastAsia="Times New Roman" w:hAnsi="Times New Roman"/>
          <w:sz w:val="18"/>
          <w:szCs w:val="18"/>
          <w:color w:val="auto"/>
        </w:rPr>
      </w:pPr>
    </w:p>
    <w:p>
      <w:pPr>
        <w:jc w:val="both"/>
        <w:ind w:left="1760" w:right="459" w:firstLine="422"/>
        <w:spacing w:after="0" w:line="251" w:lineRule="auto"/>
        <w:tabs>
          <w:tab w:leader="none" w:pos="2816"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4" w:name="page495"/>
    <w:bookmarkEnd w:id="49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clauses (a) through (e) are referred to, collectively, as “</w:t>
      </w:r>
      <w:r>
        <w:rPr>
          <w:rFonts w:ascii="Times New Roman" w:cs="Times New Roman" w:eastAsia="Times New Roman" w:hAnsi="Times New Roman"/>
          <w:sz w:val="18"/>
          <w:szCs w:val="18"/>
          <w:u w:val="single" w:color="auto"/>
          <w:color w:val="auto"/>
        </w:rPr>
        <w:t>Material Ownership Interests</w:t>
      </w:r>
      <w:r>
        <w:rPr>
          <w:rFonts w:ascii="Times New Roman" w:cs="Times New Roman" w:eastAsia="Times New Roman" w:hAnsi="Times New Roman"/>
          <w:sz w:val="18"/>
          <w:szCs w:val="18"/>
          <w:color w:val="auto"/>
        </w:rPr>
        <w:t>”) and</w:t>
      </w:r>
    </w:p>
    <w:p>
      <w:pPr>
        <w:spacing w:after="0" w:line="27" w:lineRule="exact"/>
        <w:rPr>
          <w:sz w:val="20"/>
          <w:szCs w:val="20"/>
          <w:color w:val="auto"/>
        </w:rPr>
      </w:pPr>
    </w:p>
    <w:p>
      <w:pPr>
        <w:jc w:val="both"/>
        <w:ind w:left="1760" w:right="459" w:hanging="10"/>
        <w:spacing w:after="0" w:line="253" w:lineRule="auto"/>
        <w:tabs>
          <w:tab w:leader="none" w:pos="2104"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21" w:lineRule="exact"/>
        <w:rPr>
          <w:rFonts w:ascii="Times New Roman" w:cs="Times New Roman" w:eastAsia="Times New Roman" w:hAnsi="Times New Roman"/>
          <w:sz w:val="18"/>
          <w:szCs w:val="18"/>
          <w:color w:val="auto"/>
        </w:rPr>
      </w:pPr>
    </w:p>
    <w:p>
      <w:pPr>
        <w:jc w:val="both"/>
        <w:ind w:left="1760" w:right="459" w:firstLine="422"/>
        <w:spacing w:after="0" w:line="253" w:lineRule="auto"/>
        <w:tabs>
          <w:tab w:leader="none" w:pos="2988"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26" w:lineRule="exact"/>
        <w:rPr>
          <w:rFonts w:ascii="Times New Roman" w:cs="Times New Roman" w:eastAsia="Times New Roman" w:hAnsi="Times New Roman"/>
          <w:sz w:val="18"/>
          <w:szCs w:val="18"/>
          <w:color w:val="auto"/>
        </w:rPr>
      </w:pPr>
    </w:p>
    <w:p>
      <w:pPr>
        <w:jc w:val="both"/>
        <w:ind w:left="1760" w:right="459" w:firstLine="422"/>
        <w:spacing w:after="0" w:line="254" w:lineRule="auto"/>
        <w:tabs>
          <w:tab w:leader="none" w:pos="2895" w:val="left"/>
        </w:tabs>
        <w:numPr>
          <w:ilvl w:val="1"/>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8"/>
          <w:szCs w:val="18"/>
          <w:u w:val="single" w:color="auto"/>
          <w:color w:val="auto"/>
        </w:rPr>
        <w:t>Solicitation Statement</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xml:space="preserve">”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the term “</w:t>
      </w:r>
      <w:r>
        <w:rPr>
          <w:rFonts w:ascii="Times New Roman" w:cs="Times New Roman" w:eastAsia="Times New Roman" w:hAnsi="Times New Roman"/>
          <w:sz w:val="18"/>
          <w:szCs w:val="18"/>
          <w:u w:val="single" w:color="auto"/>
          <w:color w:val="auto"/>
        </w:rPr>
        <w:t>Synthetic Equity Interest</w:t>
      </w:r>
      <w:r>
        <w:rPr>
          <w:rFonts w:ascii="Times New Roman" w:cs="Times New Roman" w:eastAsia="Times New Roman" w:hAnsi="Times New Roman"/>
          <w:sz w:val="18"/>
          <w:szCs w:val="18"/>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26" w:lineRule="exact"/>
        <w:rPr>
          <w:sz w:val="20"/>
          <w:szCs w:val="20"/>
          <w:color w:val="auto"/>
        </w:rPr>
      </w:pPr>
    </w:p>
    <w:p>
      <w:pPr>
        <w:jc w:val="both"/>
        <w:ind w:left="460" w:right="459" w:firstLine="426"/>
        <w:spacing w:after="0" w:line="247" w:lineRule="auto"/>
        <w:tabs>
          <w:tab w:leader="none" w:pos="1278"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after the record date for the Annual Meeting (in the case of the update and supplement required to be made as of the record date), and not later than the close of business on the eighth (8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business day prior to the date of the Annual Meeting (in the case of the update and supplement required to be made as of ten (10) business days prior to the meeting).</w:t>
      </w:r>
    </w:p>
    <w:p>
      <w:pPr>
        <w:spacing w:after="0" w:line="130"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287"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a stockholder’s notice required by these By-laws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5" w:name="page496"/>
    <w:bookmarkEnd w:id="49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78" w:lineRule="auto"/>
        <w:rPr>
          <w:sz w:val="20"/>
          <w:szCs w:val="20"/>
          <w:color w:val="auto"/>
        </w:rPr>
      </w:pPr>
      <w:r>
        <w:rPr>
          <w:rFonts w:ascii="Times New Roman" w:cs="Times New Roman" w:eastAsia="Times New Roman" w:hAnsi="Times New Roman"/>
          <w:sz w:val="18"/>
          <w:szCs w:val="18"/>
          <w:color w:val="auto"/>
        </w:rPr>
        <w:t>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day following the day on which such public announcement is first made by the Corporation.</w:t>
      </w:r>
    </w:p>
    <w:p>
      <w:pPr>
        <w:spacing w:after="0" w:line="51" w:lineRule="exact"/>
        <w:rPr>
          <w:sz w:val="20"/>
          <w:szCs w:val="20"/>
          <w:color w:val="auto"/>
        </w:rPr>
      </w:pPr>
    </w:p>
    <w:p>
      <w:pPr>
        <w:ind w:left="1280" w:hanging="394"/>
        <w:spacing w:after="0"/>
        <w:tabs>
          <w:tab w:leader="none" w:pos="128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426"/>
        <w:spacing w:after="0" w:line="252" w:lineRule="auto"/>
        <w:tabs>
          <w:tab w:leader="none" w:pos="139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these By-laws, the Registration and Shareholder Rights Agreement, dated as of [•],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Registration and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and the Voting Agreement, dated as of [•], 2020, by and among the Corporation and certain of its stockholders (as amended, modified and/or supplemented from time to time,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shall be eligible for election and to serve as directors and only such business shall be conducted at an Annual Meeting as shall have been brought before the meeting in accordance with the provisions of these By-laws, the Registration and Shareholder Rights Agreement, the Voting Agreement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the Registration and Shareholder Rights Agreement or the Voting Agreement. If neither the Board of Directors nor such designated committee makes a determination as to whether any stockholder proposal or nomination was made in accordance with the provisions of these By-laws, the Registration and Shareholder Rights Agreement or the Voting Agreement, the presiding officer of the Annual Meeting shall have the power and duty to determine whether the stockholder proposal or nomination was made in accordance with the provisions of these By-laws, the Registration and Shareholder Rights Agreement or the Voting Agreement. If the Board of Directors or a designated committee thereof or the presiding officer, as applicable, determines that any stockholder proposal or nomination was not made in accordance with the provisions of these By-laws, the Registration and Shareholder Rights Agreement or the Voting Agreement, such proposal or nomination shall be disregarded and shall not be presented for action at the Annual Meeting.</w:t>
      </w:r>
    </w:p>
    <w:p>
      <w:pPr>
        <w:spacing w:after="0" w:line="108" w:lineRule="exact"/>
        <w:rPr>
          <w:rFonts w:ascii="Times New Roman" w:cs="Times New Roman" w:eastAsia="Times New Roman" w:hAnsi="Times New Roman"/>
          <w:sz w:val="18"/>
          <w:szCs w:val="18"/>
          <w:color w:val="auto"/>
        </w:rPr>
      </w:pPr>
    </w:p>
    <w:p>
      <w:pPr>
        <w:jc w:val="both"/>
        <w:ind w:left="460" w:right="479" w:firstLine="426"/>
        <w:spacing w:after="0" w:line="258" w:lineRule="auto"/>
        <w:tabs>
          <w:tab w:leader="none" w:pos="1374"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by law, the Registration and Shareholder Rights Agreement or the Voting Agreement, nothing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293"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432"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98"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298"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these By-laws, a stockholder shall also comply with all applicable requirements of the Exchange Act and the rules and regulations thereunder with respect to the</w:t>
      </w:r>
    </w:p>
    <w:p>
      <w:pPr>
        <w:jc w:val="center"/>
        <w:ind w:right="19"/>
        <w:spacing w:after="0"/>
        <w:rPr>
          <w:sz w:val="20"/>
          <w:szCs w:val="20"/>
          <w:color w:val="auto"/>
        </w:rPr>
      </w:pPr>
      <w:r>
        <w:rPr>
          <w:rFonts w:ascii="Times New Roman" w:cs="Times New Roman" w:eastAsia="Times New Roman" w:hAnsi="Times New Roman"/>
          <w:sz w:val="18"/>
          <w:szCs w:val="18"/>
          <w:color w:val="auto"/>
        </w:rPr>
        <w:t>matters set forth in these By-laws. Nothing in these By-laws shall be deemed to affect any rights of</w:t>
      </w:r>
    </w:p>
    <w:p>
      <w:pPr>
        <w:spacing w:after="0" w:line="9" w:lineRule="exact"/>
        <w:rPr>
          <w:sz w:val="20"/>
          <w:szCs w:val="20"/>
          <w:color w:val="auto"/>
        </w:rPr>
      </w:pPr>
    </w:p>
    <w:p>
      <w:pPr>
        <w:jc w:val="both"/>
        <w:ind w:left="460" w:right="479" w:hanging="6"/>
        <w:spacing w:after="0" w:line="253" w:lineRule="auto"/>
        <w:tabs>
          <w:tab w:leader="none" w:pos="679"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6" w:name="page497"/>
    <w:bookmarkEnd w:id="49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5" w:lineRule="auto"/>
        <w:tabs>
          <w:tab w:leader="none" w:pos="1413"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Special Meetings.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these By-laws, in which case such special meeting in lieu thereof shall be deemed an Annual Meeting for purposes of these By-laws and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these By-laws shall govern such special meeting.</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08"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color w:val="auto"/>
        </w:rPr>
        <w:t>Notice of Meetings; Adjournments.</w:t>
      </w:r>
    </w:p>
    <w:p>
      <w:pPr>
        <w:spacing w:after="0" w:line="158" w:lineRule="exact"/>
        <w:rPr>
          <w:sz w:val="20"/>
          <w:szCs w:val="20"/>
          <w:color w:val="auto"/>
        </w:rPr>
      </w:pPr>
    </w:p>
    <w:p>
      <w:pPr>
        <w:jc w:val="both"/>
        <w:ind w:left="460" w:right="459" w:firstLine="426"/>
        <w:spacing w:after="0" w:line="254" w:lineRule="auto"/>
        <w:tabs>
          <w:tab w:leader="none" w:pos="1362"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378"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42"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13"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 or otherwise. In no event shall the public announcement of an adjournment, postponement or rescheduling of any previously scheduled meeting of stockholders commence a new time period for the giving of a stockholder’s notice under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these By-laws.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7" w:name="page498"/>
    <w:bookmarkEnd w:id="49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2" w:lineRule="auto"/>
        <w:tabs>
          <w:tab w:leader="none" w:pos="1368"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these By-laws, is entitled to such notice.</w:t>
      </w:r>
    </w:p>
    <w:p>
      <w:pPr>
        <w:spacing w:after="0" w:line="12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SECTION 5. Quorum.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SECTION 6. Voting and Proxies.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7. Action at Meeting.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8. Stockholder Lists.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9. Presiding Officer.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8" w:name="page499"/>
    <w:bookmarkEnd w:id="49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The order of business and all other matters of procedure at any meeting of the stockholders shall be determined by the presiding officer.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10. Inspectors of Elections.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 Powers. The business and affairs of the Corporation shall be managed by or under the direction of the Board of Directors except as otherwise provided by the Certificate or required by law.</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2. Number and Terms. Subject to the terms of the Registration and Shareholder Rights Agreement and the Voting Agreement, the number of directors of the Corporation shall be fixed solely and exclusively by resolution duly adopted from time to time by the Board of Directors. The directors shall hold office in the manner provided in the Certificate.</w:t>
      </w:r>
    </w:p>
    <w:p>
      <w:pPr>
        <w:spacing w:after="0" w:line="112"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w:t>
        <w:tab/>
        <w:t>Qualification. No director need be a stockholder of the Corporation.</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4. Vacancies. Vacancies in the Board of Directors shall be filled in the manner provided in the Certificate, the Registration and Shareholder Rights Agreement and the Voting Agreement.</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5. Removal. Directors may be removed from office only in the manner provided in the Certificate, the Registration and Shareholder Rights Agreement and the Voting Agreement.</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6. Resignation.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7. Regular Meetings. Regular and annual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8. Special Meetings.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9. Notice of Meetings.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499" w:name="page500"/>
    <w:bookmarkEnd w:id="49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10. Quorum.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11. Action at Meeting. At any meeting of the Board of Directors at which a quorum is present, the vote of a majority of the directors present shall constitute action by the Board of Directors, unless otherwise required by law, by the Certificate or by these By-laws.</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12. Action by Consent.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13. Manner of Participation.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14. Presiding Director.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15. Committees. Subject to the terms of the Registration and Shareholder Rights Agreement and the Voting Agreement,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16. Compensation of Directors.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0" w:name="page501"/>
    <w:bookmarkEnd w:id="50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1. Enumeration.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2. Election.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3. Qualification. No officer need be a stockholder or a director. Any person may occupy more than one office of the Corporation at any time.</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4. Tenure.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5. Resignation.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6. Removal. Except as otherwise provided by law or by resolution of the Board of Directors, the Board of Directors may remove any officer with or without cause by the affirmative vote of a majority of the directors then in office.</w:t>
      </w:r>
    </w:p>
    <w:p>
      <w:pPr>
        <w:spacing w:after="0" w:line="9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7. Absence or Disability. In the event of the absence or disability of any officer, the Board of Directors may designate another officer to act temporarily in place of such absent or disabled officer.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8. Vacancies. Any vacancy in any office may be filled for the unexpired portion of the term by the Board of Directors.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9. President. The President shall, subject to the direction of the Board of Directors, have such powers and shall perform such duties as the Board of Directors may from time to time designate.</w:t>
      </w:r>
    </w:p>
    <w:p>
      <w:pPr>
        <w:spacing w:after="0" w:line="8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10. Chairman of the Board. The Chairman of the Board,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11. Chief Executive Officer. The Chief Executive Officer, if one is elected, shall have such powers and shall perform such duties as the Board of Directors may from time to time designate.</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12. Vice Presidents and Assistant Vice Presidents.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SECTION 13. Treasurer and Assistant Treasurers.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SECTION 14. Secretary and Assistant Secretaries.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1" w:name="page502"/>
    <w:bookmarkEnd w:id="50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SECTION 15. Other Powers and Duties.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 Certificates of Stock.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w:t>
      </w:r>
      <w:r>
        <w:rPr>
          <w:rFonts w:ascii="Times New Roman" w:cs="Times New Roman" w:eastAsia="Times New Roman" w:hAnsi="Times New Roman"/>
          <w:sz w:val="18"/>
          <w:szCs w:val="18"/>
          <w:b w:val="1"/>
          <w:bCs w:val="1"/>
          <w:color w:val="auto"/>
        </w:rPr>
        <w:t>Notwithstanding anything to</w:t>
      </w:r>
      <w:r>
        <w:rPr>
          <w:rFonts w:ascii="Times New Roman" w:cs="Times New Roman" w:eastAsia="Times New Roman" w:hAnsi="Times New Roman"/>
          <w:sz w:val="18"/>
          <w:szCs w:val="18"/>
          <w:color w:val="auto"/>
        </w:rPr>
        <w:t xml:space="preserve">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SECTION 2. Transfers.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2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3. Record Holders.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SECTION 4. Record Date.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2" w:name="page503"/>
    <w:bookmarkEnd w:id="50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SECTION 5. Replacement of Certificates. In case of the alleged loss, destruction or mutilation of a certificate of stock of the Corporation, a duplicate certificate may be issued in place thereof, upon such terms as the Board of Directors may prescribe.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62"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w:t>
        <w:tab/>
        <w:t>Definitions. For purposes of this Article:</w:t>
      </w:r>
    </w:p>
    <w:p>
      <w:pPr>
        <w:spacing w:after="0" w:line="144" w:lineRule="exact"/>
        <w:rPr>
          <w:sz w:val="20"/>
          <w:szCs w:val="20"/>
          <w:color w:val="auto"/>
        </w:rPr>
      </w:pPr>
    </w:p>
    <w:p>
      <w:pPr>
        <w:jc w:val="both"/>
        <w:ind w:left="460" w:right="459" w:firstLine="426"/>
        <w:spacing w:after="0" w:line="261" w:lineRule="auto"/>
        <w:tabs>
          <w:tab w:leader="none" w:pos="1344" w:val="left"/>
        </w:tabs>
        <w:numPr>
          <w:ilvl w:val="1"/>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describes the status of a person who is serving or has served (i) as a Director of the Corporation, (ii) as an Officer of the Corporation, (iii) as a Non-Officer Employee of the Corporation, or</w:t>
      </w:r>
    </w:p>
    <w:p>
      <w:pPr>
        <w:jc w:val="both"/>
        <w:ind w:left="460" w:right="459" w:hanging="6"/>
        <w:spacing w:after="0" w:line="251" w:lineRule="auto"/>
        <w:tabs>
          <w:tab w:leader="none" w:pos="797"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25"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282"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 including, for the avoidance of doubt, any person who has served as a director of FS Development Corp., a Delaware corporation;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753"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363"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reasonable, documented and out-of-pocket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2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519"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97"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80"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457"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 including, for the avoidance of doubt, any person who has served as an officer of FS Development Corp., a Delaware corporation;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295"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3" w:name="page504"/>
    <w:bookmarkEnd w:id="50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5" w:lineRule="auto"/>
        <w:tabs>
          <w:tab w:leader="none" w:pos="1327"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21"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color w:val="auto"/>
        </w:rPr>
        <w:t>Indemnification of Directors and Officers.</w:t>
      </w:r>
    </w:p>
    <w:p>
      <w:pPr>
        <w:spacing w:after="0" w:line="158" w:lineRule="exact"/>
        <w:rPr>
          <w:sz w:val="20"/>
          <w:szCs w:val="20"/>
          <w:color w:val="auto"/>
        </w:rPr>
      </w:pPr>
    </w:p>
    <w:p>
      <w:pPr>
        <w:jc w:val="both"/>
        <w:ind w:left="460" w:right="479" w:firstLine="426"/>
        <w:spacing w:after="0" w:line="258" w:lineRule="auto"/>
        <w:tabs>
          <w:tab w:leader="none" w:pos="1364"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880" w:right="459" w:firstLine="438"/>
        <w:spacing w:after="0" w:line="254" w:lineRule="auto"/>
        <w:tabs>
          <w:tab w:leader="none" w:pos="1837"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20" w:lineRule="exact"/>
        <w:rPr>
          <w:rFonts w:ascii="Times New Roman" w:cs="Times New Roman" w:eastAsia="Times New Roman" w:hAnsi="Times New Roman"/>
          <w:sz w:val="18"/>
          <w:szCs w:val="18"/>
          <w:color w:val="auto"/>
        </w:rPr>
      </w:pPr>
    </w:p>
    <w:p>
      <w:pPr>
        <w:jc w:val="both"/>
        <w:ind w:left="880" w:right="459" w:firstLine="438"/>
        <w:spacing w:after="0" w:line="253" w:lineRule="auto"/>
        <w:tabs>
          <w:tab w:leader="none" w:pos="1796"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xml:space="preserve">.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w:t>
      </w:r>
      <w:r>
        <w:rPr>
          <w:rFonts w:ascii="Times New Roman" w:cs="Times New Roman" w:eastAsia="Times New Roman" w:hAnsi="Times New Roman"/>
          <w:sz w:val="18"/>
          <w:szCs w:val="18"/>
          <w:u w:val="single" w:color="auto"/>
          <w:color w:val="auto"/>
        </w:rPr>
        <w:t>Section 2(a)(2)</w:t>
      </w:r>
      <w:r>
        <w:rPr>
          <w:rFonts w:ascii="Times New Roman" w:cs="Times New Roman" w:eastAsia="Times New Roman" w:hAnsi="Times New Roman"/>
          <w:sz w:val="18"/>
          <w:szCs w:val="18"/>
          <w:color w:val="auto"/>
        </w:rPr>
        <w:t xml:space="preserve">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19" w:lineRule="exact"/>
        <w:rPr>
          <w:rFonts w:ascii="Times New Roman" w:cs="Times New Roman" w:eastAsia="Times New Roman" w:hAnsi="Times New Roman"/>
          <w:sz w:val="18"/>
          <w:szCs w:val="18"/>
          <w:color w:val="auto"/>
        </w:rPr>
      </w:pPr>
    </w:p>
    <w:p>
      <w:pPr>
        <w:jc w:val="both"/>
        <w:ind w:left="880" w:right="479" w:firstLine="438"/>
        <w:spacing w:after="0" w:line="266" w:lineRule="auto"/>
        <w:tabs>
          <w:tab w:leader="none" w:pos="1729"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xml:space="preserve">. The rights of indemnification provided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continue as to a Director or Officer after he or she has ceased to be a Director or Officer and shall inure to the benefit of his or her heirs, executors, administrators and personal representatives.</w:t>
      </w:r>
    </w:p>
    <w:p>
      <w:pPr>
        <w:spacing w:after="0" w:line="94" w:lineRule="exact"/>
        <w:rPr>
          <w:rFonts w:ascii="Times New Roman" w:cs="Times New Roman" w:eastAsia="Times New Roman" w:hAnsi="Times New Roman"/>
          <w:sz w:val="18"/>
          <w:szCs w:val="18"/>
          <w:color w:val="auto"/>
        </w:rPr>
      </w:pPr>
    </w:p>
    <w:p>
      <w:pPr>
        <w:jc w:val="both"/>
        <w:ind w:left="880" w:right="479" w:firstLine="438"/>
        <w:spacing w:after="0" w:line="256" w:lineRule="auto"/>
        <w:tabs>
          <w:tab w:leader="none" w:pos="1864"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3. Indemnification of Non-Officer Employees. Subject to the operation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exist as to a Non-Officer Employee after he or she has ceased to</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4" w:name="page505"/>
    <w:bookmarkEnd w:id="50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SECTION 4. Determination. Unless ordered by a court, no indemnification shall be provided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27"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color w:val="auto"/>
        </w:rPr>
        <w:t>Advancement of Expenses to Directors Prior to Final Disposition.</w:t>
      </w:r>
    </w:p>
    <w:p>
      <w:pPr>
        <w:spacing w:after="0" w:line="144" w:lineRule="exact"/>
        <w:rPr>
          <w:sz w:val="20"/>
          <w:szCs w:val="20"/>
          <w:color w:val="auto"/>
        </w:rPr>
      </w:pPr>
    </w:p>
    <w:p>
      <w:pPr>
        <w:jc w:val="both"/>
        <w:ind w:left="460" w:right="459" w:firstLine="426"/>
        <w:spacing w:after="0" w:line="252" w:lineRule="auto"/>
        <w:tabs>
          <w:tab w:leader="none" w:pos="1347"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only if such Proceeding (including any parts of such Proceeding not initiated by such Director) was</w:t>
      </w:r>
    </w:p>
    <w:p>
      <w:pPr>
        <w:spacing w:after="0" w:line="9" w:lineRule="exact"/>
        <w:rPr>
          <w:sz w:val="20"/>
          <w:szCs w:val="20"/>
          <w:color w:val="auto"/>
        </w:rPr>
      </w:pPr>
    </w:p>
    <w:p>
      <w:pPr>
        <w:ind w:left="460" w:right="479" w:hanging="6"/>
        <w:spacing w:after="0" w:line="260" w:lineRule="auto"/>
        <w:tabs>
          <w:tab w:leader="none" w:pos="686"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by the Board of Directors, or (ii) brought to enforce such Director’s rights to indemnification or advancement of Expenses under these By-laws.</w:t>
      </w:r>
    </w:p>
    <w:p>
      <w:pPr>
        <w:spacing w:after="0" w:line="113"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451"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26"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26"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95"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6. Advancement of Expenses to Officers and Non-Officer Employees Prior to Final Disposition.</w:t>
      </w:r>
    </w:p>
    <w:p>
      <w:pPr>
        <w:spacing w:after="0" w:line="94" w:lineRule="exact"/>
        <w:rPr>
          <w:sz w:val="20"/>
          <w:szCs w:val="20"/>
          <w:color w:val="auto"/>
        </w:rPr>
      </w:pPr>
    </w:p>
    <w:p>
      <w:pPr>
        <w:jc w:val="both"/>
        <w:ind w:left="460" w:right="459" w:firstLine="426"/>
        <w:spacing w:after="0" w:line="254" w:lineRule="auto"/>
        <w:tabs>
          <w:tab w:leader="none" w:pos="1435"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20"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298"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5" w:name="page506"/>
    <w:bookmarkEnd w:id="50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w:t>
        <w:tab/>
        <w:t>Contractual Nature of Rights.</w:t>
      </w:r>
    </w:p>
    <w:p>
      <w:pPr>
        <w:spacing w:after="0" w:line="158" w:lineRule="exact"/>
        <w:rPr>
          <w:sz w:val="20"/>
          <w:szCs w:val="20"/>
          <w:color w:val="auto"/>
        </w:rPr>
      </w:pPr>
    </w:p>
    <w:p>
      <w:pPr>
        <w:jc w:val="both"/>
        <w:ind w:left="460" w:right="459" w:firstLine="426"/>
        <w:spacing w:after="0" w:line="252" w:lineRule="auto"/>
        <w:tabs>
          <w:tab w:leader="none" w:pos="133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deemed to be a contract between the Corporation and each Director and Officer entitled to the benefits hereof at any time while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is in effect, in consideration of such person’s past or current and any future performance of services for the Corporation. Neither amendment, repeal or modification of any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nor the adoption of any provision of the Certificate of Incorporation inconsistent with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eliminate or reduce any right conferred by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continue notwithstanding that the person has ceased to be a director or officer of the Corporation and shall inure to the benefit of the estate, heirs, executors, administrators, legatees and distributes of such person.</w:t>
      </w:r>
    </w:p>
    <w:p>
      <w:pPr>
        <w:spacing w:after="0" w:line="129"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342"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claim for indemnification (following final disposition of such Proceeding) or advancement of Expenses hereunder by a Director or Officer is not paid in full by the Corporation within sixty (60) days after receipt by the Corporation of a written claim for indemnification or advancement of Expenses, such Director or Officer may at any time thereafter bring suit against the Corporation to recover the unpaid amount of the claim, and if successful in whole or in part, pursuant to the terms of an undertaking, such Director or Officer shall also be entitled to be paid the expenses of prosecuting or defending such suit. The failure of the Corporation (including its Board of Directors or any committee thereof, independent legal counsel, or stockholders) to make a determination concerning the permissibility of such indemnification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or advancement of Expenses shall be on the Corporation.</w:t>
      </w:r>
    </w:p>
    <w:p>
      <w:pPr>
        <w:spacing w:after="0" w:line="110"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50"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SECTION 8. Non-Exclusivity of Rights. The rights to indemnification and to advancement of Expenses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SECTION 9. Insurance.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10. Other Indemnification. Subject to any other right which any Director, Officer or Non-Officer Employee may have or hereafter acquire under any statute, provision of the Certificate or these By-laws, agreement, vote of stockholders or Disinterested Directors or otherwise to the contrary, the Corporation’s obligation, if any, to indemnify or provide advancement of Expenses to any person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Indemnitor</w:t>
      </w:r>
      <w:r>
        <w:rPr>
          <w:rFonts w:ascii="Times New Roman" w:cs="Times New Roman" w:eastAsia="Times New Roman" w:hAnsi="Times New Roman"/>
          <w:sz w:val="18"/>
          <w:szCs w:val="18"/>
          <w:color w:val="auto"/>
        </w:rPr>
        <w:t xml:space="preserve">”). Subject to any other right which any Director, Officer or Non-Officer Employee may have or hereafter acquire under any statute, provision of the Certificate or these By-laws, agreement, vote of stockholders or Disinterested Directors or otherwise to the contrary, any indemnification or advancement of Expenses under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6" w:name="page507"/>
    <w:bookmarkEnd w:id="50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 Provisions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SECTION 1. Fiscal Year. The fiscal year of the Corporation shall be determined by the Board of Directors.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2. Seal. The Board of Directors shall have power to adopt and alter the seal of the Corporation.</w:t>
      </w:r>
    </w:p>
    <w:p>
      <w:pPr>
        <w:spacing w:after="0" w:line="35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SECTION 3. Execution of Instruments.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may authorize.</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4. Voting of Securities.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SECTION 5. Resident Agent. The Board of Directors may appoint a resident agent upon whom legal process may be served in any action or proceeding against the Corporation.</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SECTION 6. Corporate Records.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SECTION 7. Certificate. All references in these By-laws to the Certificate shall be deemed to refer to the Amended and Restated Certificate of Incorporation of the Corporation, as amended and/or restated and in effect from time to time.</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 xml:space="preserve">SECTION 8. Exclusive Jurisdiction. Unless the Corporation consents in writing to the selection of an alternative forum, the Court of Chancery of the State of Delaware shall be the sole and exclusive forum for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Certificate or By-laws, (iv) any action to interpret, apply, enforce or determine the validity of the Certificate or By-laws, or (v) any action asserting a claim against the Corporation governed by the internal affairs doctrine.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any claims arising under the Exchange Act or the Securities Act of 1933, as amended. In addition, unless the Corporation consents in writing to the selection of an alternative forum, the United States District Court for the District of Massachusetts shall be the sole and exclusive forum for resolving any action asserting a claim arising under the Securities Act.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88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color w:val="auto"/>
        </w:rPr>
        <w:t>Amendment of By-laws.</w:t>
      </w:r>
    </w:p>
    <w:p>
      <w:pPr>
        <w:spacing w:after="0" w:line="144" w:lineRule="exact"/>
        <w:rPr>
          <w:sz w:val="20"/>
          <w:szCs w:val="20"/>
          <w:color w:val="auto"/>
        </w:rPr>
      </w:pPr>
    </w:p>
    <w:p>
      <w:pPr>
        <w:jc w:val="both"/>
        <w:ind w:left="460" w:right="459" w:firstLine="426"/>
        <w:spacing w:after="0" w:line="266" w:lineRule="auto"/>
        <w:tabs>
          <w:tab w:leader="none" w:pos="133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any section or portion of these By-laws may be amended or repealed by the Board of Directors by the affirmative vote of a majority of the directors then in office.</w:t>
      </w:r>
    </w:p>
    <w:p>
      <w:pPr>
        <w:spacing w:after="0" w:line="108" w:lineRule="exact"/>
        <w:rPr>
          <w:rFonts w:ascii="Times New Roman" w:cs="Times New Roman" w:eastAsia="Times New Roman" w:hAnsi="Times New Roman"/>
          <w:sz w:val="18"/>
          <w:szCs w:val="18"/>
          <w:color w:val="auto"/>
        </w:rPr>
      </w:pPr>
    </w:p>
    <w:p>
      <w:pPr>
        <w:jc w:val="both"/>
        <w:ind w:left="460" w:right="479" w:firstLine="426"/>
        <w:spacing w:after="0" w:line="256" w:lineRule="auto"/>
        <w:tabs>
          <w:tab w:leader="none" w:pos="1322"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7" w:name="page508"/>
    <w:bookmarkEnd w:id="50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SECTION 10. Notices.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11. Waivers.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8" w:name="page509"/>
    <w:bookmarkEnd w:id="50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225" w:lineRule="exact"/>
        <w:rPr>
          <w:sz w:val="20"/>
          <w:szCs w:val="20"/>
          <w:color w:val="auto"/>
        </w:rPr>
      </w:pPr>
    </w:p>
    <w:p>
      <w:pPr>
        <w:ind w:left="460" w:right="2599" w:firstLine="2140"/>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2020 STOCK OPTION AND INCENTIVE PLAN </w:t>
      </w: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name of the plan is the Gemini Therapeutics, Inc. 2020 Stock Option and Incentive Plan (the “Plan”). The purpose of the Plan is to encourage and enable the officers, employees, Non-Employee Directors and Consultants of Gemini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15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158"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performing the functions of the compensation committee and which is comprised of not less than two Non Employee Directors who are independent.</w:t>
      </w:r>
    </w:p>
    <w:p>
      <w:pPr>
        <w:spacing w:after="0" w:line="9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0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Incentive Stock Options, Non-Qualified Stock Options, Stock Appreciation Rights, Restricted Stock Units, Restricted Stock Awards, Unrestricted Stock Awards, Cash-Based Awards, and Dividend Equivalent Rights.</w:t>
      </w:r>
    </w:p>
    <w:p>
      <w:pPr>
        <w:spacing w:after="0" w:line="112"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an Award granted under the Plan. Each Award Certificate is subject to the terms and conditions of the Plan.</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Merger Agreement, dated as of October 15, 2020, by and among the Company and the other parties thereto.</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any successor Code,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regulations and interpretations.</w:t>
      </w:r>
    </w:p>
    <w:p>
      <w:pPr>
        <w:spacing w:after="0" w:line="91"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as an independent contractor and who qualifies as a consultant or advisor under Instruction A.1.(a)(1) of Form S-8 under the Act.</w:t>
      </w:r>
    </w:p>
    <w:p>
      <w:pPr>
        <w:spacing w:after="0" w:line="106" w:lineRule="exact"/>
        <w:rPr>
          <w:sz w:val="20"/>
          <w:szCs w:val="20"/>
          <w:color w:val="auto"/>
        </w:rPr>
      </w:pPr>
    </w:p>
    <w:p>
      <w:pPr>
        <w:jc w:val="both"/>
        <w:ind w:left="460" w:right="47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that would have been paid on the shares of Stock specified in the Dividend Equivalent Right (or other award to which it relates) if such shares had been issued to and held by the grantee.</w:t>
      </w:r>
    </w:p>
    <w:p>
      <w:pPr>
        <w:spacing w:after="0" w:line="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19.</w:t>
      </w:r>
    </w:p>
    <w:p>
      <w:pPr>
        <w:spacing w:after="0" w:line="15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7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of the Stock on any given date means the fair market value of the Stock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09" w:name="page510"/>
    <w:bookmarkEnd w:id="50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market quotations. If there are no market quotations for such date, the determination shall be made by reference to the last date preceding such date for which there are market quotations.</w:t>
      </w:r>
    </w:p>
    <w:p>
      <w:pPr>
        <w:spacing w:after="0" w:line="92"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Section 422 of the Code.</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Subsidiary.</w:t>
      </w:r>
    </w:p>
    <w:p>
      <w:pPr>
        <w:spacing w:after="0" w:line="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of Stock granted pursuant to Section 5.</w:t>
      </w:r>
    </w:p>
    <w:p>
      <w:pPr>
        <w:spacing w:after="0" w:line="158"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of Stock underlying a Restricted Stock Award that remain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risk of forfeiture or the Company’s right of repurchase.</w:t>
      </w:r>
    </w:p>
    <w:p>
      <w:pPr>
        <w:spacing w:after="0" w:line="77"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Administrator may determine at the time of grant.</w:t>
      </w:r>
    </w:p>
    <w:p>
      <w:pPr>
        <w:spacing w:after="0" w:line="91"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stock units subject to such restrictions and conditions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determine at the time of grant.</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means (i) the sale of all or substantially all of the assets of the Company on a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04"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91"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w:t>
      </w:r>
    </w:p>
    <w:p>
      <w:pPr>
        <w:spacing w:after="0" w:line="91"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Relationship” </w:t>
      </w:r>
      <w:r>
        <w:rPr>
          <w:rFonts w:ascii="Times New Roman" w:cs="Times New Roman" w:eastAsia="Times New Roman" w:hAnsi="Times New Roman"/>
          <w:sz w:val="18"/>
          <w:szCs w:val="18"/>
          <w:color w:val="auto"/>
        </w:rPr>
        <w:t>means any relationship as an employee, director or Consultant of the Company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Affiliate (e.g., a Service Relationship shall be deemed to continue without interruption in the event an individual’s status changes from full-time employee to part-time employee or Consultant).</w:t>
      </w:r>
    </w:p>
    <w:p>
      <w:pPr>
        <w:spacing w:after="0" w:line="92"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w:t>
      </w:r>
      <w:r>
        <w:rPr>
          <w:rFonts w:ascii="Times New Roman" w:cs="Times New Roman" w:eastAsia="Times New Roman" w:hAnsi="Times New Roman"/>
          <w:sz w:val="18"/>
          <w:szCs w:val="18"/>
          <w:color w:val="auto"/>
        </w:rPr>
        <w:t>means the Common Stock, par value $0.001 per share, of the Company, subject to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3.</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of Stock (or cash,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16"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least a 50 percent interest, either directly or indirectly.</w:t>
      </w:r>
    </w:p>
    <w:p>
      <w:pPr>
        <w:spacing w:after="0" w:line="77"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of Section 424(d) of the Code) more than 10 percent of the combined voting power of all classes of stock of the Company or any parent or subsidiary corporation.</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of Stock free of any restrictions.</w:t>
      </w:r>
    </w:p>
    <w:p>
      <w:pPr>
        <w:spacing w:after="0" w:line="18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0" w:name="page511"/>
    <w:bookmarkEnd w:id="51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640" w:right="479" w:hanging="1187"/>
        <w:spacing w:after="0" w:line="282" w:lineRule="auto"/>
        <w:tabs>
          <w:tab w:leader="none" w:pos="16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94" w:lineRule="exact"/>
        <w:rPr>
          <w:sz w:val="20"/>
          <w:szCs w:val="20"/>
          <w:color w:val="auto"/>
        </w:rPr>
      </w:pPr>
    </w:p>
    <w:p>
      <w:pPr>
        <w:ind w:left="1260" w:hanging="374"/>
        <w:spacing w:after="0"/>
        <w:tabs>
          <w:tab w:leader="none" w:pos="126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157"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63"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80"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802"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2" w:lineRule="exact"/>
        <w:rPr>
          <w:rFonts w:ascii="Times New Roman" w:cs="Times New Roman" w:eastAsia="Times New Roman" w:hAnsi="Times New Roman"/>
          <w:sz w:val="18"/>
          <w:szCs w:val="18"/>
          <w:color w:val="auto"/>
        </w:rPr>
      </w:pPr>
    </w:p>
    <w:p>
      <w:pPr>
        <w:ind w:left="1760" w:hanging="442"/>
        <w:spacing w:after="0"/>
        <w:tabs>
          <w:tab w:leader="none" w:pos="176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21"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08"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157"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85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to extend at any time the period in which Stock Options may be exercised; and</w:t>
      </w:r>
    </w:p>
    <w:p>
      <w:pPr>
        <w:spacing w:after="0" w:line="80"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856"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1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94" w:lineRule="exact"/>
        <w:rPr>
          <w:sz w:val="20"/>
          <w:szCs w:val="20"/>
          <w:color w:val="auto"/>
        </w:rPr>
      </w:pPr>
    </w:p>
    <w:p>
      <w:pPr>
        <w:jc w:val="both"/>
        <w:ind w:left="460" w:right="459" w:firstLine="426"/>
        <w:spacing w:after="0" w:line="253" w:lineRule="auto"/>
        <w:tabs>
          <w:tab w:leader="none" w:pos="142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13" w:lineRule="exact"/>
        <w:rPr>
          <w:rFonts w:ascii="Times New Roman" w:cs="Times New Roman" w:eastAsia="Times New Roman" w:hAnsi="Times New Roman"/>
          <w:sz w:val="18"/>
          <w:szCs w:val="18"/>
          <w:color w:val="auto"/>
        </w:rPr>
      </w:pPr>
    </w:p>
    <w:p>
      <w:pPr>
        <w:jc w:val="both"/>
        <w:ind w:left="460" w:right="479" w:firstLine="426"/>
        <w:spacing w:after="0" w:line="266" w:lineRule="auto"/>
        <w:tabs>
          <w:tab w:leader="none" w:pos="129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4" w:lineRule="auto"/>
        <w:tabs>
          <w:tab w:leader="none" w:pos="128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24" w:lineRule="exact"/>
        <w:rPr>
          <w:rFonts w:ascii="Times New Roman" w:cs="Times New Roman" w:eastAsia="Times New Roman" w:hAnsi="Times New Roman"/>
          <w:sz w:val="18"/>
          <w:szCs w:val="18"/>
          <w:color w:val="auto"/>
        </w:rPr>
      </w:pPr>
    </w:p>
    <w:p>
      <w:pPr>
        <w:jc w:val="both"/>
        <w:ind w:left="460" w:right="479" w:firstLine="426"/>
        <w:spacing w:after="0" w:line="261" w:lineRule="auto"/>
        <w:tabs>
          <w:tab w:leader="none" w:pos="1319"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1" w:name="page512"/>
    <w:bookmarkEnd w:id="51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STOCK ISSUABLE UNDER THE PLAN; MERGERS; SUBSTITUTION</w:t>
      </w:r>
    </w:p>
    <w:p>
      <w:pPr>
        <w:spacing w:after="0" w:line="158" w:lineRule="exact"/>
        <w:rPr>
          <w:sz w:val="20"/>
          <w:szCs w:val="20"/>
          <w:color w:val="auto"/>
        </w:rPr>
      </w:pPr>
    </w:p>
    <w:p>
      <w:pPr>
        <w:jc w:val="both"/>
        <w:ind w:left="460" w:right="459" w:firstLine="426"/>
        <w:spacing w:after="0" w:line="250" w:lineRule="auto"/>
        <w:tabs>
          <w:tab w:leader="none" w:pos="1298"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_____</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8"/>
          <w:szCs w:val="18"/>
          <w:color w:val="auto"/>
        </w:rPr>
        <w:t xml:space="preserve"> shares (the “Initial Limit”), subject to adjustment as provided in this Section 3, plus on January 1, 2022 and each January 1 thereafter, the number of shares of Stock reserved and available for issuance under the Plan shall be cumulatively increased by (i) four (4%)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subject to adjustment as provided in Section 3(b). For purposes of this limitation,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18"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525"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Stock</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w:t>
      </w:r>
    </w:p>
    <w:p>
      <w:pPr>
        <w:spacing w:after="0" w:line="5" w:lineRule="exact"/>
        <w:rPr>
          <w:rFonts w:ascii="Times New Roman" w:cs="Times New Roman" w:eastAsia="Times New Roman" w:hAnsi="Times New Roman"/>
          <w:sz w:val="18"/>
          <w:szCs w:val="18"/>
          <w:color w:val="auto"/>
        </w:rPr>
      </w:pPr>
    </w:p>
    <w:p>
      <w:pPr>
        <w:ind w:left="740" w:hanging="286"/>
        <w:spacing w:after="0"/>
        <w:tabs>
          <w:tab w:leader="none" w:pos="74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or other securities subject to any then outstanding Awards under the Plan,</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0" w:lineRule="auto"/>
        <w:tabs>
          <w:tab w:leader="none" w:pos="80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3"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____________</w:t>
      </w:r>
    </w:p>
    <w:p>
      <w:pPr>
        <w:spacing w:after="0" w:line="99" w:lineRule="exact"/>
        <w:rPr>
          <w:sz w:val="20"/>
          <w:szCs w:val="20"/>
          <w:color w:val="auto"/>
        </w:rPr>
      </w:pPr>
    </w:p>
    <w:p>
      <w:pPr>
        <w:jc w:val="both"/>
        <w:ind w:left="880" w:right="459" w:hanging="426"/>
        <w:spacing w:after="0" w:line="257" w:lineRule="auto"/>
        <w:tabs>
          <w:tab w:leader="none" w:pos="1015" w:val="left"/>
        </w:tabs>
        <w:numPr>
          <w:ilvl w:val="0"/>
          <w:numId w:val="48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 xml:space="preserve">Size of initial share reserve to represent 9% of the fully-diluted pool </w:t>
      </w:r>
      <w:r>
        <w:rPr>
          <w:rFonts w:ascii="Times New Roman" w:cs="Times New Roman" w:eastAsia="Times New Roman" w:hAnsi="Times New Roman"/>
          <w:sz w:val="16"/>
          <w:szCs w:val="16"/>
          <w:u w:val="single" w:color="auto"/>
          <w:color w:val="auto"/>
        </w:rPr>
        <w:t>less</w:t>
      </w:r>
      <w:r>
        <w:rPr>
          <w:rFonts w:ascii="Times New Roman" w:cs="Times New Roman" w:eastAsia="Times New Roman" w:hAnsi="Times New Roman"/>
          <w:sz w:val="16"/>
          <w:szCs w:val="16"/>
          <w:color w:val="auto"/>
        </w:rPr>
        <w:t xml:space="preserve"> the number of shares subject to rollover under the Company’s 2015 Employee, Director and Consultant Stock Option Plan and the Company’s 2017 Stock Option and Grant Plan.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2" w:name="page513"/>
    <w:bookmarkEnd w:id="51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1" w:lineRule="auto"/>
        <w:tabs>
          <w:tab w:leader="none" w:pos="1271"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37" w:lineRule="exact"/>
        <w:rPr>
          <w:rFonts w:ascii="Times New Roman" w:cs="Times New Roman" w:eastAsia="Times New Roman" w:hAnsi="Times New Roman"/>
          <w:sz w:val="18"/>
          <w:szCs w:val="18"/>
          <w:color w:val="auto"/>
        </w:rPr>
      </w:pPr>
    </w:p>
    <w:p>
      <w:pPr>
        <w:jc w:val="both"/>
        <w:ind w:left="460" w:right="459" w:firstLine="426"/>
        <w:spacing w:after="0" w:line="273" w:lineRule="auto"/>
        <w:tabs>
          <w:tab w:leader="none" w:pos="1363" w:val="left"/>
        </w:tabs>
        <w:numPr>
          <w:ilvl w:val="0"/>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Awards to Non-Employee Directors</w:t>
      </w:r>
      <w:r>
        <w:rPr>
          <w:rFonts w:ascii="Times New Roman" w:cs="Times New Roman" w:eastAsia="Times New Roman" w:hAnsi="Times New Roman"/>
          <w:sz w:val="17"/>
          <w:szCs w:val="17"/>
          <w:color w:val="auto"/>
        </w:rPr>
        <w:t>. Notwithstanding anything to the contrary in this Plan, the value of all Awards awarded under this Plan and all other cash compensation paid by the Company to any Non-Employee Director in any calendar year for service as a Non-Employee Director shall not exceed $_____, provided, however that such amount shall be $_____ for the calendar year in which the applicable Non-Employee Director is initially elected or appointed to the Board. For the purpose of this limitation, the value of any Award shall be its grant date fair value, as determined in accordance with FASB ASC 718 or successor provision but excluding the impact of estimated forfeitures related to service-based vesting provisions.</w:t>
      </w:r>
    </w:p>
    <w:p>
      <w:pPr>
        <w:spacing w:after="0" w:line="10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8"/>
          <w:szCs w:val="18"/>
          <w:u w:val="single" w:color="auto"/>
          <w:color w:val="auto"/>
        </w:rPr>
        <w:t>ELIGIBILITY</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and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121"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STOCK OPTIONS</w:t>
      </w:r>
    </w:p>
    <w:p>
      <w:pPr>
        <w:spacing w:after="0" w:line="158" w:lineRule="exact"/>
        <w:rPr>
          <w:sz w:val="20"/>
          <w:szCs w:val="20"/>
          <w:color w:val="auto"/>
        </w:rPr>
      </w:pPr>
    </w:p>
    <w:p>
      <w:pPr>
        <w:ind w:left="460" w:right="479" w:firstLine="426"/>
        <w:spacing w:after="0" w:line="282" w:lineRule="auto"/>
        <w:tabs>
          <w:tab w:leader="none" w:pos="1339"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8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16" w:lineRule="exact"/>
        <w:rPr>
          <w:sz w:val="20"/>
          <w:szCs w:val="20"/>
          <w:color w:val="auto"/>
        </w:rPr>
      </w:pPr>
    </w:p>
    <w:p>
      <w:pPr>
        <w:jc w:val="both"/>
        <w:ind w:left="460" w:right="479" w:firstLine="426"/>
        <w:spacing w:after="0" w:line="261" w:lineRule="auto"/>
        <w:tabs>
          <w:tab w:leader="none" w:pos="1403"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3" w:name="page514"/>
    <w:bookmarkEnd w:id="51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16" w:lineRule="exact"/>
        <w:rPr>
          <w:sz w:val="20"/>
          <w:szCs w:val="20"/>
          <w:color w:val="auto"/>
        </w:rPr>
      </w:pPr>
    </w:p>
    <w:p>
      <w:pPr>
        <w:jc w:val="both"/>
        <w:ind w:left="460" w:right="459" w:firstLine="426"/>
        <w:spacing w:after="0" w:line="261" w:lineRule="auto"/>
        <w:tabs>
          <w:tab w:leader="none" w:pos="136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7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02"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79"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12" w:lineRule="exact"/>
        <w:rPr>
          <w:rFonts w:ascii="Times New Roman" w:cs="Times New Roman" w:eastAsia="Times New Roman" w:hAnsi="Times New Roman"/>
          <w:sz w:val="18"/>
          <w:szCs w:val="18"/>
          <w:color w:val="auto"/>
        </w:rPr>
      </w:pPr>
    </w:p>
    <w:p>
      <w:pPr>
        <w:ind w:left="1660" w:hanging="342"/>
        <w:spacing w:after="0"/>
        <w:tabs>
          <w:tab w:leader="none" w:pos="1660"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157"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76"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796"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880"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12" w:lineRule="exact"/>
        <w:rPr>
          <w:sz w:val="20"/>
          <w:szCs w:val="20"/>
          <w:color w:val="auto"/>
        </w:rPr>
      </w:pPr>
    </w:p>
    <w:p>
      <w:pPr>
        <w:ind w:left="460" w:right="479"/>
        <w:spacing w:after="0" w:line="253"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09" w:lineRule="exact"/>
        <w:rPr>
          <w:sz w:val="20"/>
          <w:szCs w:val="20"/>
          <w:color w:val="auto"/>
        </w:rPr>
      </w:pPr>
    </w:p>
    <w:p>
      <w:pPr>
        <w:jc w:val="both"/>
        <w:ind w:left="460" w:right="479" w:firstLine="426"/>
        <w:spacing w:after="0" w:line="256" w:lineRule="auto"/>
        <w:tabs>
          <w:tab w:leader="none" w:pos="1387"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4" w:name="page515"/>
    <w:bookmarkEnd w:id="51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STOCK APPRECIATION RIGHTS</w:t>
      </w:r>
    </w:p>
    <w:p>
      <w:pPr>
        <w:spacing w:after="0" w:line="158" w:lineRule="exact"/>
        <w:rPr>
          <w:sz w:val="20"/>
          <w:szCs w:val="20"/>
          <w:color w:val="auto"/>
        </w:rPr>
      </w:pPr>
    </w:p>
    <w:p>
      <w:pPr>
        <w:jc w:val="both"/>
        <w:ind w:left="460" w:right="459" w:firstLine="426"/>
        <w:spacing w:after="0" w:line="256" w:lineRule="auto"/>
        <w:tabs>
          <w:tab w:leader="none" w:pos="128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9"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29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80"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85"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22"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12"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RESTRICTED STOCK AWARDS</w:t>
      </w:r>
    </w:p>
    <w:p>
      <w:pPr>
        <w:spacing w:after="0" w:line="144" w:lineRule="exact"/>
        <w:rPr>
          <w:sz w:val="20"/>
          <w:szCs w:val="20"/>
          <w:color w:val="auto"/>
        </w:rPr>
      </w:pPr>
    </w:p>
    <w:p>
      <w:pPr>
        <w:jc w:val="both"/>
        <w:ind w:left="460" w:right="459" w:firstLine="426"/>
        <w:spacing w:after="0" w:line="261" w:lineRule="auto"/>
        <w:tabs>
          <w:tab w:leader="none" w:pos="1271"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12" w:lineRule="exact"/>
        <w:rPr>
          <w:rFonts w:ascii="Times New Roman" w:cs="Times New Roman" w:eastAsia="Times New Roman" w:hAnsi="Times New Roman"/>
          <w:sz w:val="18"/>
          <w:szCs w:val="18"/>
          <w:color w:val="auto"/>
        </w:rPr>
      </w:pPr>
    </w:p>
    <w:p>
      <w:pPr>
        <w:jc w:val="both"/>
        <w:ind w:left="460" w:right="459" w:firstLine="426"/>
        <w:spacing w:after="0" w:line="268" w:lineRule="auto"/>
        <w:tabs>
          <w:tab w:leader="none" w:pos="1430" w:val="left"/>
        </w:tabs>
        <w:numPr>
          <w:ilvl w:val="1"/>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w:t>
      </w:r>
    </w:p>
    <w:p>
      <w:pPr>
        <w:spacing w:after="0" w:line="4" w:lineRule="exact"/>
        <w:rPr>
          <w:rFonts w:ascii="Times New Roman" w:cs="Times New Roman" w:eastAsia="Times New Roman" w:hAnsi="Times New Roman"/>
          <w:sz w:val="17"/>
          <w:szCs w:val="17"/>
          <w:color w:val="auto"/>
        </w:rPr>
      </w:pPr>
    </w:p>
    <w:p>
      <w:pPr>
        <w:jc w:val="both"/>
        <w:ind w:left="460" w:right="459" w:hanging="6"/>
        <w:spacing w:after="0" w:line="252" w:lineRule="auto"/>
        <w:tabs>
          <w:tab w:leader="none" w:pos="691"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22"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460"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22"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5" w:name="page516"/>
    <w:bookmarkEnd w:id="51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RESTRICTED STOCK UNITS</w:t>
      </w:r>
    </w:p>
    <w:p>
      <w:pPr>
        <w:spacing w:after="0" w:line="158" w:lineRule="exact"/>
        <w:rPr>
          <w:sz w:val="20"/>
          <w:szCs w:val="20"/>
          <w:color w:val="auto"/>
        </w:rPr>
      </w:pPr>
    </w:p>
    <w:p>
      <w:pPr>
        <w:jc w:val="both"/>
        <w:ind w:left="460" w:right="459" w:firstLine="426"/>
        <w:spacing w:after="0" w:line="253" w:lineRule="auto"/>
        <w:tabs>
          <w:tab w:leader="none" w:pos="1352"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24" w:lineRule="exact"/>
        <w:rPr>
          <w:rFonts w:ascii="Times New Roman" w:cs="Times New Roman" w:eastAsia="Times New Roman" w:hAnsi="Times New Roman"/>
          <w:sz w:val="18"/>
          <w:szCs w:val="18"/>
          <w:color w:val="auto"/>
        </w:rPr>
      </w:pPr>
    </w:p>
    <w:p>
      <w:pPr>
        <w:jc w:val="both"/>
        <w:ind w:left="460" w:right="459" w:firstLine="426"/>
        <w:spacing w:after="0" w:line="253" w:lineRule="auto"/>
        <w:tabs>
          <w:tab w:leader="none" w:pos="1309"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298"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15"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43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UNRESTRICTED STOCK AWARDS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CASH-BASED AWARDS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DIVIDEND EQUIVALENT RIGHTS</w:t>
      </w:r>
    </w:p>
    <w:p>
      <w:pPr>
        <w:spacing w:after="0" w:line="158" w:lineRule="exact"/>
        <w:rPr>
          <w:sz w:val="20"/>
          <w:szCs w:val="20"/>
          <w:color w:val="auto"/>
        </w:rPr>
      </w:pPr>
    </w:p>
    <w:p>
      <w:pPr>
        <w:jc w:val="both"/>
        <w:ind w:left="460" w:right="459" w:firstLine="426"/>
        <w:spacing w:after="0" w:line="258" w:lineRule="auto"/>
        <w:tabs>
          <w:tab w:leader="none" w:pos="1352"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6" w:name="page517"/>
    <w:bookmarkEnd w:id="51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24" w:lineRule="exact"/>
        <w:rPr>
          <w:sz w:val="20"/>
          <w:szCs w:val="20"/>
          <w:color w:val="auto"/>
        </w:rPr>
      </w:pPr>
    </w:p>
    <w:p>
      <w:pPr>
        <w:jc w:val="both"/>
        <w:ind w:left="460" w:right="459" w:firstLine="426"/>
        <w:spacing w:after="0" w:line="261" w:lineRule="auto"/>
        <w:tabs>
          <w:tab w:leader="none" w:pos="143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TRANSFERABILITY OF AWARDS</w:t>
      </w:r>
    </w:p>
    <w:p>
      <w:pPr>
        <w:spacing w:after="0" w:line="144" w:lineRule="exact"/>
        <w:rPr>
          <w:sz w:val="20"/>
          <w:szCs w:val="20"/>
          <w:color w:val="auto"/>
        </w:rPr>
      </w:pPr>
    </w:p>
    <w:p>
      <w:pPr>
        <w:jc w:val="both"/>
        <w:ind w:left="460" w:right="459" w:firstLine="426"/>
        <w:spacing w:after="0" w:line="256" w:lineRule="auto"/>
        <w:tabs>
          <w:tab w:leader="none" w:pos="1339"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9"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41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21" w:lineRule="exact"/>
        <w:rPr>
          <w:rFonts w:ascii="Times New Roman" w:cs="Times New Roman" w:eastAsia="Times New Roman" w:hAnsi="Times New Roman"/>
          <w:sz w:val="18"/>
          <w:szCs w:val="18"/>
          <w:color w:val="auto"/>
        </w:rPr>
      </w:pPr>
    </w:p>
    <w:p>
      <w:pPr>
        <w:jc w:val="both"/>
        <w:ind w:left="460" w:right="459" w:firstLine="426"/>
        <w:spacing w:after="0" w:line="255" w:lineRule="auto"/>
        <w:tabs>
          <w:tab w:leader="none" w:pos="1366"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07"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376"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TAX WITHHOLDING</w:t>
      </w:r>
    </w:p>
    <w:p>
      <w:pPr>
        <w:spacing w:after="0" w:line="158" w:lineRule="exact"/>
        <w:rPr>
          <w:sz w:val="20"/>
          <w:szCs w:val="20"/>
          <w:color w:val="auto"/>
        </w:rPr>
      </w:pPr>
    </w:p>
    <w:p>
      <w:pPr>
        <w:jc w:val="both"/>
        <w:ind w:left="460" w:right="459" w:firstLine="426"/>
        <w:spacing w:after="0" w:line="254" w:lineRule="auto"/>
        <w:tabs>
          <w:tab w:leader="none" w:pos="1285"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7" w:name="page518"/>
    <w:bookmarkEnd w:id="51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426"/>
        <w:spacing w:after="0" w:line="253" w:lineRule="auto"/>
        <w:tabs>
          <w:tab w:leader="none" w:pos="1322"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SECTION 409A AWARDS</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158" w:lineRule="exact"/>
        <w:rPr>
          <w:sz w:val="20"/>
          <w:szCs w:val="20"/>
          <w:color w:val="auto"/>
        </w:rPr>
      </w:pPr>
    </w:p>
    <w:p>
      <w:pPr>
        <w:jc w:val="both"/>
        <w:ind w:left="460" w:right="459" w:firstLine="426"/>
        <w:spacing w:after="0" w:line="266" w:lineRule="auto"/>
        <w:tabs>
          <w:tab w:leader="none" w:pos="1325"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08"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95"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80"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44"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 another; or</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862"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AMENDMENTS AND TERMINATION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8" w:name="page519"/>
    <w:bookmarkEnd w:id="51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STATUS OF PLAN</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GENERAL PROVISIONS</w:t>
      </w:r>
    </w:p>
    <w:p>
      <w:pPr>
        <w:spacing w:after="0" w:line="144" w:lineRule="exact"/>
        <w:rPr>
          <w:sz w:val="20"/>
          <w:szCs w:val="20"/>
          <w:color w:val="auto"/>
        </w:rPr>
      </w:pPr>
    </w:p>
    <w:p>
      <w:pPr>
        <w:jc w:val="both"/>
        <w:ind w:left="460" w:right="479" w:firstLine="426"/>
        <w:spacing w:after="0" w:line="266" w:lineRule="auto"/>
        <w:tabs>
          <w:tab w:leader="none" w:pos="1298"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08" w:lineRule="exact"/>
        <w:rPr>
          <w:rFonts w:ascii="Times New Roman" w:cs="Times New Roman" w:eastAsia="Times New Roman" w:hAnsi="Times New Roman"/>
          <w:sz w:val="18"/>
          <w:szCs w:val="18"/>
          <w:color w:val="auto"/>
        </w:rPr>
      </w:pPr>
    </w:p>
    <w:p>
      <w:pPr>
        <w:jc w:val="both"/>
        <w:ind w:left="460" w:right="459" w:firstLine="426"/>
        <w:spacing w:after="0" w:line="251" w:lineRule="auto"/>
        <w:tabs>
          <w:tab w:leader="none" w:pos="1336"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38" w:lineRule="exact"/>
        <w:rPr>
          <w:rFonts w:ascii="Times New Roman" w:cs="Times New Roman" w:eastAsia="Times New Roman" w:hAnsi="Times New Roman"/>
          <w:sz w:val="18"/>
          <w:szCs w:val="18"/>
          <w:color w:val="auto"/>
        </w:rPr>
      </w:pPr>
    </w:p>
    <w:p>
      <w:pPr>
        <w:jc w:val="both"/>
        <w:ind w:left="460" w:right="459" w:firstLine="426"/>
        <w:spacing w:after="0" w:line="261" w:lineRule="auto"/>
        <w:tabs>
          <w:tab w:leader="none" w:pos="1325"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98" w:lineRule="exact"/>
        <w:rPr>
          <w:rFonts w:ascii="Times New Roman" w:cs="Times New Roman" w:eastAsia="Times New Roman" w:hAnsi="Times New Roman"/>
          <w:sz w:val="18"/>
          <w:szCs w:val="18"/>
          <w:color w:val="auto"/>
        </w:rPr>
      </w:pPr>
    </w:p>
    <w:p>
      <w:pPr>
        <w:jc w:val="both"/>
        <w:ind w:left="460" w:right="459" w:firstLine="426"/>
        <w:spacing w:after="0" w:line="258" w:lineRule="auto"/>
        <w:tabs>
          <w:tab w:leader="none" w:pos="1336"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15"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271"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94" w:lineRule="exact"/>
        <w:rPr>
          <w:rFonts w:ascii="Times New Roman" w:cs="Times New Roman" w:eastAsia="Times New Roman" w:hAnsi="Times New Roman"/>
          <w:sz w:val="18"/>
          <w:szCs w:val="18"/>
          <w:color w:val="auto"/>
        </w:rPr>
      </w:pPr>
    </w:p>
    <w:p>
      <w:pPr>
        <w:ind w:left="460" w:right="479" w:firstLine="426"/>
        <w:spacing w:after="0" w:line="282" w:lineRule="auto"/>
        <w:tabs>
          <w:tab w:leader="none" w:pos="1306"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19" w:name="page520"/>
    <w:bookmarkEnd w:id="51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EFFECTIVE DATE OF PLAN</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Plan shall become effective upon the date immediately preceding the Closing Date, subject to prior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GOVERNING LAW</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BOARD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APPROVED BY STOCKHOLDERS: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0" w:name="page521"/>
    <w:bookmarkEnd w:id="52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600 Montgomery Street, Suite 4500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between FS Development Corp., a Delaware corporation (“</w:t>
      </w:r>
      <w:r>
        <w:rPr>
          <w:rFonts w:ascii="Times New Roman" w:cs="Times New Roman" w:eastAsia="Times New Roman" w:hAnsi="Times New Roman"/>
          <w:sz w:val="18"/>
          <w:szCs w:val="18"/>
          <w:u w:val="single" w:color="auto"/>
          <w:color w:val="auto"/>
        </w:rPr>
        <w:t>FSD</w:t>
      </w:r>
      <w:r>
        <w:rPr>
          <w:rFonts w:ascii="Times New Roman" w:cs="Times New Roman" w:eastAsia="Times New Roman" w:hAnsi="Times New Roman"/>
          <w:sz w:val="18"/>
          <w:szCs w:val="18"/>
          <w:color w:val="auto"/>
        </w:rPr>
        <w:t>”), and Gemini Therapeutics, Inc., a Delaware corporation (“</w:t>
      </w:r>
      <w:r>
        <w:rPr>
          <w:rFonts w:ascii="Times New Roman" w:cs="Times New Roman" w:eastAsia="Times New Roman" w:hAnsi="Times New Roman"/>
          <w:sz w:val="18"/>
          <w:szCs w:val="18"/>
          <w:u w:val="single" w:color="auto"/>
          <w:color w:val="auto"/>
        </w:rPr>
        <w:t>Target</w:t>
      </w:r>
      <w:r>
        <w:rPr>
          <w:rFonts w:ascii="Times New Roman" w:cs="Times New Roman" w:eastAsia="Times New Roman" w:hAnsi="Times New Roman"/>
          <w:sz w:val="18"/>
          <w:szCs w:val="18"/>
          <w:color w:val="auto"/>
        </w:rPr>
        <w:t>”), pursuant to a merger agreement to be entered into among FSD, Target, and the other parties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FSD is seeking commitments from interested investors to purchase shares of Class A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FSD, for a purchase price of $10.00 per share (the “</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The aggregate purchase price to be paid by the undersigned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for the subscribed Shares (as set forth on the signature page hereto) is referred to herein as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On or about the date of this Subscription Agreement, FSD is entering into subscription agreements (the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and together with this Subscription Agreement,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Investors</w:t>
      </w:r>
      <w:r>
        <w:rPr>
          <w:rFonts w:ascii="Times New Roman" w:cs="Times New Roman" w:eastAsia="Times New Roman" w:hAnsi="Times New Roman"/>
          <w:sz w:val="18"/>
          <w:szCs w:val="18"/>
          <w:color w:val="auto"/>
        </w:rPr>
        <w:t>” and together with the Investor,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severally and not jointly, pursuant to which the Investors, severally and not jointly, have agreed to purchase on the closing date of the Transaction, inclusive of the Shares subscribed for by the Investor, an aggregate amount of up to 9,500,000 Shares, at a per share price equal to the Per Share Purchase Price.</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In connection therewith, and in consideration of the foregoing and the mutual representations, warranties and covenants, and subject to the conditions, set forth herein, and intending to be legally bound hereby, the Investor and FSD agree as follows:</w:t>
      </w:r>
    </w:p>
    <w:p>
      <w:pPr>
        <w:spacing w:after="0" w:line="108" w:lineRule="exact"/>
        <w:rPr>
          <w:sz w:val="20"/>
          <w:szCs w:val="20"/>
          <w:color w:val="auto"/>
        </w:rPr>
      </w:pPr>
    </w:p>
    <w:p>
      <w:pPr>
        <w:jc w:val="both"/>
        <w:ind w:left="460" w:right="459" w:firstLine="426"/>
        <w:spacing w:after="0" w:line="266" w:lineRule="auto"/>
        <w:tabs>
          <w:tab w:leader="none" w:pos="122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The Investor hereby subscribes for and agrees to purchase from FSD at the Closing (as defined herein) the number of Shares set forth on the signature page of this Subscription Agreement on the terms and subject to the conditions provided for herein.</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207"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sale of the Shares contemplated hereby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is contingent upon the substantially concurrent consummation of the Transaction. The Closing shall occur on the date of, and substantially concurrently with and conditioned upon the effectiveness of the Transaction and immediately after the Merger (as defined in the Transaction Agreement). Upon (i) satisfaction or waiver of the conditions set forth in this Section 2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and (ii) delivery of written notice from (or on behalf of) FSD to the Investor (the “</w:t>
      </w:r>
      <w:r>
        <w:rPr>
          <w:rFonts w:ascii="Times New Roman" w:cs="Times New Roman" w:eastAsia="Times New Roman" w:hAnsi="Times New Roman"/>
          <w:sz w:val="18"/>
          <w:szCs w:val="18"/>
          <w:u w:val="single" w:color="auto"/>
          <w:color w:val="auto"/>
        </w:rPr>
        <w:t>Closing Notice</w:t>
      </w:r>
      <w:r>
        <w:rPr>
          <w:rFonts w:ascii="Times New Roman" w:cs="Times New Roman" w:eastAsia="Times New Roman" w:hAnsi="Times New Roman"/>
          <w:sz w:val="18"/>
          <w:szCs w:val="18"/>
          <w:color w:val="auto"/>
        </w:rPr>
        <w:t>”) that FSD reasonably expects all conditions to the closing of the Transaction to be satisfied or waived on a date that is not less than five (5) business days from the date on which the Closing Notice is delivered to the undersigned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Investor shall deliver to FSD on the Closing Date the Subscription Amount by wire transfer of United States dollars in immediately available funds to the account(s) specified by FSD in the Closing Notice (which account shall not be an escrow account) against delivery by FSD to the Investor on the Closing Date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FSD’s transfer agent evidencing the issuance to the Investor of such Shares on and as of the Closing Date. If the closing of the Transaction does not occur within two (2) Business Days after the Closing Date, FSD shall promptly (but not later than two (2) Business Days after the Closing Date) return the funds so delivered by the Investor to FSD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1" w:name="page522"/>
    <w:bookmarkEnd w:id="52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1200" w:hanging="314"/>
        <w:spacing w:after="0"/>
        <w:tabs>
          <w:tab w:leader="none" w:pos="120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31"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parties hereto to consummate the purchase and sale of the Shares pursuant to this Subscription Agreement is subject to the following conditions:</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61" w:lineRule="auto"/>
        <w:tabs>
          <w:tab w:leader="none" w:pos="2147" w:val="left"/>
        </w:tabs>
        <w:numPr>
          <w:ilvl w:val="2"/>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w:t>
      </w:r>
    </w:p>
    <w:p>
      <w:pPr>
        <w:spacing w:after="0" w:line="98"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172" w:val="left"/>
        </w:tabs>
        <w:numPr>
          <w:ilvl w:val="2"/>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Shares for the offering or sale or trading on the Nasdaq Capital Market, or, to FSD’s knowledge, initiation or threatening of any proceedings for any of such purposes, shall have occurred prior to the Closing;</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57" w:val="left"/>
        </w:tabs>
        <w:numPr>
          <w:ilvl w:val="2"/>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to the closing of the Transaction shall have been satisfied (as determined by the parties to the Transaction Agreement) or waived (other than those conditions which, by their nature, are to be satisfied at the closing of the Transaction); and</w:t>
      </w:r>
    </w:p>
    <w:p>
      <w:pPr>
        <w:spacing w:after="0" w:line="108" w:lineRule="exact"/>
        <w:rPr>
          <w:rFonts w:ascii="Times New Roman" w:cs="Times New Roman" w:eastAsia="Times New Roman" w:hAnsi="Times New Roman"/>
          <w:sz w:val="18"/>
          <w:szCs w:val="18"/>
          <w:color w:val="auto"/>
        </w:rPr>
      </w:pPr>
    </w:p>
    <w:p>
      <w:pPr>
        <w:ind w:left="2060" w:hanging="310"/>
        <w:spacing w:after="0"/>
        <w:tabs>
          <w:tab w:leader="none" w:pos="2060" w:val="left"/>
        </w:tabs>
        <w:numPr>
          <w:ilvl w:val="2"/>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have been approved for listing on the Nasdaq Capital Market.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35"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FSD to consummate the issuance and sale of the Shares pursuant to this Subscription Agreement shall be subject to the condition that all representations and warranties of the Investor contained in this Subscription Agreement are true and correct in all material respects (other than representations and warranties that are qualified as to materiality or Material Adverse Effect, which representations and warranties shall be true in all respects), at and as of the Closing Date, and consummation of the Closing shall constitute a reaffirmation by the Investor of each of the representations warranties, covenants and agreements of the Investor contained in this Subscription Agreement as of the Closing Date.</w:t>
      </w:r>
    </w:p>
    <w:p>
      <w:pPr>
        <w:spacing w:after="0" w:line="121"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749"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the Investor to consummate the purchase of the Shares pursuant to this Subscription Agreement shall be subject to the following conditions:</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6" w:lineRule="auto"/>
        <w:tabs>
          <w:tab w:leader="none" w:pos="2117" w:val="left"/>
        </w:tabs>
        <w:numPr>
          <w:ilvl w:val="2"/>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FSD contained in this Subscription Agreement shall be true and correct in all material respects (other than representations and warranties that are qualified as to materiality or Material Adverse Effect (as defined herein), which representations and warranties shall be true in all respects) at and as of the Closing Date, and consummation of the Closing shall constitute a reaffirmation by FSD of each of the representations and warranties of FSD contained in this Subscription Agreement as of the Closing Date;</w:t>
      </w:r>
    </w:p>
    <w:p>
      <w:pPr>
        <w:spacing w:after="0" w:line="106"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91" w:val="left"/>
        </w:tabs>
        <w:numPr>
          <w:ilvl w:val="2"/>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have performed, satisfied and complied in all material respects with all covenants, agreements and conditions required by this Subscription Agreement to be performed, satisfied or complied with by it at or prior to the Closing;</w:t>
      </w:r>
    </w:p>
    <w:p>
      <w:pPr>
        <w:spacing w:after="0" w:line="108" w:lineRule="exact"/>
        <w:rPr>
          <w:rFonts w:ascii="Times New Roman" w:cs="Times New Roman" w:eastAsia="Times New Roman" w:hAnsi="Times New Roman"/>
          <w:sz w:val="18"/>
          <w:szCs w:val="18"/>
          <w:color w:val="auto"/>
        </w:rPr>
      </w:pPr>
    </w:p>
    <w:p>
      <w:pPr>
        <w:jc w:val="both"/>
        <w:ind w:left="460" w:right="459" w:firstLine="1290"/>
        <w:spacing w:after="0" w:line="266" w:lineRule="auto"/>
        <w:tabs>
          <w:tab w:leader="none" w:pos="2242" w:val="left"/>
        </w:tabs>
        <w:numPr>
          <w:ilvl w:val="2"/>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Agreement shall not have been amended in a manner that would reasonably be expected to materially and adversely affect the economic benefits that the Investor or FSD would reasonably expect to receive under this Subscription Agreement; and</w:t>
      </w:r>
    </w:p>
    <w:p>
      <w:pPr>
        <w:spacing w:after="0" w:line="108"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229" w:val="left"/>
        </w:tabs>
        <w:numPr>
          <w:ilvl w:val="2"/>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amendment, waiver or modification to the Other Subscription Agreements that materially economically benefits the Other Investors thereunder unless the Investor has been offered substantially the same benefits.</w:t>
      </w:r>
    </w:p>
    <w:p>
      <w:pPr>
        <w:spacing w:after="0" w:line="94" w:lineRule="exact"/>
        <w:rPr>
          <w:rFonts w:ascii="Times New Roman" w:cs="Times New Roman" w:eastAsia="Times New Roman" w:hAnsi="Times New Roman"/>
          <w:sz w:val="18"/>
          <w:szCs w:val="18"/>
          <w:color w:val="auto"/>
        </w:rPr>
      </w:pPr>
    </w:p>
    <w:p>
      <w:pPr>
        <w:jc w:val="both"/>
        <w:ind w:left="460" w:right="459" w:firstLine="426"/>
        <w:spacing w:after="0" w:line="266" w:lineRule="auto"/>
        <w:tabs>
          <w:tab w:leader="none" w:pos="1328"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08" w:lineRule="exact"/>
        <w:rPr>
          <w:rFonts w:ascii="Times New Roman" w:cs="Times New Roman" w:eastAsia="Times New Roman" w:hAnsi="Times New Roman"/>
          <w:sz w:val="18"/>
          <w:szCs w:val="18"/>
          <w:color w:val="auto"/>
        </w:rPr>
      </w:pPr>
    </w:p>
    <w:p>
      <w:pPr>
        <w:ind w:left="460" w:right="459" w:firstLine="426"/>
        <w:spacing w:after="0" w:line="282" w:lineRule="auto"/>
        <w:tabs>
          <w:tab w:leader="none" w:pos="1288"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FSD Representations and Warranties</w:t>
      </w:r>
      <w:r>
        <w:rPr>
          <w:rFonts w:ascii="Times New Roman" w:cs="Times New Roman" w:eastAsia="Times New Roman" w:hAnsi="Times New Roman"/>
          <w:sz w:val="18"/>
          <w:szCs w:val="18"/>
          <w:color w:val="auto"/>
        </w:rPr>
        <w:t>. FSD represents and warrants to the Investor, as of the date hereof and as of the Closing Date that:</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1" w:lineRule="auto"/>
        <w:tabs>
          <w:tab w:leader="none" w:pos="1691"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been duly incorporated,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2" w:name="page523"/>
    <w:bookmarkEnd w:id="52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8" w:lineRule="auto"/>
        <w:tabs>
          <w:tab w:leader="none" w:pos="1678"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FSD’s certificate of incorporation (as amended to the Closing Date) or under the laws of the State of Delaware.</w:t>
      </w:r>
    </w:p>
    <w:p>
      <w:pPr>
        <w:spacing w:after="0" w:line="115"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93"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has been duly authorized, executed and delivered by FSD and, assuming that this Subscription Agreement constitutes the valid and binding agreement of the Investor, this Subscription Agreement constitutes the valid and binding agreement of FSD and is enforceable against FSD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4"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Subscription Agreement, the issuance and sale of the Shares and the compliance by FSD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FSD or any of its subsidiaries pursuant to the terms of (i) any indenture, mortgage, deed of trust, loan agreement, lease, license or other agreement or instrument to which FSD or any of its subsidiaries is a party or by which FSD or any of its subsidiaries is bound or to which any of the property or assets of FSD is subject that would reasonably be expected to have a material adverse effect on the business, financial condition or results of operations of FSD and its subsidiaries, taken as a whole or materially and adversely affect: (A) the ability of FSD to consummate the Transaction; (B) the validity of the Shares; or (C) the legal authority of FSD to comply in all material respects with the terms of this Subscription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(ii) result in any violation of the provisions of the organizational documents of FSD; or (iii) result in any violation of any statute or any judgment, order, rule or regulation of any court or governmental agency or body, domestic or foreign, having jurisdiction over FSD or any of their properties that would reasonably be expected to have a Material Adverse Effect or materially affect the validity of the Shares or the legal authority of FSD to comply in all material respects with this Subscription Agreement.</w:t>
      </w:r>
    </w:p>
    <w:p>
      <w:pPr>
        <w:spacing w:after="0" w:line="113"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739"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made all filings required to be filed by it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As of their respective dates, all reports, the Registration Statement of FSD filed on Form S-1 dated July 24, 2020 (as amended), and the prospectus of FSD dated August 11, 2020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required to be filed or actually filed by FSD with the SEC complied in all material respects with the applicable requirements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FSD included in the SEC Reports comply in all material respects with applicable accounting requirements and the rules and regulations of the SEC with respect thereto as in effect at the time of filing and fairly present in all material respects the financial condition of FSD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FSD from the staff of the Division of Corporation Finance of the SEC with respect to any of the SEC Reports.</w:t>
      </w:r>
    </w:p>
    <w:p>
      <w:pPr>
        <w:spacing w:after="0" w:line="127"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671"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entered into any side letter or similar agreement with any Other Investor or any other investor in connection with such Other Investor’s or other investor’s direct or indirect investment in FSD other than the Other Subscription Agreement and the Transaction Agreement. No Other Subscription Agreement contains terms (economic or otherwise) more favorable to such Other Investor or investor than as set forth in this Subscription Agreement. The Other Subscription Agreements have not been amended in any material respect following the date of this Subscription Agreement.</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5"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FSD of this Subscription Agreement (including, without limitation, the issuance of the Shares), other than (i) filings with the SEC, (ii) filings required by applicable state securities laws, (iii) filings required by The Nasdaq Capital Market, or such other applicable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3" w:name="page524"/>
    <w:bookmarkEnd w:id="52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stock exchange on which FSD’s Class A common stock is then listed (the “</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and (iv) the failure of which to obtain would not be reasonably likely to have, individually or in the aggregate, a Material Adverse Effect. FSD is in compliance with all applicable laws and rules of The Nasdaq Capital Market.</w:t>
      </w:r>
    </w:p>
    <w:p>
      <w:pPr>
        <w:spacing w:after="0" w:line="108" w:lineRule="exact"/>
        <w:rPr>
          <w:sz w:val="20"/>
          <w:szCs w:val="20"/>
          <w:color w:val="auto"/>
        </w:rPr>
      </w:pPr>
    </w:p>
    <w:p>
      <w:pPr>
        <w:jc w:val="both"/>
        <w:ind w:left="460" w:right="459" w:firstLine="858"/>
        <w:spacing w:after="0" w:line="252" w:lineRule="auto"/>
        <w:tabs>
          <w:tab w:leader="none" w:pos="1693"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FSD consists of 100,000,000 Shares of which 12,516,500 are outstanding, 10,000,000 shares of Class B common stock, par value $0.0001 per share of which 3,018,750 are issued and outstanding, and 1,000,000 shares of preferred stock, par value $0.0001 per share, none of which are issued and outstanding. No other shares of capital stock or other voting securities of FSD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FSD’s organizational documents or any contract to which FSD is a party or by which FSD is bound. Except as set forth in FSD’s organizational documents, there are no outstanding contractual obligations of FSD to repurchase, redeem or otherwise acquire any Shares or any capital equity of FSD. There are no securities or instruments issued by or to which FSD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FSD to provide funds to, or make any investment (in the form of a loan, capital contribution or otherwise) in, any other person or entity.</w:t>
      </w:r>
    </w:p>
    <w:p>
      <w:pPr>
        <w:spacing w:after="0" w:line="128"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99"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and outstanding Shares are registered pursuant to Section 12(b) of the Exchange Act, and are listed for trading on the Stock Exchange. There is no suit, action, proceeding or investigation pending or, to the knowledge of FSD, threatened against FSD by Nasdaq or the SEC to deregister the Shares or prohibit or terminate the listing of the Shares on Nasdaq. FSD has taken no action that is designed to terminate the registration of the Shares under the Exchange Act.</w:t>
      </w:r>
    </w:p>
    <w:p>
      <w:pPr>
        <w:spacing w:after="0" w:line="102"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592"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Investor’s representations and warranties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no registration under the Securities Act is required for the offer and sale of the Shares by FSD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821"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such matters as have not had and would not be reasonably likely to have, individually or in the aggregate, a Material Adverse Effect, there is no (i) action, suit, claim or other proceeding, in each case by or before any governmental authority pending, or, to the knowledge of FSD, threatened against FSD or (ii) judgment, decree, injunction, ruling or order of any governmental entity or arbitrator outstanding against FSD.</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670"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has not received any written communication from a governmental authority that alleges that FSD is not in compliance with or is in default or violation of any applicable law, except where such non-compliance, default or violation would not reasonably be expected to have a Material Adverse Effect.</w:t>
      </w:r>
    </w:p>
    <w:p>
      <w:pPr>
        <w:spacing w:after="0" w:line="94"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10"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is not under any obligation to pay any broker’s fee or commission in connection with the sale of the Shares hereunder other than to the Placement Agents (as defined herein).</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2"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acknowledges and agrees that, notwithstanding anything herein to the contrary, the Shares may be pledged by Investor in connection with a bona fide margin agreement, which shall not be deemed to be a transfer, sale or assignment of the Shares hereunder, and the Investor effecting a pledge of Shares shall not be required to provide FSD with any notice thereof or otherwise make any delivery to the Investor pursuant to this Agreement. The Investor hereby agrees to execute and deliver such documentation as a pledgee of the Shares may reasonably request in connection with a pledge of the Shares to such pledgee by the Investor.</w:t>
      </w:r>
    </w:p>
    <w:p>
      <w:pPr>
        <w:spacing w:after="0" w:line="119" w:lineRule="exact"/>
        <w:rPr>
          <w:rFonts w:ascii="Times New Roman" w:cs="Times New Roman" w:eastAsia="Times New Roman" w:hAnsi="Times New Roman"/>
          <w:sz w:val="18"/>
          <w:szCs w:val="18"/>
          <w:color w:val="auto"/>
        </w:rPr>
      </w:pPr>
    </w:p>
    <w:p>
      <w:pPr>
        <w:ind w:left="1200" w:hanging="314"/>
        <w:spacing w:after="0"/>
        <w:tabs>
          <w:tab w:leader="none" w:pos="120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Representations and Warranties</w:t>
      </w:r>
      <w:r>
        <w:rPr>
          <w:rFonts w:ascii="Times New Roman" w:cs="Times New Roman" w:eastAsia="Times New Roman" w:hAnsi="Times New Roman"/>
          <w:sz w:val="18"/>
          <w:szCs w:val="18"/>
          <w:color w:val="auto"/>
        </w:rPr>
        <w:t>. The Investor represents and warrants to FSD that: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788" w:val="left"/>
        </w:tabs>
        <w:numPr>
          <w:ilvl w:val="1"/>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Investor (i) is a “qualified institutional buyer” (as defined in Rule 144A under the Securities Act), an institutional “accredited investor” or an “accredited investor” (within the meaning of Rule 501(a) under the Securities Act), in each case, satisfying the applicable requirements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,(ii) is an “institutional account” (as defined in FINRA Rule 4512(c)), (iii) is not an underwriter (as defined in Section 2(a)(11) of the Securities Act) and is acquiring the Shares only for his, her or its own account and not for the account of others, or if the undersigned is subscribing for the Shares as a fiduciary or agent for one or more investor accounts, the Investor has full investment discretion with respect to each such account, and the full power and authority to make the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4" w:name="page525"/>
    <w:bookmarkEnd w:id="52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acknowledgements, representations and agreements herein on behalf of each owner of each such account, and</w:t>
      </w:r>
    </w:p>
    <w:p>
      <w:pPr>
        <w:spacing w:after="0" w:line="27" w:lineRule="exact"/>
        <w:rPr>
          <w:sz w:val="20"/>
          <w:szCs w:val="20"/>
          <w:color w:val="auto"/>
        </w:rPr>
      </w:pPr>
    </w:p>
    <w:p>
      <w:pPr>
        <w:jc w:val="both"/>
        <w:ind w:left="460" w:right="459" w:hanging="6"/>
        <w:spacing w:after="0" w:line="255" w:lineRule="auto"/>
        <w:tabs>
          <w:tab w:leader="none" w:pos="767"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Investor is not an entity formed for the specific purpose of acquiring the Shares.</w:t>
      </w:r>
    </w:p>
    <w:p>
      <w:pPr>
        <w:spacing w:after="0" w:line="11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96"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that the Shares are being offered in a transaction not involving any public offering within the meaning of the Securities Act and that the Shares have not been registered under the Securities Act. The Investor understands that the Shares may not be resold, transferred, pledged or otherwise disposed of by the Investor absent an effective registration statement under the Securities Act except (i) to FSD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restrictive legend to such effect. The Investor acknowledges that the Shares will not be eligible for resale pursuant to Rule 144A promulgated under the Securities Act. The Investor acknowledges and agrees that the Shares will not be eligible for offer, resale, transfer, pledge or disposition pursuant to Rule 144 promulgated under the Securities Act until at least one year from the date that FSD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w:t>
      </w:r>
    </w:p>
    <w:p>
      <w:pPr>
        <w:spacing w:after="0" w:line="12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62"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the Investor is purchasing the Shares from FSD. The Investor further acknowledges that there have been no representations, warranties, covenants and agreements made to the Investor by FSD, Target or their respective officers or directors, expressly or by implication, other than those representations, warranties, covenants and agreements included in this Subscription Agreement.</w:t>
      </w:r>
    </w:p>
    <w:p>
      <w:pPr>
        <w:spacing w:after="0" w:line="9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38"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4" w:lineRule="auto"/>
        <w:tabs>
          <w:tab w:leader="none" w:pos="1686"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and agrees that the Investor has received such information as the Investor deems necessary in order to make an investment decision with respect to the Shares, including with respect to FSD, Target or the Transaction. Without limiting the generality of the foregoing, the Investor acknowledges that he, she or it has carefully reviewed the SEC Reports and any disclosure documents used in the offering of the Shares. The Investor represents and agrees that the Investor and the Investor’s professional advisor(s), if any (i) have had the full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FSD.</w:t>
      </w:r>
    </w:p>
    <w:p>
      <w:pPr>
        <w:spacing w:after="0" w:line="120" w:lineRule="exact"/>
        <w:rPr>
          <w:rFonts w:ascii="Times New Roman" w:cs="Times New Roman" w:eastAsia="Times New Roman" w:hAnsi="Times New Roman"/>
          <w:sz w:val="18"/>
          <w:szCs w:val="18"/>
          <w:color w:val="auto"/>
        </w:rPr>
      </w:pPr>
    </w:p>
    <w:p>
      <w:pPr>
        <w:jc w:val="both"/>
        <w:ind w:left="460" w:right="459" w:firstLine="858"/>
        <w:spacing w:after="0" w:line="253" w:lineRule="auto"/>
        <w:tabs>
          <w:tab w:leader="none" w:pos="1699"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became aware of this offering of the Shares solely by means of direct contact between the Investor and FSD, Target, or a representative of FSD or Target, and the Shares were offered to the Investor solely by direct contact between the Investor and FSD, Target, or a representative of FSD or Target.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Investor acknowledges that it is not relying upon, and has not relied upon, any statement, representation or warranty made by any person, firm or corporation (including, without limitation, Target, FSD, Jefferies LLC or SVB Leerink LLC (each a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or their respective affiliates or any of their or their respective affiliates’ control persons, officers, directors, employees or representatives), other than the representations and warranties of FSD contained in Section 5 of this Subscription Agreement, in making its investment or decision to invest in FSD.</w:t>
      </w:r>
    </w:p>
    <w:p>
      <w:pPr>
        <w:spacing w:after="0" w:line="106" w:lineRule="exact"/>
        <w:rPr>
          <w:rFonts w:ascii="Times New Roman" w:cs="Times New Roman" w:eastAsia="Times New Roman" w:hAnsi="Times New Roman"/>
          <w:sz w:val="18"/>
          <w:szCs w:val="18"/>
          <w:color w:val="auto"/>
        </w:rPr>
      </w:pPr>
    </w:p>
    <w:p>
      <w:pPr>
        <w:jc w:val="both"/>
        <w:ind w:left="460" w:right="479" w:firstLine="858"/>
        <w:spacing w:after="0" w:line="258" w:lineRule="auto"/>
        <w:tabs>
          <w:tab w:leader="none" w:pos="1765" w:val="left"/>
        </w:tabs>
        <w:numPr>
          <w:ilvl w:val="1"/>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there are substantial risks incident to the purchase and ownership of the Shares, including those set forth in FSD’s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5" w:name="page526"/>
    <w:bookmarkEnd w:id="52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61" w:lineRule="auto"/>
        <w:tabs>
          <w:tab w:leader="none" w:pos="1683"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Alone, or together with any professional advisor(s), the Investor has adequately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FSD.</w:t>
      </w:r>
    </w:p>
    <w:p>
      <w:pPr>
        <w:spacing w:after="0" w:line="112"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47"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FSD, Target, the Transaction, the Transaction Agreement, this Subscription Agreement or the transactions contemplated hereby or thereby, the Shares or the offer and sale of the Shares.</w:t>
      </w:r>
    </w:p>
    <w:p>
      <w:pPr>
        <w:spacing w:after="0" w:line="119"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598"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understands and agrees that no federal or state agency has passed upon or endorsed the merits of the offering of the Shares or made any findings or determination as to the fairness of this investment.</w:t>
      </w:r>
    </w:p>
    <w:p>
      <w:pPr>
        <w:spacing w:after="0" w:line="94"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2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599"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undersigned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undersigned is a party or by which the undersigned is bound, and, if the undersigned is not an individual, will not violate any provisions of the undersigned’s charter documents, including, without limitation, its incorporation or formation papers, bylaws, indenture of trust or partnership or operating agreement, as may be applicable. The signature of the Investor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FSD, this Subscription Agreement constitutes a legal, valid and binding obligation of the Investor, enforceable against the undersigned in accordance with its terms except as may be limited or otherwise affected by bankruptcy, insolvency, reorganization or other similar laws affecting the enforcement of creditors’ rights generally and by general principles of equity.</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814"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u w:val="single" w:color="auto"/>
          <w:color w:val="auto"/>
        </w:rPr>
        <w:t>OFAC List</w:t>
      </w:r>
      <w:r>
        <w:rPr>
          <w:rFonts w:ascii="Times New Roman" w:cs="Times New Roman" w:eastAsia="Times New Roman" w:hAnsi="Times New Roman"/>
          <w:sz w:val="18"/>
          <w:szCs w:val="18"/>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8"/>
          <w:szCs w:val="18"/>
          <w:u w:val="single" w:color="auto"/>
          <w:color w:val="auto"/>
        </w:rPr>
        <w:t>Prohibited Investor</w:t>
      </w:r>
      <w:r>
        <w:rPr>
          <w:rFonts w:ascii="Times New Roman" w:cs="Times New Roman" w:eastAsia="Times New Roman" w:hAnsi="Times New Roman"/>
          <w:sz w:val="18"/>
          <w:szCs w:val="18"/>
          <w:color w:val="auto"/>
        </w:rPr>
        <w:t>”). The Investor agrees to provide law enforcement agencies, if requested thereby, such records as required by applicable law, provided that the Investor is permitted to do so under applicable law. If the Investor is a financial institution subject to the Bank Secrecy Act (31 U.S.C. Section 5311 et seq.) (the “BSA”), as amended by the USA PATRIOT Act of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the OFAC List. To the extent required by applicable law, the Investor maintains policies and procedures reasonably designed to ensure that the funds held by the Investor and used to purchase the Shares were legally derived.</w:t>
      </w:r>
    </w:p>
    <w:p>
      <w:pPr>
        <w:spacing w:after="0" w:line="113"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42"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disclosure or offering document has been prepared by either of the Placement Agents or any of their respective affiliates in connection with the offer and sale of the Shares.</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66" w:lineRule="auto"/>
        <w:tabs>
          <w:tab w:leader="none" w:pos="1801"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respective directors, officers, employees, representatives and controlling persons have made any independent investigation with respect to FSD or the Shares or the accuracy, completeness or adequacy of any information supplied to the Investor by FSD.</w:t>
      </w:r>
    </w:p>
    <w:p>
      <w:pPr>
        <w:spacing w:after="0" w:line="108" w:lineRule="exact"/>
        <w:rPr>
          <w:rFonts w:ascii="Times New Roman" w:cs="Times New Roman" w:eastAsia="Times New Roman" w:hAnsi="Times New Roman"/>
          <w:sz w:val="18"/>
          <w:szCs w:val="18"/>
          <w:color w:val="auto"/>
        </w:rPr>
      </w:pPr>
    </w:p>
    <w:p>
      <w:pPr>
        <w:ind w:left="460" w:right="479" w:firstLine="858"/>
        <w:spacing w:after="0" w:line="282" w:lineRule="auto"/>
        <w:tabs>
          <w:tab w:leader="none" w:pos="1676"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issue and purchase of the Shares, the Placement Agents have not acted as the Investor’s financial advisor or fiduciary.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6" w:name="page527"/>
    <w:bookmarkEnd w:id="52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firstLine="858"/>
        <w:spacing w:after="0" w:line="266" w:lineRule="auto"/>
        <w:tabs>
          <w:tab w:leader="none" w:pos="1675"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required to deliver payment to FSD pursuant to Section 2 above, the Investor will have sufficient funds to pay the Subscription Amount and consummate the purchase and sale of the Shares pursuant to this Subscription Agreement.</w:t>
      </w:r>
    </w:p>
    <w:p>
      <w:pPr>
        <w:spacing w:after="0" w:line="108" w:lineRule="exact"/>
        <w:rPr>
          <w:rFonts w:ascii="Times New Roman" w:cs="Times New Roman" w:eastAsia="Times New Roman" w:hAnsi="Times New Roman"/>
          <w:sz w:val="18"/>
          <w:szCs w:val="18"/>
          <w:color w:val="auto"/>
        </w:rPr>
      </w:pPr>
    </w:p>
    <w:p>
      <w:pPr>
        <w:jc w:val="both"/>
        <w:ind w:left="460" w:right="479" w:firstLine="858"/>
        <w:spacing w:after="0" w:line="266" w:lineRule="auto"/>
        <w:tabs>
          <w:tab w:leader="none" w:pos="171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it is aware that the Placement Agents are acting as FSD’s placement agents or financial advisors and certain of the Placement Agents are acting as financial advisor to Target in connection with the Transaction.</w:t>
      </w:r>
    </w:p>
    <w:p>
      <w:pPr>
        <w:spacing w:after="0" w:line="108" w:lineRule="exact"/>
        <w:rPr>
          <w:rFonts w:ascii="Times New Roman" w:cs="Times New Roman" w:eastAsia="Times New Roman" w:hAnsi="Times New Roman"/>
          <w:sz w:val="18"/>
          <w:szCs w:val="18"/>
          <w:color w:val="auto"/>
        </w:rPr>
      </w:pPr>
    </w:p>
    <w:p>
      <w:pPr>
        <w:ind w:left="1200" w:hanging="314"/>
        <w:spacing w:after="0"/>
        <w:tabs>
          <w:tab w:leader="none" w:pos="120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460" w:right="459" w:firstLine="858"/>
        <w:spacing w:after="0" w:line="250" w:lineRule="auto"/>
        <w:tabs>
          <w:tab w:leader="none" w:pos="1725"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Shares are not registered in connection with the consummation of the Transaction, FSD agrees that, within thirty (30) calendar days after the consummation of the Transaction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it will file with the SEC (at the its sole cost and expense) a registration statement registering the resale of such Shares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it shall use its commercially reasonable efforts to have the Registration Statement declared effective as soon as practicable after the filing thereof, but no later than the earlier of (1) the 90th calendar day after the consummation of the Transaction (or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if the SEC notifies FSD that it will “review” the Registration Statement) and (2) the fifth business day after the date FSD is notified in writing by the SEC that the Registration Statement will not be “reviewed” or will not be subject to further review (the “</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FSD agrees to cause such Registration Statement, or another shelf registration statement that includes the Shares to be sold pursuant to this Subscription Agreement, to remain effective, except for such times as FSD is permitted hereunder to suspend the use of the prospectus forming part of the Registration Statement, until the earliest of (i) the third anniversary of the Closing, (ii) the date on which the Investor ceases to hold any Shares issued pursuant to this Subscription Agreement, or (iii) on the first date on which the Investor can sell all of its Shares issued pursuant to this Subscription Agreement (or shares received in exchange therefor) under Rule 144 of the Securities Act without volume or manner of sale limitations and without the requirement for FSD to be in compliance with the current public information required under Rule 144(c)(2) (or Rule 144(i)(2), if applicable). The Investor agrees to disclose its beneficial ownership as determined in accordance with Rule 13d-3 of the Exchange Act to FSD upon request to assist it in making the determination described above. In no event shall the Investor be identified as a statutory underwriter in the Registration Statement unless requested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SEC requests that the Investor be identified as a statutory underwriter in the Registration Statement, the Investor will have an opportunity to withdraw its Shares from the Registration Statement. Notwithstanding the foregoing, if the SEC prevents FSD from including any or all of the shares proposed to be registered under the Registration Statement due to limitations on the use of Rule 415 of the Securities Act for the resale of the Shares by the applicable shareholders or otherwise, such Registration Statement shall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FSD’s obligations to include the Shares issued pursuant to this Subscription Agreement (or shares issued in exchange therefor) for resale in the Registration Statement are contingent upon the Investor furnishing in writing to FSD such information regarding the Investor, the securities of FSD held by the Investor and the intended method of disposition of such Shares as shall be reasonably requested by FSD to effect the registration of such Shares, and shall execute such documents in connection with such registration as FSD may reasonably request that are customary of a selling stockholder in similar situations, including providing that FSD shall be entitled to postpone and suspend the effectiveness or use of the Registration Statement during any customary blackout period or similar period or as permitted hereunder. Investor shall not be entitled to use the Registration Statement for an underwritten offering. For purposes of clarification, any failure by FSD to file the Registration Statement by the Filing Deadline or to effect such Registration Statement by the Effectiveness Date shall not otherwise relieve FSD of its obligations to file or effect the Registration Statement set forth in this Section 7. For as long as the Registration Statement shall remain effective pursuant to this Section 7(a), FSD will use commercially reasonable efforts to (1) qualify the Shares for listing on the Stock Exchange, and (2) update or amend the Registration Statement as necessary to include the Shares. For as long as the Investor holds the Shares, FSD will use commercially reasonable efforts to (A) make and keep public information available, as those terms are understood and defined in Rule 144, (B) file in a timely manner all reports and other documents with the SEC required under the Exchange Act, as long as FSD remains subject to such requirements, and (C) provide all customary and reasonable cooperation necessary, in each case, to enable the undersigned to resell the Shares pursuant to the Registration Statement or Rule 144 of the Securities Act (when Rule 144 of the Securities Act becomes available to the Investor), as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7" w:name="page528"/>
    <w:bookmarkEnd w:id="52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83"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FSD may delay or postpone filing of such Registration Statement, and from time to time require the Investor not to sell under the Registration Statement or suspend the use or effectiveness of any such Registration Statement, if the board of directors of FSD determines in good faith that either in order for the Registration Statement to not contain a material misstatement or omission, an amendment thereto would be needed, or if such filing or use could materially affect a bona fide business or financing transaction of FSD or would require premature disclosure of information that could materially adversely affect FSD (each such circumstance, a “</w:t>
      </w:r>
      <w:r>
        <w:rPr>
          <w:rFonts w:ascii="Times New Roman" w:cs="Times New Roman" w:eastAsia="Times New Roman" w:hAnsi="Times New Roman"/>
          <w:sz w:val="18"/>
          <w:szCs w:val="18"/>
          <w:u w:val="single" w:color="auto"/>
          <w:color w:val="auto"/>
        </w:rPr>
        <w:t>Suspension Event</w:t>
      </w:r>
      <w:r>
        <w:rPr>
          <w:rFonts w:ascii="Times New Roman" w:cs="Times New Roman" w:eastAsia="Times New Roman" w:hAnsi="Times New Roman"/>
          <w:sz w:val="18"/>
          <w:szCs w:val="18"/>
          <w:color w:val="auto"/>
        </w:rPr>
        <w:t xml:space="preserve">”); provided, that, (I) FSD shall not so delay filing or so suspend the use of the Registration Statement on more than two (2) occasions or for a period of more than ninety (90) consecutive days or more than a total of one hundred-twenty (120) calendar days, in each case in any three hundred sixty (360) day period and (II) FSD shall use commercially reasonable efforts to make such Registration Statement available for the sale by the undersigned of such securities as soon as practicable thereafter. If so directed by FSD, the Investor will deliver to FSD or, in the Investor’s sole discretion destroy, all copies of the prospectus covering the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w:t>
      </w:r>
    </w:p>
    <w:p>
      <w:pPr>
        <w:spacing w:after="0" w:line="124" w:lineRule="exact"/>
        <w:rPr>
          <w:rFonts w:ascii="Times New Roman" w:cs="Times New Roman" w:eastAsia="Times New Roman" w:hAnsi="Times New Roman"/>
          <w:sz w:val="18"/>
          <w:szCs w:val="18"/>
          <w:color w:val="auto"/>
        </w:rPr>
      </w:pPr>
    </w:p>
    <w:p>
      <w:pPr>
        <w:jc w:val="both"/>
        <w:ind w:left="460" w:right="459" w:firstLine="858"/>
        <w:spacing w:after="0" w:line="251" w:lineRule="auto"/>
        <w:tabs>
          <w:tab w:leader="none" w:pos="1792"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its expense FSD shall advise the Investor within two (2) business days: (i) when a Registration Statement or any post-effective amendment thereto has become effective; (ii) of the issuance by the SEC of any stop order suspending the effectiveness of any Registration Statement or the initiation of any proceedings for such purpose; (iii) of the receipt by FSD of any notification with respect to the suspension of the qualification of the Shares included therein for sale in any jurisdiction or the initiation or threatening of any proceeding for such purpose; and (iv)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FSD (which notice shall not contain any material non-public information regarding FSD)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 amended prospectus (which FSD agrees to promptly prepare) that corrects the misstatement(s) or omission(s) referred to above and receives notice that any post-effective amendment has become effective or unless otherwise notified by FSD that it may resume such offers and sales, and (2) it will maintain the confidentiality of any information included in such written notice delivered by FSD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FSD shall use its commercially reasonable efforts to obtain the withdrawal of any order suspending the effectiveness of any Registration Statement as soon as reasonably practicable. Upon the occurrence of any event contemplated in clauses (i) through (iv) above, except for such times as FSD is permitted hereunder to suspend, and has suspended, the use of a prospectus forming part of a Registration Statement, FSD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2"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46"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“Shares” shall mean, as of any date of determination, the Shares acquired by the Investor pursuant to this Subscription Agreement and any other equity security issued or issuable with respect to such Shares by way of share split, dividend, distribution, recapitalization, merger, exchange, replacement or similar event, and “Investor” shall include any affiliate of the undersigned Investor to which the rights under this Section 7 shall have been duly assigned.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8" w:name="page529"/>
    <w:bookmarkEnd w:id="52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2" w:lineRule="auto"/>
        <w:tabs>
          <w:tab w:leader="none" w:pos="1683"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shall indemnify the Investor (to the extent a seller under the Registration Statement), its officers, directors, partners, members, managers, stockholders, advisers and agents, and each person who controls the Investor (within the meaning of Section 15 of the Securities Act or Section 20 of the Exchange Act) to the fullest extent permitted by applicable law, from and against any and all losses, claims, damages, liabilities, costs (including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that arise out of or are based upon any untrue or alleged untrue statement of a material fact contained in the Registration Statement (or incorporated by reference therein),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such untrue statements or alleged untrue statements, omissions or alleged omissions are based upon information regarding the Investor furnished in writing to FSD by the Investor expressly for use therein or Investor omitted a material fact from such information.</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3"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shall indemnify and hold harmless FSD, its directors, officers, agents and employees, and each person who controls FSD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the Investor furnished in writing to FSD by the Investor expressly for use therein. In no event shall the liability of Investor exceed the net proceeds received by the Investor upon the sale of the Shares giving rise to such indemnification obligation. The Investor shall notify FSD promptly of the institution, threat or assertion of any proceeding arising from or in connection with the transactions contemplated by this Section 7 of which the Investor is aware.</w:t>
      </w:r>
    </w:p>
    <w:p>
      <w:pPr>
        <w:spacing w:after="0" w:line="12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652"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under this Section 7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subject to the limitations set forth in this Section 7 and deemed to include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7(g) shall be individual, not joint and several, and in no event shall the liability of the Investor hereunder exceed the net proceeds received by the Investor upon the sale of the Shares giving rise to such indemnification obligation.</w:t>
      </w:r>
    </w:p>
    <w:p>
      <w:pPr>
        <w:spacing w:after="0" w:line="110" w:lineRule="exact"/>
        <w:rPr>
          <w:sz w:val="20"/>
          <w:szCs w:val="20"/>
          <w:color w:val="auto"/>
        </w:rPr>
      </w:pPr>
    </w:p>
    <w:p>
      <w:pPr>
        <w:jc w:val="both"/>
        <w:ind w:left="460" w:right="459" w:firstLine="858"/>
        <w:spacing w:after="0" w:line="253" w:lineRule="auto"/>
        <w:tabs>
          <w:tab w:leader="none" w:pos="1666"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May 15, 2021; or (d) if any of the conditions to Closing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will relieve any party from liability for any willful breach hereof prior to the time of termination, and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29" w:name="page530"/>
    <w:bookmarkEnd w:id="52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each party will be entitled to any remedies at law or in equity to recover losses, liabilities or damages arising from any such breach. FSD shall notify the Investor of the termination of the Transaction Agreement promptly after the termination of such agreement.</w:t>
      </w:r>
    </w:p>
    <w:p>
      <w:pPr>
        <w:spacing w:after="0" w:line="108" w:lineRule="exact"/>
        <w:rPr>
          <w:sz w:val="20"/>
          <w:szCs w:val="20"/>
          <w:color w:val="auto"/>
        </w:rPr>
      </w:pPr>
    </w:p>
    <w:p>
      <w:pPr>
        <w:jc w:val="both"/>
        <w:ind w:left="460" w:right="459" w:firstLine="858"/>
        <w:spacing w:after="0" w:line="252" w:lineRule="auto"/>
        <w:tabs>
          <w:tab w:leader="none" w:pos="1733"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Investor hereby acknowledges that FSD has established a trust account (the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containing the proceeds of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from certain private placements occurring simultaneously with the IPO (including interest accrued from time to time thereon) for the benefit of FSD’s public stockholders and certain other parties (including the underwriters of the IPO). For and in consideration of FSD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regardless of whether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8"/>
          <w:szCs w:val="18"/>
          <w:u w:val="single" w:color="auto"/>
          <w:color w:val="auto"/>
        </w:rPr>
        <w:t>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The Investor hereby irrevocably waives any Released Claims that it may have against the Trust Account now or in the future as a result of, or arising out of, any discussions, contracts or agreements with FSD and will not seek recourse against the Trust Account for any reason whatsoever;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Section 9 shall be deemed to limit the Investor’s right to distributions from the Trust Account in accordance with FSD’s certificate of incorporation in respect of any redemptions by the Investor in respect of Shares acquired by any means other than pursuant to this Subscription Agreement. Nothing in this Section 9 shall be deemed to limit the Investor’s right, title, interest or claim to any monies held in the Trust Account by virtue of its record or beneficial ownership of Shares currently outstanding on the date hereof, pursuant to a validly exercised redemption right with respect to any such Shares, except to the extent that the Investor has otherwise agreed with FSD to not exercise such redemption right.</w:t>
      </w:r>
    </w:p>
    <w:p>
      <w:pPr>
        <w:spacing w:after="0" w:line="12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79" w:firstLine="858"/>
        <w:spacing w:after="0" w:line="266" w:lineRule="auto"/>
        <w:tabs>
          <w:tab w:leader="none" w:pos="1676"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Subscription Agreement nor any rights that may accrue to the Investor hereunder (other than the Shares acquired hereunder, if any) may be transferred or assigned other than an assignment to any fund or account managed by the same investment manager as the Investor or an affiliate thereof.</w:t>
      </w:r>
    </w:p>
    <w:p>
      <w:pPr>
        <w:spacing w:after="0" w:line="108" w:lineRule="exact"/>
        <w:rPr>
          <w:rFonts w:ascii="Times New Roman" w:cs="Times New Roman" w:eastAsia="Times New Roman" w:hAnsi="Times New Roman"/>
          <w:sz w:val="18"/>
          <w:szCs w:val="18"/>
          <w:color w:val="auto"/>
        </w:rPr>
      </w:pPr>
    </w:p>
    <w:p>
      <w:pPr>
        <w:jc w:val="both"/>
        <w:ind w:left="460" w:right="459" w:firstLine="858"/>
        <w:spacing w:after="0" w:line="256" w:lineRule="auto"/>
        <w:tabs>
          <w:tab w:leader="none" w:pos="1651"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may request from the Investor such additional information as FSD may deem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FSD agrees to keep any such information provided by the Investor confidential. The Investor acknowledges that FSD may file a copy of this Subscription Agreement with the SEC as an exhibit to a periodic report of FSD or a registration statement of FSD.</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84"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acknowledges that FSD, the Placement Agents and others will rely on the acknowledgments, understandings, agreements, representations and warranties contained in this Subscription Agreement. Prior to the Closing, the Investor agrees to promptly notify FSD and the Placement Agents if any of the acknowledgments, understandings, agreements, representations and warranties set forth herein are no longer accurate in any material respect (other than those acknowledgments, understandings, agreements, representations and warranties qualified by materiality, in which case the Investor shall notify FSD and the Placement Agents if they are no longer accurate in all respects).</w:t>
      </w:r>
    </w:p>
    <w:p>
      <w:pPr>
        <w:spacing w:after="0" w:line="107"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11"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FSD, the Investor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w:t>
      </w:r>
    </w:p>
    <w:p>
      <w:pPr>
        <w:spacing w:after="0" w:line="112" w:lineRule="exact"/>
        <w:rPr>
          <w:rFonts w:ascii="Times New Roman" w:cs="Times New Roman" w:eastAsia="Times New Roman" w:hAnsi="Times New Roman"/>
          <w:sz w:val="18"/>
          <w:szCs w:val="18"/>
          <w:color w:val="auto"/>
        </w:rPr>
      </w:pPr>
    </w:p>
    <w:p>
      <w:pPr>
        <w:ind w:left="460" w:right="459" w:firstLine="858"/>
        <w:spacing w:after="0" w:line="282" w:lineRule="auto"/>
        <w:tabs>
          <w:tab w:leader="none" w:pos="1778"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agreements, representations and warranties made by each party hereto in this Subscription Agreement shall survive the Closing.</w:t>
      </w:r>
    </w:p>
    <w:p>
      <w:pPr>
        <w:spacing w:after="0" w:line="94" w:lineRule="exact"/>
        <w:rPr>
          <w:rFonts w:ascii="Times New Roman" w:cs="Times New Roman" w:eastAsia="Times New Roman" w:hAnsi="Times New Roman"/>
          <w:sz w:val="18"/>
          <w:szCs w:val="18"/>
          <w:color w:val="auto"/>
        </w:rPr>
      </w:pPr>
    </w:p>
    <w:p>
      <w:pPr>
        <w:jc w:val="both"/>
        <w:ind w:left="460" w:right="459" w:firstLine="858"/>
        <w:spacing w:after="0" w:line="255" w:lineRule="auto"/>
        <w:tabs>
          <w:tab w:leader="none" w:pos="1784"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not be modified, waived or terminated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0" w:name="page531"/>
    <w:bookmarkEnd w:id="53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firstLine="858"/>
        <w:spacing w:after="0" w:line="255" w:lineRule="auto"/>
        <w:tabs>
          <w:tab w:leader="none" w:pos="1678"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Subscription Agreement (including the schedule hereto) constitutes the entire agreement, and supersedes all other prior agreements, understandings, representations and warranties, both written and oral, among the parties, with respect to the subject matter hereof. This Subscription Agreement shall not confer any rights or remedies upon any person other than the parties hereto, and their respective successor and assigns; provided that, as set forth in </w:t>
      </w:r>
      <w:r>
        <w:rPr>
          <w:rFonts w:ascii="Times New Roman" w:cs="Times New Roman" w:eastAsia="Times New Roman" w:hAnsi="Times New Roman"/>
          <w:sz w:val="18"/>
          <w:szCs w:val="18"/>
          <w:u w:val="single" w:color="auto"/>
          <w:color w:val="auto"/>
        </w:rPr>
        <w:t>Sections 10(c)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10(d)</w:t>
      </w:r>
      <w:r>
        <w:rPr>
          <w:rFonts w:ascii="Times New Roman" w:cs="Times New Roman" w:eastAsia="Times New Roman" w:hAnsi="Times New Roman"/>
          <w:sz w:val="18"/>
          <w:szCs w:val="18"/>
          <w:color w:val="auto"/>
        </w:rPr>
        <w:t xml:space="preserve"> hereto, each Placement Agent shall be a third-party beneficiary to this Subscription Agreement and shall be entitled to the rights and benefits hereunder and may enforce the provisions hereof as if it were a party hereto.</w:t>
      </w:r>
    </w:p>
    <w:p>
      <w:pPr>
        <w:spacing w:after="0" w:line="121" w:lineRule="exact"/>
        <w:rPr>
          <w:rFonts w:ascii="Times New Roman" w:cs="Times New Roman" w:eastAsia="Times New Roman" w:hAnsi="Times New Roman"/>
          <w:sz w:val="18"/>
          <w:szCs w:val="18"/>
          <w:color w:val="auto"/>
        </w:rPr>
      </w:pPr>
    </w:p>
    <w:p>
      <w:pPr>
        <w:jc w:val="both"/>
        <w:ind w:left="460" w:right="459" w:firstLine="858"/>
        <w:spacing w:after="0" w:line="258" w:lineRule="auto"/>
        <w:tabs>
          <w:tab w:leader="none" w:pos="169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15"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662"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98" w:lineRule="exact"/>
        <w:rPr>
          <w:rFonts w:ascii="Times New Roman" w:cs="Times New Roman" w:eastAsia="Times New Roman" w:hAnsi="Times New Roman"/>
          <w:sz w:val="18"/>
          <w:szCs w:val="18"/>
          <w:color w:val="auto"/>
        </w:rPr>
      </w:pPr>
    </w:p>
    <w:p>
      <w:pPr>
        <w:jc w:val="both"/>
        <w:ind w:left="460" w:right="459" w:firstLine="858"/>
        <w:spacing w:after="0" w:line="261" w:lineRule="auto"/>
        <w:tabs>
          <w:tab w:leader="none" w:pos="1731"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Subscription Agreement may be executed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12" w:lineRule="exact"/>
        <w:rPr>
          <w:rFonts w:ascii="Times New Roman" w:cs="Times New Roman" w:eastAsia="Times New Roman" w:hAnsi="Times New Roman"/>
          <w:sz w:val="18"/>
          <w:szCs w:val="18"/>
          <w:color w:val="auto"/>
        </w:rPr>
      </w:pPr>
    </w:p>
    <w:p>
      <w:pPr>
        <w:jc w:val="both"/>
        <w:ind w:left="460" w:right="479" w:firstLine="858"/>
        <w:spacing w:after="0" w:line="256" w:lineRule="auto"/>
        <w:tabs>
          <w:tab w:leader="none" w:pos="1749"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19" w:lineRule="exact"/>
        <w:rPr>
          <w:rFonts w:ascii="Times New Roman" w:cs="Times New Roman" w:eastAsia="Times New Roman" w:hAnsi="Times New Roman"/>
          <w:sz w:val="18"/>
          <w:szCs w:val="18"/>
          <w:color w:val="auto"/>
        </w:rPr>
      </w:pPr>
    </w:p>
    <w:p>
      <w:pPr>
        <w:jc w:val="both"/>
        <w:ind w:left="460" w:right="459" w:firstLine="858"/>
        <w:spacing w:after="0" w:line="252" w:lineRule="auto"/>
        <w:tabs>
          <w:tab w:leader="none" w:pos="1489"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IRREVOCABLY SUBMIT TO THE EXCLUSIVE JURISDICTION OF THE UNITED STATES DISTRICT COURT FOR THE SOUTHERN DISTRICT OF NEW YORK AND THE SUPREME COURT OF THE STATE OF NEW YORK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OF THIS SUBSCRIPTION AGREEMENT OR IN SUCH OTHER MANNER AS MAY BE PERMITTED BY LAW SHALL BE VALID AND SUFFICIENT SERVICE THEREOF.</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1" w:name="page532"/>
    <w:bookmarkEnd w:id="53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 xml:space="preserve">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 w:cs="Times New Roman" w:eastAsia="Times New Roman" w:hAnsi="Times New Roman"/>
          <w:sz w:val="18"/>
          <w:szCs w:val="18"/>
          <w:u w:val="single" w:color="auto"/>
          <w:color w:val="auto"/>
        </w:rPr>
        <w:t>SECTION 10(l)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858"/>
        <w:spacing w:after="0" w:line="252" w:lineRule="auto"/>
        <w:tabs>
          <w:tab w:leader="none" w:pos="1830" w:val="left"/>
        </w:tabs>
        <w:numPr>
          <w:ilvl w:val="2"/>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notices, requests, demands, claims, and other communications hereunder shall be in writing. Any notice, request, demand, claim, or other communication hereunder shall be deemed duly given (i) when delivered personally to the recipient, (ii) when sent by electronic mail, on the date of transmission to such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notice, request, demand, claim or other communication is also sent to the recipient pursuant to clauses (i), (iii) or (iv) of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xml:space="preserve">, (iii) one business day after being sent to the recipient by reputable overnight courier service (charges prepaid), or (iv) 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10(m)</w:t>
      </w:r>
      <w:r>
        <w:rPr>
          <w:rFonts w:ascii="Times New Roman" w:cs="Times New Roman" w:eastAsia="Times New Roman" w:hAnsi="Times New Roman"/>
          <w:sz w:val="18"/>
          <w:szCs w:val="18"/>
          <w:color w:val="auto"/>
        </w:rPr>
        <w:t>. All communications sent to FSD shall be sent to: FS Development Corp., 600 Montgomery Street, Suite 4500, San Francisco, California 94111, Attn: Jim Tananbaum, email: jim@foresitecapital.com, with a copy to: White</w:t>
      </w:r>
    </w:p>
    <w:p>
      <w:pPr>
        <w:spacing w:after="0" w:line="3" w:lineRule="exact"/>
        <w:rPr>
          <w:rFonts w:ascii="Times New Roman" w:cs="Times New Roman" w:eastAsia="Times New Roman" w:hAnsi="Times New Roman"/>
          <w:sz w:val="18"/>
          <w:szCs w:val="18"/>
          <w:color w:val="auto"/>
        </w:rPr>
      </w:pPr>
    </w:p>
    <w:p>
      <w:pPr>
        <w:ind w:left="460" w:right="479" w:hanging="6"/>
        <w:spacing w:after="0" w:line="260" w:lineRule="auto"/>
        <w:tabs>
          <w:tab w:leader="none" w:pos="649"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LLP, 1221 Avenue of the Americas, New York, New York 10020, Attn: Joel L. Rubinstein, Esq., email: joel.rubinstein@whitecase.com.</w:t>
      </w:r>
    </w:p>
    <w:p>
      <w:pPr>
        <w:spacing w:after="0" w:line="113" w:lineRule="exact"/>
        <w:rPr>
          <w:rFonts w:ascii="Times New Roman" w:cs="Times New Roman" w:eastAsia="Times New Roman" w:hAnsi="Times New Roman"/>
          <w:sz w:val="18"/>
          <w:szCs w:val="18"/>
          <w:color w:val="auto"/>
        </w:rPr>
      </w:pPr>
    </w:p>
    <w:p>
      <w:pPr>
        <w:jc w:val="both"/>
        <w:ind w:left="460" w:right="459" w:firstLine="426"/>
        <w:spacing w:after="0" w:line="252" w:lineRule="auto"/>
        <w:tabs>
          <w:tab w:leader="none" w:pos="1371"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FSD shall, by 9:00 a.m., New York City time, on the first business day immediately following the date of this Subscription Agreement, issue one or more press releases or furnish or file with the SEC a Current Report on Form 8-K (collectively, the “</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disclosing, to the extent not previously publicly disclosed, the transactions contemplated hereby, all material terms of the Transaction and any other material, non-public information that FSD has provided to the Investor at any time prior to the filing of the Disclosure Document. From and after the disclosure of the Disclosure Document, to the knowledge of FSD, the Investor shall not be in possession of any material, non-public information received from FSD or any of its officers, directors or employees. Notwithstanding the foregoing, FSD shall not publicly disclose the name of the Investor or any affiliate or investment adviser of the Investor, or include the name of the Investor or any affiliate or investment adviser of the Investor in any press release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NYSE regulations, in which case FSD shall provide the Investor with prior written notice (including by e-mail) of such permitted disclosure, and shall reasonably consult with the Investor regarding such disclosure.</w:t>
      </w:r>
    </w:p>
    <w:p>
      <w:pPr>
        <w:spacing w:after="0" w:line="114" w:lineRule="exact"/>
        <w:rPr>
          <w:rFonts w:ascii="Times New Roman" w:cs="Times New Roman" w:eastAsia="Times New Roman" w:hAnsi="Times New Roman"/>
          <w:sz w:val="18"/>
          <w:szCs w:val="18"/>
          <w:color w:val="auto"/>
        </w:rPr>
      </w:pPr>
    </w:p>
    <w:p>
      <w:pPr>
        <w:jc w:val="both"/>
        <w:ind w:left="460" w:right="459" w:firstLine="426"/>
        <w:spacing w:after="0" w:line="256" w:lineRule="auto"/>
        <w:tabs>
          <w:tab w:leader="none" w:pos="1472"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w:t>
      </w:r>
      <w:r>
        <w:rPr>
          <w:rFonts w:ascii="Times New Roman" w:cs="Times New Roman" w:eastAsia="Times New Roman" w:hAnsi="Times New Roman"/>
          <w:sz w:val="18"/>
          <w:szCs w:val="18"/>
          <w:color w:val="auto"/>
        </w:rPr>
        <w:t>. The Investor agrees that none of (i) any other investor pursuant to any Other Subscription Agreement (including the respective controlling persons, officers, directors, partners, agents, or employees of any investor) or (ii) the Placement Agents, their respective affiliates or any of their or their respective affiliates’ control persons, officers, directors or employees shall be liable to the Investor for any action heretofore or hereafter taken or omitted to be taken by any of them in connection with the purchase of the Shares.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2" w:name="page533"/>
    <w:bookmarkEnd w:id="53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0" w:lineRule="exact"/>
        <w:rPr>
          <w:sz w:val="20"/>
          <w:szCs w:val="20"/>
          <w:color w:val="auto"/>
        </w:rPr>
      </w:pPr>
    </w:p>
    <w:p>
      <w:pPr>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Investor has executed or caused this Subscription Agreement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its duly authorized representative as of the date set forth below.</w:t>
      </w:r>
    </w:p>
    <w:p>
      <w:pPr>
        <w:spacing w:after="0" w:line="132" w:lineRule="exact"/>
        <w:rPr>
          <w:sz w:val="20"/>
          <w:szCs w:val="20"/>
          <w:color w:val="auto"/>
        </w:rPr>
      </w:pPr>
    </w:p>
    <w:p>
      <w:pPr>
        <w:ind w:left="460"/>
        <w:spacing w:after="0"/>
        <w:tabs>
          <w:tab w:leader="none" w:pos="5200" w:val="left"/>
        </w:tabs>
        <w:rPr>
          <w:sz w:val="20"/>
          <w:szCs w:val="20"/>
          <w:color w:val="auto"/>
        </w:rPr>
      </w:pPr>
      <w:r>
        <w:rPr>
          <w:rFonts w:ascii="Times New Roman" w:cs="Times New Roman" w:eastAsia="Times New Roman" w:hAnsi="Times New Roman"/>
          <w:sz w:val="18"/>
          <w:szCs w:val="18"/>
          <w:color w:val="auto"/>
        </w:rPr>
        <w:t>Name of Investor:</w:t>
      </w:r>
      <w:r>
        <w:rPr>
          <w:sz w:val="20"/>
          <w:szCs w:val="20"/>
          <w:color w:val="auto"/>
        </w:rPr>
        <w:tab/>
      </w:r>
      <w:r>
        <w:rPr>
          <w:rFonts w:ascii="Times New Roman" w:cs="Times New Roman" w:eastAsia="Times New Roman" w:hAnsi="Times New Roman"/>
          <w:sz w:val="17"/>
          <w:szCs w:val="17"/>
          <w:color w:val="auto"/>
        </w:rPr>
        <w:t>State/Country of Formation or Domicile:</w:t>
      </w: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43180</wp:posOffset>
            </wp:positionV>
            <wp:extent cx="244284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1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in which Shares are to be registered (if different):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Date: ________, 2020</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 EIN:</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Address-Street: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Mailing Address-Street (if different):</w:t>
            </w: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 State, Zip:</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City, State, Zip:</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Attn:</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Attn:</w:t>
            </w:r>
          </w:p>
        </w:tc>
      </w:tr>
      <w:tr>
        <w:trPr>
          <w:trHeight w:val="40"/>
        </w:trPr>
        <w:tc>
          <w:tcPr>
            <w:tcW w:w="800" w:type="dxa"/>
            <w:vAlign w:val="bottom"/>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48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Telephone No.:</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Telephone No.:</w:t>
            </w: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Facsimile No.:</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Facsimile No.:</w:t>
            </w:r>
          </w:p>
        </w:tc>
      </w:tr>
      <w:tr>
        <w:trPr>
          <w:trHeight w:val="56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subscribed for:</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54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Subscription Amount:$</w:t>
            </w:r>
          </w:p>
        </w:tc>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Price Per Share: $10</w:t>
            </w:r>
          </w:p>
        </w:tc>
      </w:tr>
    </w:tbl>
    <w:p>
      <w:pPr>
        <w:spacing w:after="0" w:line="19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must pay the Subscription Amount by wire transfer of United States dollars in immediately available funds to the account specified by FSD in the Closing Notice.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3" w:name="page534"/>
    <w:bookmarkEnd w:id="53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IN WITNESS WHEREOF, FSD has accepted this Subscription Agreement as of the date set forth below.</w:t>
      </w:r>
    </w:p>
    <w:p>
      <w:pPr>
        <w:spacing w:after="0" w:line="2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43180</wp:posOffset>
            </wp:positionV>
            <wp:extent cx="18084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w:t>
      </w:r>
    </w:p>
    <w:p>
      <w:pPr>
        <w:spacing w:after="0" w:line="360"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4" w:name="page535"/>
    <w:bookmarkEnd w:id="534"/>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THE INVESTOR</w:t>
      </w:r>
    </w:p>
    <w:p>
      <w:pPr>
        <w:spacing w:after="0" w:line="148" w:lineRule="exact"/>
        <w:rPr>
          <w:sz w:val="20"/>
          <w:szCs w:val="20"/>
          <w:color w:val="auto"/>
        </w:rPr>
      </w:pPr>
    </w:p>
    <w:p>
      <w:pPr>
        <w:ind w:left="880" w:right="4439" w:hanging="426"/>
        <w:spacing w:after="0" w:line="312" w:lineRule="auto"/>
        <w:tabs>
          <w:tab w:leader="none" w:pos="848" w:val="left"/>
        </w:tabs>
        <w:numPr>
          <w:ilvl w:val="0"/>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QUALIFIED INSTITUTIONAL BUYER STATUS (Please check the applicable subparagraphs):</w:t>
      </w:r>
    </w:p>
    <w:p>
      <w:pPr>
        <w:spacing w:after="0" w:line="72" w:lineRule="exact"/>
        <w:rPr>
          <w:rFonts w:ascii="Times New Roman" w:cs="Times New Roman" w:eastAsia="Times New Roman" w:hAnsi="Times New Roman"/>
          <w:sz w:val="17"/>
          <w:szCs w:val="17"/>
          <w:color w:val="auto"/>
        </w:rPr>
      </w:pPr>
    </w:p>
    <w:p>
      <w:pPr>
        <w:ind w:left="1020" w:hanging="134"/>
        <w:spacing w:after="0"/>
        <w:tabs>
          <w:tab w:leader="none" w:pos="1020" w:val="left"/>
        </w:tabs>
        <w:numPr>
          <w:ilvl w:val="1"/>
          <w:numId w:val="522"/>
        </w:numPr>
        <w:rPr>
          <w:rFonts w:ascii="Arial" w:cs="Arial" w:eastAsia="Arial" w:hAnsi="Arial"/>
          <w:sz w:val="18"/>
          <w:szCs w:val="18"/>
          <w:color w:val="auto"/>
        </w:rPr>
      </w:pPr>
      <w:r>
        <w:rPr>
          <w:rFonts w:ascii="Times New Roman" w:cs="Times New Roman" w:eastAsia="Times New Roman" w:hAnsi="Times New Roman"/>
          <w:sz w:val="18"/>
          <w:szCs w:val="18"/>
          <w:color w:val="auto"/>
        </w:rPr>
        <w:t>We are a “qualified institutional buyer” (as defined in Rule 144A under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156" w:lineRule="exact"/>
        <w:rPr>
          <w:rFonts w:ascii="Arial" w:cs="Arial" w:eastAsia="Arial" w:hAnsi="Arial"/>
          <w:sz w:val="18"/>
          <w:szCs w:val="18"/>
          <w:color w:val="auto"/>
        </w:rPr>
      </w:pPr>
    </w:p>
    <w:p>
      <w:pPr>
        <w:ind w:left="840" w:hanging="386"/>
        <w:spacing w:after="0"/>
        <w:tabs>
          <w:tab w:leader="none" w:pos="84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ACCREDITED INVESTOR STATUS</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21" w:lineRule="exact"/>
        <w:rPr>
          <w:sz w:val="20"/>
          <w:szCs w:val="20"/>
          <w:color w:val="auto"/>
        </w:rPr>
      </w:pPr>
    </w:p>
    <w:p>
      <w:pPr>
        <w:jc w:val="both"/>
        <w:ind w:left="1320" w:right="459" w:hanging="434"/>
        <w:spacing w:after="0" w:line="262" w:lineRule="auto"/>
        <w:tabs>
          <w:tab w:leader="none" w:pos="1275" w:val="left"/>
        </w:tabs>
        <w:numPr>
          <w:ilvl w:val="0"/>
          <w:numId w:val="52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We are an “accredited investor” within the meaning of Rule 501(a) under the Securities Act or an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106" w:lineRule="exact"/>
        <w:rPr>
          <w:rFonts w:ascii="Times New Roman" w:cs="Times New Roman" w:eastAsia="Times New Roman" w:hAnsi="Times New Roman"/>
          <w:sz w:val="18"/>
          <w:szCs w:val="18"/>
          <w:color w:val="auto"/>
        </w:rPr>
      </w:pPr>
    </w:p>
    <w:p>
      <w:pPr>
        <w:ind w:left="1240" w:hanging="354"/>
        <w:spacing w:after="0"/>
        <w:tabs>
          <w:tab w:leader="none" w:pos="1240" w:val="left"/>
        </w:tabs>
        <w:numPr>
          <w:ilvl w:val="0"/>
          <w:numId w:val="52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We are not a natural person.</w:t>
      </w:r>
    </w:p>
    <w:p>
      <w:pPr>
        <w:spacing w:after="0" w:line="161" w:lineRule="exact"/>
        <w:rPr>
          <w:sz w:val="20"/>
          <w:szCs w:val="20"/>
          <w:color w:val="auto"/>
        </w:rPr>
      </w:pPr>
    </w:p>
    <w:p>
      <w:pPr>
        <w:ind w:left="460" w:right="61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02" w:lineRule="exact"/>
        <w:rPr>
          <w:sz w:val="20"/>
          <w:szCs w:val="20"/>
          <w:color w:val="auto"/>
        </w:rPr>
      </w:pPr>
    </w:p>
    <w:p>
      <w:pPr>
        <w:ind w:left="1320" w:right="479" w:hanging="2"/>
        <w:spacing w:after="0" w:line="281" w:lineRule="auto"/>
        <w:tabs>
          <w:tab w:leader="none" w:pos="1505" w:val="left"/>
        </w:tabs>
        <w:numPr>
          <w:ilvl w:val="1"/>
          <w:numId w:val="524"/>
        </w:numPr>
        <w:rPr>
          <w:rFonts w:ascii="Arial" w:cs="Arial" w:eastAsia="Arial" w:hAnsi="Arial"/>
          <w:sz w:val="18"/>
          <w:szCs w:val="18"/>
          <w:color w:val="auto"/>
        </w:rPr>
      </w:pPr>
      <w:r>
        <w:rPr>
          <w:rFonts w:ascii="Times New Roman" w:cs="Times New Roman" w:eastAsia="Times New Roman" w:hAnsi="Times New Roman"/>
          <w:sz w:val="18"/>
          <w:szCs w:val="18"/>
          <w:color w:val="auto"/>
        </w:rPr>
        <w:t>Any bank, registered broker or dealer, insurance company, registered investment company, business development company, or small business investment company;</w:t>
      </w:r>
    </w:p>
    <w:p>
      <w:pPr>
        <w:spacing w:after="0" w:line="94" w:lineRule="exact"/>
        <w:rPr>
          <w:rFonts w:ascii="Arial" w:cs="Arial" w:eastAsia="Arial" w:hAnsi="Arial"/>
          <w:sz w:val="18"/>
          <w:szCs w:val="18"/>
          <w:color w:val="auto"/>
        </w:rPr>
      </w:pPr>
    </w:p>
    <w:p>
      <w:pPr>
        <w:jc w:val="both"/>
        <w:ind w:left="1320" w:right="459" w:hanging="2"/>
        <w:spacing w:after="0" w:line="265" w:lineRule="auto"/>
        <w:tabs>
          <w:tab w:leader="none" w:pos="1494" w:val="left"/>
        </w:tabs>
        <w:numPr>
          <w:ilvl w:val="1"/>
          <w:numId w:val="524"/>
        </w:numPr>
        <w:rPr>
          <w:rFonts w:ascii="Arial" w:cs="Arial" w:eastAsia="Arial" w:hAnsi="Arial"/>
          <w:sz w:val="18"/>
          <w:szCs w:val="18"/>
          <w:color w:val="auto"/>
        </w:rPr>
      </w:pPr>
      <w:r>
        <w:rPr>
          <w:rFonts w:ascii="Times New Roman" w:cs="Times New Roman" w:eastAsia="Times New Roman" w:hAnsi="Times New Roman"/>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09" w:lineRule="exact"/>
        <w:rPr>
          <w:rFonts w:ascii="Arial" w:cs="Arial" w:eastAsia="Arial" w:hAnsi="Arial"/>
          <w:sz w:val="18"/>
          <w:szCs w:val="18"/>
          <w:color w:val="auto"/>
        </w:rPr>
      </w:pPr>
    </w:p>
    <w:p>
      <w:pPr>
        <w:jc w:val="both"/>
        <w:ind w:left="1320" w:right="459" w:hanging="2"/>
        <w:spacing w:after="0" w:line="265" w:lineRule="auto"/>
        <w:tabs>
          <w:tab w:leader="none" w:pos="1459" w:val="left"/>
        </w:tabs>
        <w:numPr>
          <w:ilvl w:val="1"/>
          <w:numId w:val="524"/>
        </w:numPr>
        <w:rPr>
          <w:rFonts w:ascii="Arial" w:cs="Arial" w:eastAsia="Arial" w:hAnsi="Arial"/>
          <w:sz w:val="18"/>
          <w:szCs w:val="18"/>
          <w:color w:val="auto"/>
        </w:rPr>
      </w:pPr>
      <w:r>
        <w:rPr>
          <w:rFonts w:ascii="Times New Roman" w:cs="Times New Roman" w:eastAsia="Times New Roman" w:hAnsi="Times New Roman"/>
          <w:sz w:val="18"/>
          <w:szCs w:val="18"/>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96" w:lineRule="exact"/>
        <w:rPr>
          <w:rFonts w:ascii="Arial" w:cs="Arial" w:eastAsia="Arial" w:hAnsi="Arial"/>
          <w:sz w:val="18"/>
          <w:szCs w:val="18"/>
          <w:color w:val="auto"/>
        </w:rPr>
      </w:pPr>
    </w:p>
    <w:p>
      <w:pPr>
        <w:jc w:val="both"/>
        <w:ind w:left="1320" w:right="479" w:hanging="2"/>
        <w:spacing w:after="0" w:line="265" w:lineRule="auto"/>
        <w:tabs>
          <w:tab w:leader="none" w:pos="1496" w:val="left"/>
        </w:tabs>
        <w:numPr>
          <w:ilvl w:val="1"/>
          <w:numId w:val="524"/>
        </w:numPr>
        <w:rPr>
          <w:rFonts w:ascii="Arial" w:cs="Arial" w:eastAsia="Arial" w:hAnsi="Arial"/>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similar business trust, or partnership, not formed for the specific purpose of acquiring the securities offered, with total assets in excess of $5,000,000;</w:t>
      </w:r>
    </w:p>
    <w:p>
      <w:pPr>
        <w:spacing w:after="0" w:line="109" w:lineRule="exact"/>
        <w:rPr>
          <w:rFonts w:ascii="Arial" w:cs="Arial" w:eastAsia="Arial" w:hAnsi="Arial"/>
          <w:sz w:val="18"/>
          <w:szCs w:val="18"/>
          <w:color w:val="auto"/>
        </w:rPr>
      </w:pPr>
    </w:p>
    <w:p>
      <w:pPr>
        <w:ind w:left="1320" w:right="479" w:hanging="2"/>
        <w:spacing w:after="0" w:line="281" w:lineRule="auto"/>
        <w:tabs>
          <w:tab w:leader="none" w:pos="1461" w:val="left"/>
        </w:tabs>
        <w:numPr>
          <w:ilvl w:val="1"/>
          <w:numId w:val="524"/>
        </w:numPr>
        <w:rPr>
          <w:rFonts w:ascii="Arial" w:cs="Arial" w:eastAsia="Arial" w:hAnsi="Arial"/>
          <w:sz w:val="18"/>
          <w:szCs w:val="18"/>
          <w:color w:val="auto"/>
        </w:rPr>
      </w:pPr>
      <w:r>
        <w:rPr>
          <w:rFonts w:ascii="Times New Roman" w:cs="Times New Roman" w:eastAsia="Times New Roman" w:hAnsi="Times New Roman"/>
          <w:sz w:val="18"/>
          <w:szCs w:val="18"/>
          <w:color w:val="auto"/>
        </w:rPr>
        <w:t>Any trust with assets in excess of $5,000,000, not formed to acquire the securities offered, whose purchase is directed by a sophisticated person; or</w:t>
      </w:r>
    </w:p>
    <w:p>
      <w:pPr>
        <w:spacing w:after="0" w:line="94" w:lineRule="exact"/>
        <w:rPr>
          <w:rFonts w:ascii="Arial" w:cs="Arial" w:eastAsia="Arial" w:hAnsi="Arial"/>
          <w:sz w:val="18"/>
          <w:szCs w:val="18"/>
          <w:color w:val="auto"/>
        </w:rPr>
      </w:pPr>
    </w:p>
    <w:p>
      <w:pPr>
        <w:ind w:left="1320" w:right="479" w:hanging="2"/>
        <w:spacing w:after="0" w:line="281" w:lineRule="auto"/>
        <w:tabs>
          <w:tab w:leader="none" w:pos="1465" w:val="left"/>
        </w:tabs>
        <w:numPr>
          <w:ilvl w:val="1"/>
          <w:numId w:val="524"/>
        </w:numPr>
        <w:rPr>
          <w:rFonts w:ascii="Arial" w:cs="Arial" w:eastAsia="Arial" w:hAnsi="Arial"/>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81" w:lineRule="exact"/>
        <w:rPr>
          <w:rFonts w:ascii="Arial" w:cs="Arial" w:eastAsia="Arial" w:hAnsi="Arial"/>
          <w:sz w:val="18"/>
          <w:szCs w:val="18"/>
          <w:color w:val="auto"/>
        </w:rPr>
      </w:pPr>
    </w:p>
    <w:p>
      <w:pPr>
        <w:ind w:left="840" w:hanging="386"/>
        <w:spacing w:after="0"/>
        <w:tabs>
          <w:tab w:leader="none" w:pos="84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ACCOUNTS STATUS</w:t>
      </w:r>
    </w:p>
    <w:p>
      <w:pPr>
        <w:spacing w:after="0" w:line="157" w:lineRule="exact"/>
        <w:rPr>
          <w:rFonts w:ascii="Times New Roman" w:cs="Times New Roman" w:eastAsia="Times New Roman" w:hAnsi="Times New Roman"/>
          <w:sz w:val="18"/>
          <w:szCs w:val="18"/>
          <w:color w:val="auto"/>
        </w:rPr>
      </w:pPr>
    </w:p>
    <w:p>
      <w:pPr>
        <w:ind w:left="1460" w:hanging="142"/>
        <w:spacing w:after="0"/>
        <w:tabs>
          <w:tab w:leader="none" w:pos="1460" w:val="left"/>
        </w:tabs>
        <w:numPr>
          <w:ilvl w:val="1"/>
          <w:numId w:val="524"/>
        </w:numPr>
        <w:rPr>
          <w:rFonts w:ascii="Arial" w:cs="Arial" w:eastAsia="Arial" w:hAnsi="Arial"/>
          <w:sz w:val="18"/>
          <w:szCs w:val="18"/>
          <w:color w:val="auto"/>
        </w:rPr>
      </w:pPr>
      <w:r>
        <w:rPr>
          <w:rFonts w:ascii="Times New Roman" w:cs="Times New Roman" w:eastAsia="Times New Roman" w:hAnsi="Times New Roman"/>
          <w:sz w:val="18"/>
          <w:szCs w:val="18"/>
          <w:color w:val="auto"/>
        </w:rPr>
        <w:t>We are an “institutional account” (as defined in FINRA RULE 4512(c)).</w:t>
      </w:r>
    </w:p>
    <w:p>
      <w:pPr>
        <w:spacing w:after="0" w:line="156" w:lineRule="exact"/>
        <w:rPr>
          <w:rFonts w:ascii="Arial" w:cs="Arial" w:eastAsia="Arial" w:hAnsi="Arial"/>
          <w:sz w:val="18"/>
          <w:szCs w:val="18"/>
          <w:color w:val="auto"/>
        </w:rPr>
      </w:pPr>
    </w:p>
    <w:p>
      <w:pPr>
        <w:ind w:left="840" w:hanging="386"/>
        <w:spacing w:after="0"/>
        <w:tabs>
          <w:tab w:leader="none" w:pos="84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53" w:lineRule="exact"/>
        <w:rPr>
          <w:sz w:val="20"/>
          <w:szCs w:val="20"/>
          <w:color w:val="auto"/>
        </w:rPr>
      </w:pPr>
    </w:p>
    <w:p>
      <w:pPr>
        <w:jc w:val="both"/>
        <w:ind w:left="1320" w:right="459" w:hanging="434"/>
        <w:spacing w:after="0" w:line="262" w:lineRule="auto"/>
        <w:tabs>
          <w:tab w:leader="none" w:pos="1315" w:val="left"/>
        </w:tabs>
        <w:numPr>
          <w:ilvl w:val="0"/>
          <w:numId w:val="52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I am an “accredited investor” within the meaning of Rule 501(a) under the Securities Act or an</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entity in which all of the equity holders are accredited investors within the meaning of Rule 501(a) under the Securities Act, and have marked and initialed the appropriate box below indicating the provision under which we qualify as an “accredited investor.”</w:t>
      </w:r>
    </w:p>
    <w:p>
      <w:pPr>
        <w:spacing w:after="0" w:line="93" w:lineRule="exact"/>
        <w:rPr>
          <w:rFonts w:ascii="Times New Roman" w:cs="Times New Roman" w:eastAsia="Times New Roman" w:hAnsi="Times New Roman"/>
          <w:sz w:val="18"/>
          <w:szCs w:val="18"/>
          <w:color w:val="auto"/>
        </w:rPr>
      </w:pPr>
    </w:p>
    <w:p>
      <w:pPr>
        <w:ind w:left="1240" w:hanging="354"/>
        <w:spacing w:after="0"/>
        <w:tabs>
          <w:tab w:leader="none" w:pos="1240" w:val="left"/>
        </w:tabs>
        <w:numPr>
          <w:ilvl w:val="0"/>
          <w:numId w:val="52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I am a natural person.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5" w:name="page536"/>
    <w:bookmarkEnd w:id="535"/>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ind w:left="460" w:right="619"/>
        <w:spacing w:after="0" w:line="258"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16" w:lineRule="exact"/>
        <w:rPr>
          <w:sz w:val="20"/>
          <w:szCs w:val="20"/>
          <w:color w:val="auto"/>
        </w:rPr>
      </w:pPr>
    </w:p>
    <w:p>
      <w:pPr>
        <w:ind w:left="1320" w:right="479" w:hanging="2"/>
        <w:spacing w:after="0" w:line="281" w:lineRule="auto"/>
        <w:tabs>
          <w:tab w:leader="none" w:pos="1469" w:val="left"/>
        </w:tabs>
        <w:numPr>
          <w:ilvl w:val="0"/>
          <w:numId w:val="526"/>
        </w:numPr>
        <w:rPr>
          <w:rFonts w:ascii="Arial" w:cs="Arial" w:eastAsia="Arial" w:hAnsi="Arial"/>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94" w:lineRule="exact"/>
        <w:rPr>
          <w:rFonts w:ascii="Arial" w:cs="Arial" w:eastAsia="Arial" w:hAnsi="Arial"/>
          <w:sz w:val="18"/>
          <w:szCs w:val="18"/>
          <w:color w:val="auto"/>
        </w:rPr>
      </w:pPr>
    </w:p>
    <w:p>
      <w:pPr>
        <w:jc w:val="both"/>
        <w:ind w:left="1320" w:right="459" w:hanging="2"/>
        <w:spacing w:after="0" w:line="260" w:lineRule="auto"/>
        <w:tabs>
          <w:tab w:leader="none" w:pos="1456" w:val="left"/>
        </w:tabs>
        <w:numPr>
          <w:ilvl w:val="0"/>
          <w:numId w:val="526"/>
        </w:numPr>
        <w:rPr>
          <w:rFonts w:ascii="Arial" w:cs="Arial" w:eastAsia="Arial" w:hAnsi="Arial"/>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at the time of his purchase exceeds $1,000,000. For purposes of calculating a natural person’s net worth:</w:t>
      </w:r>
    </w:p>
    <w:p>
      <w:pPr>
        <w:spacing w:after="0" w:line="1" w:lineRule="exact"/>
        <w:rPr>
          <w:rFonts w:ascii="Arial" w:cs="Arial" w:eastAsia="Arial" w:hAnsi="Arial"/>
          <w:sz w:val="18"/>
          <w:szCs w:val="18"/>
          <w:color w:val="auto"/>
        </w:rPr>
      </w:pPr>
    </w:p>
    <w:p>
      <w:pPr>
        <w:jc w:val="both"/>
        <w:ind w:left="1320" w:right="459"/>
        <w:spacing w:after="0" w:line="250" w:lineRule="auto"/>
        <w:rPr>
          <w:rFonts w:ascii="Arial" w:cs="Arial" w:eastAsia="Arial" w:hAnsi="Arial"/>
          <w:sz w:val="18"/>
          <w:szCs w:val="18"/>
          <w:color w:val="auto"/>
        </w:rPr>
      </w:pPr>
      <w:r>
        <w:rPr>
          <w:rFonts w:ascii="Times New Roman" w:cs="Times New Roman" w:eastAsia="Times New Roman" w:hAnsi="Times New Roman"/>
          <w:sz w:val="18"/>
          <w:szCs w:val="18"/>
          <w:color w:val="auto"/>
        </w:rPr>
        <w:t>(a)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w:t>
      </w:r>
    </w:p>
    <w:p>
      <w:pPr>
        <w:spacing w:after="0" w:line="1" w:lineRule="exact"/>
        <w:rPr>
          <w:rFonts w:ascii="Arial" w:cs="Arial" w:eastAsia="Arial" w:hAnsi="Arial"/>
          <w:sz w:val="18"/>
          <w:szCs w:val="18"/>
          <w:color w:val="auto"/>
        </w:rPr>
      </w:pPr>
    </w:p>
    <w:p>
      <w:pPr>
        <w:ind w:left="1320" w:right="459"/>
        <w:spacing w:after="0" w:line="260" w:lineRule="auto"/>
        <w:rPr>
          <w:rFonts w:ascii="Arial" w:cs="Arial" w:eastAsia="Arial" w:hAnsi="Arial"/>
          <w:sz w:val="18"/>
          <w:szCs w:val="18"/>
          <w:color w:val="auto"/>
        </w:rPr>
      </w:pPr>
      <w:r>
        <w:rPr>
          <w:rFonts w:ascii="Times New Roman" w:cs="Times New Roman" w:eastAsia="Times New Roman" w:hAnsi="Times New Roman"/>
          <w:sz w:val="18"/>
          <w:szCs w:val="18"/>
          <w:color w:val="auto"/>
        </w:rPr>
        <w:t>(c) indebtedness that is secured by the person’s primary residence in excess of the estimated fair market value of the residence must be included as a liability; or</w:t>
      </w:r>
    </w:p>
    <w:p>
      <w:pPr>
        <w:spacing w:after="0" w:line="100" w:lineRule="exact"/>
        <w:rPr>
          <w:rFonts w:ascii="Arial" w:cs="Arial" w:eastAsia="Arial" w:hAnsi="Arial"/>
          <w:sz w:val="18"/>
          <w:szCs w:val="18"/>
          <w:color w:val="auto"/>
        </w:rPr>
      </w:pPr>
    </w:p>
    <w:p>
      <w:pPr>
        <w:jc w:val="both"/>
        <w:ind w:left="1320" w:right="459" w:hanging="2"/>
        <w:spacing w:after="0" w:line="265" w:lineRule="auto"/>
        <w:tabs>
          <w:tab w:leader="none" w:pos="1463" w:val="left"/>
        </w:tabs>
        <w:numPr>
          <w:ilvl w:val="0"/>
          <w:numId w:val="526"/>
        </w:numPr>
        <w:rPr>
          <w:rFonts w:ascii="Arial" w:cs="Arial" w:eastAsia="Arial" w:hAnsi="Arial"/>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the Investor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6" w:name="page537"/>
    <w:bookmarkEnd w:id="536"/>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Our Current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158" w:lineRule="exact"/>
        <w:rPr>
          <w:sz w:val="20"/>
          <w:szCs w:val="20"/>
          <w:color w:val="auto"/>
        </w:rPr>
      </w:pPr>
    </w:p>
    <w:p>
      <w:pPr>
        <w:jc w:val="both"/>
        <w:ind w:left="1320" w:right="459" w:hanging="434"/>
        <w:spacing w:after="0" w:line="252" w:lineRule="auto"/>
        <w:tabs>
          <w:tab w:leader="none" w:pos="1311"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282"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29"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33"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273"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2" w:lineRule="exact"/>
        <w:rPr>
          <w:rFonts w:ascii="Times New Roman" w:cs="Times New Roman" w:eastAsia="Times New Roman" w:hAnsi="Times New Roman"/>
          <w:sz w:val="18"/>
          <w:szCs w:val="18"/>
          <w:color w:val="auto"/>
        </w:rPr>
      </w:pPr>
    </w:p>
    <w:p>
      <w:pPr>
        <w:jc w:val="both"/>
        <w:ind w:left="1320" w:right="479" w:hanging="2"/>
        <w:spacing w:after="0" w:line="250" w:lineRule="auto"/>
        <w:tabs>
          <w:tab w:leader="none" w:pos="1589"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w:t>
      </w:r>
    </w:p>
    <w:p>
      <w:pPr>
        <w:spacing w:after="0" w:line="1" w:lineRule="exact"/>
        <w:rPr>
          <w:rFonts w:ascii="Times New Roman" w:cs="Times New Roman" w:eastAsia="Times New Roman" w:hAnsi="Times New Roman"/>
          <w:sz w:val="18"/>
          <w:szCs w:val="18"/>
          <w:color w:val="auto"/>
        </w:rPr>
      </w:pPr>
    </w:p>
    <w:p>
      <w:pPr>
        <w:ind w:left="132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if there are no such directors, or if such directors so direct, by independent legal counsel in a written opinion, or (4) by the stockholders.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7" w:name="page538"/>
    <w:bookmarkEnd w:id="537"/>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1320" w:right="459" w:hanging="434"/>
        <w:spacing w:after="0" w:line="254" w:lineRule="auto"/>
        <w:tabs>
          <w:tab w:leader="none" w:pos="1463"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7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00"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83"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24"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2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7"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89"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8" w:name="page539"/>
    <w:bookmarkEnd w:id="538"/>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accordance with Section 102(b)(7) of the DGCL, our Current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Current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Current Charter, the liability of our directors to us or our stockholders will be eliminated or limited to the fullest extent authorized by the DGCL, as so amended. Any repeal or amendment of provisions of our Current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Our Current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2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Notwithstanding the foregoing, a person eligible for indemnification pursuant to our Current Charter will be indemnified by us in connection with a proceeding initiated by such person only if such proceeding was authorized by our board of directors, except for proceedings to enforce rights to indemnification.</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right to indemnification which will be conferred by our Current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Current Charter or otherwise.</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Current Charter may have or hereafter acquire under law, our Current Charter, our Current By-laws, an agreement, vote of stockholders or disinterested directors, or otherwise.</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Any repeal or amendment of provisions of our Current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Current Charter also permits us, to the extent and in the manner authorized or permitted by law, to indemnify and to advance expenses to persons other that those specifically covered by our Current Charter.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39" w:name="page540"/>
    <w:bookmarkEnd w:id="539"/>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Our Current By-laws include the provisions relating to advancement of expenses and indemnification rights consistent with those which are set forth in our Current Charter. In addition, our Current By-laws provide for a right of indemnity to bring a suit in the event a claim for indemnification or advancement of expenses is not paid in full by us within a specified period of time. Our Current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repeal or amendment of provisions of our Current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officers and directors a form that was filed as Exhibit 10.5 of our Registration Statement on Form S-1, filed with the SEC on April 16, 2020.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40" w:name="page541"/>
    <w:bookmarkEnd w:id="540"/>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46"/>
        </w:trPr>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100" w:type="dxa"/>
            <w:vAlign w:val="bottom"/>
            <w:gridSpan w:val="14"/>
            <w:shd w:val="clear" w:color="auto" w:fill="CCEEFF"/>
          </w:tcPr>
          <w:p>
            <w:pPr>
              <w:spacing w:after="0" w:line="169" w:lineRule="exact"/>
              <w:rPr>
                <w:rFonts w:ascii="Times New Roman" w:cs="Times New Roman" w:eastAsia="Times New Roman" w:hAnsi="Times New Roman"/>
                <w:sz w:val="18"/>
                <w:szCs w:val="18"/>
                <w:color w:val="0000EE"/>
              </w:rPr>
            </w:pPr>
            <w:hyperlink w:anchor="page299">
              <w:r>
                <w:rPr>
                  <w:rFonts w:ascii="Times New Roman" w:cs="Times New Roman" w:eastAsia="Times New Roman" w:hAnsi="Times New Roman"/>
                  <w:sz w:val="18"/>
                  <w:szCs w:val="18"/>
                  <w:color w:val="0000EE"/>
                </w:rPr>
                <w:t>Merger Agreement, dated as of October 15, 2020, by and between FS Development Corp., FSG</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299">
              <w:r>
                <w:rPr>
                  <w:rFonts w:ascii="Times New Roman" w:cs="Times New Roman" w:eastAsia="Times New Roman" w:hAnsi="Times New Roman"/>
                  <w:sz w:val="18"/>
                  <w:szCs w:val="18"/>
                  <w:color w:val="0000EE"/>
                </w:rPr>
                <w:t>Merger Sub Inc., Gemini Therapeutics, Inc. and Shareholder Representative Services, LLC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299">
              <w:r>
                <w:rPr>
                  <w:rFonts w:ascii="Times New Roman" w:cs="Times New Roman" w:eastAsia="Times New Roman" w:hAnsi="Times New Roman"/>
                  <w:sz w:val="18"/>
                  <w:szCs w:val="18"/>
                  <w:color w:val="0000EE"/>
                </w:rPr>
                <w:t>(included as Annex A to the proxy statement/prospectus forming a part of this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120" w:type="dxa"/>
            <w:vAlign w:val="bottom"/>
            <w:gridSpan w:val="15"/>
            <w:shd w:val="clear" w:color="auto" w:fill="CCEEFF"/>
          </w:tcPr>
          <w:p>
            <w:pPr>
              <w:spacing w:after="0" w:line="196" w:lineRule="exact"/>
              <w:rPr>
                <w:rFonts w:ascii="Times New Roman" w:cs="Times New Roman" w:eastAsia="Times New Roman" w:hAnsi="Times New Roman"/>
                <w:sz w:val="18"/>
                <w:szCs w:val="18"/>
                <w:color w:val="0000EE"/>
              </w:rPr>
            </w:pPr>
            <w:hyperlink w:anchor="page299">
              <w:r>
                <w:rPr>
                  <w:rFonts w:ascii="Times New Roman" w:cs="Times New Roman" w:eastAsia="Times New Roman" w:hAnsi="Times New Roman"/>
                  <w:sz w:val="18"/>
                  <w:szCs w:val="18"/>
                  <w:color w:val="0000EE"/>
                </w:rPr>
                <w:t>statement).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46">
              <w:r>
                <w:rPr>
                  <w:rFonts w:ascii="Times New Roman" w:cs="Times New Roman" w:eastAsia="Times New Roman" w:hAnsi="Times New Roman"/>
                  <w:sz w:val="18"/>
                  <w:szCs w:val="18"/>
                  <w:color w:val="0000EE"/>
                </w:rPr>
                <w:t>Amended and Restated Certificate of Incorporation of FS Development Corp.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46">
              <w:r>
                <w:rPr>
                  <w:rFonts w:ascii="Times New Roman" w:cs="Times New Roman" w:eastAsia="Times New Roman" w:hAnsi="Times New Roman"/>
                  <w:sz w:val="18"/>
                  <w:szCs w:val="18"/>
                  <w:color w:val="0000EE"/>
                </w:rPr>
                <w:t>reference to Exhibit 3.1 of FS Development Corp.’s Form 8-K, filed with the SEC on August 14,</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00" w:type="dxa"/>
            <w:vAlign w:val="bottom"/>
            <w:gridSpan w:val="4"/>
          </w:tcPr>
          <w:p>
            <w:pPr>
              <w:ind w:left="100"/>
              <w:spacing w:after="0" w:line="196" w:lineRule="exact"/>
              <w:rPr>
                <w:rFonts w:ascii="Times New Roman" w:cs="Times New Roman" w:eastAsia="Times New Roman" w:hAnsi="Times New Roman"/>
                <w:sz w:val="18"/>
                <w:szCs w:val="18"/>
                <w:color w:val="0000EE"/>
              </w:rPr>
            </w:pPr>
            <w:hyperlink r:id="rId646">
              <w:r>
                <w:rPr>
                  <w:rFonts w:ascii="Times New Roman" w:cs="Times New Roman" w:eastAsia="Times New Roman" w:hAnsi="Times New Roman"/>
                  <w:sz w:val="18"/>
                  <w:szCs w:val="18"/>
                  <w:color w:val="0000EE"/>
                </w:rPr>
                <w:t>2020).</w:t>
              </w:r>
            </w:hyperlink>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By-laws of FS Development Corp. (incorporated by reference to Exhibit 3.4 of FS Development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647">
              <w:r>
                <w:rPr>
                  <w:rFonts w:ascii="Times New Roman" w:cs="Times New Roman" w:eastAsia="Times New Roman" w:hAnsi="Times New Roman"/>
                  <w:sz w:val="18"/>
                  <w:szCs w:val="18"/>
                  <w:color w:val="0000EE"/>
                </w:rPr>
                <w:t>Corp.’s Form S-1/A, filed with the SEC on August 7, 2020).</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5"/>
                <w:szCs w:val="15"/>
                <w:color w:val="auto"/>
              </w:rPr>
            </w:pPr>
          </w:p>
        </w:tc>
        <w:tc>
          <w:tcPr>
            <w:tcW w:w="7120" w:type="dxa"/>
            <w:vAlign w:val="bottom"/>
            <w:gridSpan w:val="15"/>
          </w:tcPr>
          <w:p>
            <w:pPr>
              <w:spacing w:after="0" w:line="176" w:lineRule="exact"/>
              <w:rPr>
                <w:rFonts w:ascii="Times New Roman" w:cs="Times New Roman" w:eastAsia="Times New Roman" w:hAnsi="Times New Roman"/>
                <w:sz w:val="18"/>
                <w:szCs w:val="18"/>
                <w:color w:val="0000EE"/>
              </w:rPr>
            </w:pPr>
            <w:hyperlink w:anchor="page488">
              <w:r>
                <w:rPr>
                  <w:rFonts w:ascii="Times New Roman" w:cs="Times New Roman" w:eastAsia="Times New Roman" w:hAnsi="Times New Roman"/>
                  <w:sz w:val="18"/>
                  <w:szCs w:val="18"/>
                  <w:color w:val="0000EE"/>
                </w:rPr>
                <w:t>Form of Amended and Restated Certificate of Incorporation (included as Annex B to the proxy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488">
              <w:r>
                <w:rPr>
                  <w:rFonts w:ascii="Times New Roman" w:cs="Times New Roman" w:eastAsia="Times New Roman" w:hAnsi="Times New Roman"/>
                  <w:sz w:val="18"/>
                  <w:szCs w:val="18"/>
                  <w:color w:val="0000EE"/>
                </w:rPr>
                <w:t>statement/prospectus forming a part of this registration statement).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493">
              <w:r>
                <w:rPr>
                  <w:rFonts w:ascii="Times New Roman" w:cs="Times New Roman" w:eastAsia="Times New Roman" w:hAnsi="Times New Roman"/>
                  <w:sz w:val="18"/>
                  <w:szCs w:val="18"/>
                  <w:color w:val="0000EE"/>
                </w:rPr>
                <w:t>Form of Amended and Restated By-laws (included as Annex C to the proxy statement/prospectus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493">
              <w:r>
                <w:rPr>
                  <w:rFonts w:ascii="Times New Roman" w:cs="Times New Roman" w:eastAsia="Times New Roman" w:hAnsi="Times New Roman"/>
                  <w:sz w:val="18"/>
                  <w:szCs w:val="18"/>
                  <w:color w:val="0000EE"/>
                </w:rPr>
                <w:t>forming 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71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Specimen Common Stock Certificate of the Combined Entity.</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7"/>
                <w:szCs w:val="17"/>
                <w:color w:val="auto"/>
              </w:rPr>
            </w:pPr>
          </w:p>
        </w:tc>
        <w:tc>
          <w:tcPr>
            <w:tcW w:w="712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Opinion of White &amp; Case LLP as to the validity of the shares of Common Stock of FS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Corp.</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w:anchor="page509">
              <w:r>
                <w:rPr>
                  <w:rFonts w:ascii="Times New Roman" w:cs="Times New Roman" w:eastAsia="Times New Roman" w:hAnsi="Times New Roman"/>
                  <w:sz w:val="18"/>
                  <w:szCs w:val="18"/>
                  <w:color w:val="0000EE"/>
                </w:rPr>
                <w:t>Form  of  2020  Stock  Option  and  Incentive  Plan  (included  as  Annex  D  to  the  proxy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w:anchor="page509">
              <w:r>
                <w:rPr>
                  <w:rFonts w:ascii="Times New Roman" w:cs="Times New Roman" w:eastAsia="Times New Roman" w:hAnsi="Times New Roman"/>
                  <w:sz w:val="18"/>
                  <w:szCs w:val="18"/>
                  <w:color w:val="0000EE"/>
                </w:rPr>
                <w:t>statement/prospectus forming a part of this registration statement).</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521">
              <w:r>
                <w:rPr>
                  <w:rFonts w:ascii="Times New Roman" w:cs="Times New Roman" w:eastAsia="Times New Roman" w:hAnsi="Times New Roman"/>
                  <w:sz w:val="18"/>
                  <w:szCs w:val="18"/>
                  <w:color w:val="0000EE"/>
                </w:rPr>
                <w:t>Form of Subscription Agreement (included as Annex E to the proxy statement/prospectus forming</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521">
              <w:r>
                <w:rPr>
                  <w:rFonts w:ascii="Times New Roman" w:cs="Times New Roman" w:eastAsia="Times New Roman" w:hAnsi="Times New Roman"/>
                  <w:sz w:val="18"/>
                  <w:szCs w:val="18"/>
                  <w:color w:val="0000EE"/>
                </w:rPr>
                <w:t>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48">
              <w:r>
                <w:rPr>
                  <w:rFonts w:ascii="Times New Roman" w:cs="Times New Roman" w:eastAsia="Times New Roman" w:hAnsi="Times New Roman"/>
                  <w:sz w:val="18"/>
                  <w:szCs w:val="18"/>
                  <w:color w:val="0000EE"/>
                </w:rPr>
                <w:t>Company Support Agreement, dated as of October 15, 2020, by and among FS Development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648">
              <w:r>
                <w:rPr>
                  <w:rFonts w:ascii="Times New Roman" w:cs="Times New Roman" w:eastAsia="Times New Roman" w:hAnsi="Times New Roman"/>
                  <w:sz w:val="18"/>
                  <w:szCs w:val="18"/>
                  <w:color w:val="0000EE"/>
                </w:rPr>
                <w:t>Corp. and certain supporting stockholders of Gemini Therapeutics, Inc. (incorporated by reference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648">
              <w:r>
                <w:rPr>
                  <w:rFonts w:ascii="Times New Roman" w:cs="Times New Roman" w:eastAsia="Times New Roman" w:hAnsi="Times New Roman"/>
                  <w:sz w:val="18"/>
                  <w:szCs w:val="18"/>
                  <w:color w:val="0000EE"/>
                </w:rPr>
                <w:t>to Exhibit 10.3 of FS Development Corp.’s Current Report on Form 8-K/A, filed with the SEC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48">
              <w:r>
                <w:rPr>
                  <w:rFonts w:ascii="Times New Roman" w:cs="Times New Roman" w:eastAsia="Times New Roman" w:hAnsi="Times New Roman"/>
                  <w:sz w:val="18"/>
                  <w:szCs w:val="18"/>
                  <w:color w:val="0000EE"/>
                </w:rPr>
                <w:t>October 20, 2020).</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712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48">
              <w:r>
                <w:rPr>
                  <w:rFonts w:ascii="Times New Roman" w:cs="Times New Roman" w:eastAsia="Times New Roman" w:hAnsi="Times New Roman"/>
                  <w:sz w:val="18"/>
                  <w:szCs w:val="18"/>
                  <w:color w:val="0000EE"/>
                </w:rPr>
                <w:t>FS Development Corp. Support Agreement, dated as of October 15, 2020, by and among FS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48">
              <w:r>
                <w:rPr>
                  <w:rFonts w:ascii="Times New Roman" w:cs="Times New Roman" w:eastAsia="Times New Roman" w:hAnsi="Times New Roman"/>
                  <w:sz w:val="18"/>
                  <w:szCs w:val="18"/>
                  <w:color w:val="0000EE"/>
                </w:rPr>
                <w:t>Development Corp., Gemini Therapeutics, Inc., FS Development Holdings, LLC and certain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12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48">
              <w:r>
                <w:rPr>
                  <w:rFonts w:ascii="Times New Roman" w:cs="Times New Roman" w:eastAsia="Times New Roman" w:hAnsi="Times New Roman"/>
                  <w:sz w:val="18"/>
                  <w:szCs w:val="18"/>
                  <w:color w:val="0000EE"/>
                </w:rPr>
                <w:t>supporting stockholders of FS Development Corp. (incorporated by reference to Exhibit 10.3 of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120" w:type="dxa"/>
            <w:vAlign w:val="bottom"/>
            <w:gridSpan w:val="15"/>
            <w:shd w:val="clear" w:color="auto" w:fill="CCEEFF"/>
          </w:tcPr>
          <w:p>
            <w:pPr>
              <w:spacing w:after="0"/>
              <w:rPr>
                <w:rFonts w:ascii="Times New Roman" w:cs="Times New Roman" w:eastAsia="Times New Roman" w:hAnsi="Times New Roman"/>
                <w:sz w:val="18"/>
                <w:szCs w:val="18"/>
                <w:u w:val="single" w:color="auto"/>
                <w:color w:val="0000EE"/>
              </w:rPr>
            </w:pPr>
            <w:hyperlink r:id="rId648">
              <w:r>
                <w:rPr>
                  <w:rFonts w:ascii="Times New Roman" w:cs="Times New Roman" w:eastAsia="Times New Roman" w:hAnsi="Times New Roman"/>
                  <w:sz w:val="18"/>
                  <w:szCs w:val="18"/>
                  <w:u w:val="single" w:color="auto"/>
                  <w:color w:val="0000EE"/>
                </w:rPr>
                <w:t>FS Development Corp.’s Current Report on Form 8-K/A, filed with the SEC on October 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ind w:left="100"/>
              <w:spacing w:after="0"/>
              <w:rPr>
                <w:rFonts w:ascii="Times New Roman" w:cs="Times New Roman" w:eastAsia="Times New Roman" w:hAnsi="Times New Roman"/>
                <w:sz w:val="18"/>
                <w:szCs w:val="18"/>
                <w:u w:val="single" w:color="auto"/>
                <w:color w:val="0000EE"/>
              </w:rPr>
            </w:pPr>
            <w:hyperlink r:id="rId648">
              <w:r>
                <w:rPr>
                  <w:rFonts w:ascii="Times New Roman" w:cs="Times New Roman" w:eastAsia="Times New Roman" w:hAnsi="Times New Roman"/>
                  <w:sz w:val="18"/>
                  <w:szCs w:val="18"/>
                  <w:u w:val="single" w:color="auto"/>
                  <w:color w:val="0000EE"/>
                </w:rPr>
                <w:t>2020).</w:t>
              </w:r>
            </w:hyperlink>
          </w:p>
        </w:tc>
        <w:tc>
          <w:tcPr>
            <w:tcW w:w="5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7120" w:type="dxa"/>
            <w:vAlign w:val="bottom"/>
            <w:gridSpan w:val="15"/>
          </w:tcPr>
          <w:p>
            <w:pPr>
              <w:spacing w:after="0"/>
              <w:rPr>
                <w:rFonts w:ascii="Times New Roman" w:cs="Times New Roman" w:eastAsia="Times New Roman" w:hAnsi="Times New Roman"/>
                <w:sz w:val="18"/>
                <w:szCs w:val="18"/>
                <w:u w:val="single" w:color="auto"/>
                <w:color w:val="0000EE"/>
              </w:rPr>
            </w:pPr>
            <w:hyperlink r:id="rId649">
              <w:r>
                <w:rPr>
                  <w:rFonts w:ascii="Times New Roman" w:cs="Times New Roman" w:eastAsia="Times New Roman" w:hAnsi="Times New Roman"/>
                  <w:sz w:val="18"/>
                  <w:szCs w:val="18"/>
                  <w:u w:val="single" w:color="auto"/>
                  <w:color w:val="0000EE"/>
                </w:rPr>
                <w:t>Form of Non-Redemption Agreement.</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w:anchor="page521">
              <w:r>
                <w:rPr>
                  <w:rFonts w:ascii="Times New Roman" w:cs="Times New Roman" w:eastAsia="Times New Roman" w:hAnsi="Times New Roman"/>
                  <w:sz w:val="18"/>
                  <w:szCs w:val="18"/>
                  <w:color w:val="0000EE"/>
                </w:rPr>
                <w:t>Form of Subscription Agreement (included as Annex E to the proxy statement/prospectus forming</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w:anchor="page521">
              <w:r>
                <w:rPr>
                  <w:rFonts w:ascii="Times New Roman" w:cs="Times New Roman" w:eastAsia="Times New Roman" w:hAnsi="Times New Roman"/>
                  <w:sz w:val="18"/>
                  <w:szCs w:val="18"/>
                  <w:color w:val="0000EE"/>
                </w:rPr>
                <w:t>part of this registration statement)</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50">
              <w:r>
                <w:rPr>
                  <w:rFonts w:ascii="Times New Roman" w:cs="Times New Roman" w:eastAsia="Times New Roman" w:hAnsi="Times New Roman"/>
                  <w:sz w:val="18"/>
                  <w:szCs w:val="18"/>
                  <w:color w:val="0000EE"/>
                </w:rPr>
                <w:t>Research Collaboration and License Agreement, dated as of April 1, 2017, by and between</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50">
              <w:r>
                <w:rPr>
                  <w:rFonts w:ascii="Times New Roman" w:cs="Times New Roman" w:eastAsia="Times New Roman" w:hAnsi="Times New Roman"/>
                  <w:sz w:val="18"/>
                  <w:szCs w:val="18"/>
                  <w:color w:val="0000EE"/>
                </w:rPr>
                <w:t>Gemini Therapeutics, Inc. and Sanquin Blood Supply Foundation.</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5"/>
                <w:szCs w:val="15"/>
                <w:color w:val="auto"/>
              </w:rPr>
            </w:pPr>
          </w:p>
        </w:tc>
        <w:tc>
          <w:tcPr>
            <w:tcW w:w="712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51">
              <w:r>
                <w:rPr>
                  <w:rFonts w:ascii="Times New Roman" w:cs="Times New Roman" w:eastAsia="Times New Roman" w:hAnsi="Times New Roman"/>
                  <w:sz w:val="18"/>
                  <w:szCs w:val="18"/>
                  <w:color w:val="0000EE"/>
                </w:rPr>
                <w:t>Consent of WithumSmith+Brown, PC, independent registered public accounting firm of FS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10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651">
              <w:r>
                <w:rPr>
                  <w:rFonts w:ascii="Times New Roman" w:cs="Times New Roman" w:eastAsia="Times New Roman" w:hAnsi="Times New Roman"/>
                  <w:sz w:val="18"/>
                  <w:szCs w:val="18"/>
                  <w:color w:val="0000EE"/>
                </w:rPr>
                <w:t>Development Corp.</w:t>
              </w:r>
            </w:hyperlink>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5"/>
                <w:szCs w:val="15"/>
                <w:color w:val="auto"/>
              </w:rPr>
            </w:pPr>
          </w:p>
        </w:tc>
        <w:tc>
          <w:tcPr>
            <w:tcW w:w="7120" w:type="dxa"/>
            <w:vAlign w:val="bottom"/>
            <w:gridSpan w:val="15"/>
          </w:tcPr>
          <w:p>
            <w:pPr>
              <w:spacing w:after="0" w:line="176" w:lineRule="exact"/>
              <w:rPr>
                <w:rFonts w:ascii="Times New Roman" w:cs="Times New Roman" w:eastAsia="Times New Roman" w:hAnsi="Times New Roman"/>
                <w:sz w:val="18"/>
                <w:szCs w:val="18"/>
                <w:color w:val="0000EE"/>
              </w:rPr>
            </w:pPr>
            <w:hyperlink w:anchor="page545">
              <w:r>
                <w:rPr>
                  <w:rFonts w:ascii="Times New Roman" w:cs="Times New Roman" w:eastAsia="Times New Roman" w:hAnsi="Times New Roman"/>
                  <w:sz w:val="18"/>
                  <w:szCs w:val="18"/>
                  <w:color w:val="0000EE"/>
                </w:rPr>
                <w:t>Consent of Ernst &amp; Young LLP, independent registered public accounting firm of Gemini</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545">
              <w:r>
                <w:rPr>
                  <w:rFonts w:ascii="Times New Roman" w:cs="Times New Roman" w:eastAsia="Times New Roman" w:hAnsi="Times New Roman"/>
                  <w:sz w:val="18"/>
                  <w:szCs w:val="18"/>
                  <w:color w:val="0000EE"/>
                </w:rPr>
                <w:t>Therapeutics, Inc.</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7"/>
                <w:szCs w:val="17"/>
                <w:color w:val="auto"/>
              </w:rPr>
            </w:pPr>
          </w:p>
        </w:tc>
        <w:tc>
          <w:tcPr>
            <w:tcW w:w="712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Consent of White &amp; Case LLP (included as part of the opinion filed as Exhibit 5.1 hereto and</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5"/>
                <w:szCs w:val="15"/>
                <w:color w:val="auto"/>
              </w:rPr>
            </w:pPr>
          </w:p>
        </w:tc>
        <w:tc>
          <w:tcPr>
            <w:tcW w:w="7120" w:type="dxa"/>
            <w:vAlign w:val="bottom"/>
            <w:tcBorders>
              <w:bottom w:val="single" w:sz="8" w:color="0000EE"/>
            </w:tcBorders>
            <w:gridSpan w:val="15"/>
          </w:tcPr>
          <w:p>
            <w:pPr>
              <w:spacing w:after="0" w:line="176" w:lineRule="exact"/>
              <w:rPr>
                <w:rFonts w:ascii="Times New Roman" w:cs="Times New Roman" w:eastAsia="Times New Roman" w:hAnsi="Times New Roman"/>
                <w:sz w:val="18"/>
                <w:szCs w:val="18"/>
                <w:color w:val="0000EE"/>
              </w:rPr>
            </w:pPr>
            <w:hyperlink r:id="rId652">
              <w:r>
                <w:rPr>
                  <w:rFonts w:ascii="Times New Roman" w:cs="Times New Roman" w:eastAsia="Times New Roman" w:hAnsi="Times New Roman"/>
                  <w:sz w:val="18"/>
                  <w:szCs w:val="18"/>
                  <w:color w:val="0000EE"/>
                </w:rPr>
                <w:t>Power of Attorney (contained on signature page to the proxy statement/prospectus forming part of</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140" w:type="dxa"/>
            <w:vAlign w:val="bottom"/>
            <w:gridSpan w:val="16"/>
          </w:tcPr>
          <w:p>
            <w:pPr>
              <w:spacing w:after="0" w:line="196" w:lineRule="exact"/>
              <w:rPr>
                <w:rFonts w:ascii="Times New Roman" w:cs="Times New Roman" w:eastAsia="Times New Roman" w:hAnsi="Times New Roman"/>
                <w:sz w:val="18"/>
                <w:szCs w:val="18"/>
                <w:color w:val="0000EE"/>
              </w:rPr>
            </w:pPr>
            <w:hyperlink r:id="rId652">
              <w:r>
                <w:rPr>
                  <w:rFonts w:ascii="Times New Roman" w:cs="Times New Roman" w:eastAsia="Times New Roman" w:hAnsi="Times New Roman"/>
                  <w:sz w:val="18"/>
                  <w:szCs w:val="18"/>
                  <w:color w:val="0000EE"/>
                </w:rPr>
                <w:t>this registration statement).</w:t>
              </w:r>
            </w:hyperlink>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Preliminary Proxy Card.</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1"/>
                <w:szCs w:val="21"/>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1"/>
                <w:szCs w:val="21"/>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Borders>
              <w:bottom w:val="single" w:sz="8" w:color="CCEEFF"/>
            </w:tcBorders>
            <w:shd w:val="clear" w:color="auto" w:fill="CCEEFF"/>
          </w:tcPr>
          <w:p>
            <w:pPr>
              <w:spacing w:after="0"/>
              <w:rPr>
                <w:sz w:val="22"/>
                <w:szCs w:val="22"/>
                <w:color w:val="auto"/>
              </w:rPr>
            </w:pPr>
          </w:p>
        </w:tc>
        <w:tc>
          <w:tcPr>
            <w:tcW w:w="712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1"/>
                <w:szCs w:val="21"/>
                <w:color w:val="auto"/>
              </w:rPr>
            </w:pPr>
          </w:p>
        </w:tc>
        <w:tc>
          <w:tcPr>
            <w:tcW w:w="7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shd w:val="clear" w:color="auto" w:fill="CCEEFF"/>
          </w:tcPr>
          <w:p>
            <w:pPr>
              <w:spacing w:after="0"/>
              <w:rPr>
                <w:sz w:val="21"/>
                <w:szCs w:val="21"/>
                <w:color w:val="auto"/>
              </w:rPr>
            </w:pPr>
          </w:p>
        </w:tc>
        <w:tc>
          <w:tcPr>
            <w:tcW w:w="7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9" w:lineRule="auto"/>
        <w:tabs>
          <w:tab w:leader="none" w:pos="900" w:val="left"/>
        </w:tabs>
        <w:numPr>
          <w:ilvl w:val="0"/>
          <w:numId w:val="5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annexes, schedules, and certain exhibits to the Merger Agreement have been omitted pursuant to Item 601(b)(2) of Regulation S-K. FS Development hereby agrees to furnish supplementally a copy of any omitted annex, schedule</w:t>
      </w:r>
    </w:p>
    <w:p>
      <w:pPr>
        <w:ind w:left="880"/>
        <w:spacing w:after="0"/>
        <w:rPr>
          <w:sz w:val="20"/>
          <w:szCs w:val="20"/>
          <w:color w:val="auto"/>
        </w:rPr>
      </w:pPr>
      <w:r>
        <w:rPr>
          <w:rFonts w:ascii="Times New Roman" w:cs="Times New Roman" w:eastAsia="Times New Roman" w:hAnsi="Times New Roman"/>
          <w:sz w:val="16"/>
          <w:szCs w:val="16"/>
          <w:color w:val="auto"/>
        </w:rPr>
        <w:t>or exhibit to the Commission upon request.</w:t>
      </w:r>
    </w:p>
    <w:p>
      <w:pPr>
        <w:spacing w:after="0" w:line="19" w:lineRule="exact"/>
        <w:rPr>
          <w:sz w:val="20"/>
          <w:szCs w:val="20"/>
          <w:color w:val="auto"/>
        </w:rPr>
      </w:pPr>
    </w:p>
    <w:p>
      <w:pPr>
        <w:ind w:left="860" w:hanging="406"/>
        <w:spacing w:after="0"/>
        <w:tabs>
          <w:tab w:leader="none" w:pos="860" w:val="left"/>
        </w:tabs>
        <w:numPr>
          <w:ilvl w:val="0"/>
          <w:numId w:val="5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18"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5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19" w:lineRule="exact"/>
        <w:rPr>
          <w:sz w:val="20"/>
          <w:szCs w:val="20"/>
          <w:color w:val="auto"/>
        </w:rPr>
      </w:pPr>
    </w:p>
    <w:p>
      <w:pPr>
        <w:ind w:left="860" w:hanging="406"/>
        <w:spacing w:after="0"/>
        <w:tabs>
          <w:tab w:leader="none" w:pos="860" w:val="left"/>
        </w:tabs>
        <w:numPr>
          <w:ilvl w:val="0"/>
          <w:numId w:val="5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w:t>
      </w:r>
    </w:p>
    <w:p>
      <w:pPr>
        <w:sectPr>
          <w:pgSz w:w="11900" w:h="16838" w:orient="portrait"/>
          <w:cols w:equalWidth="0" w:num="1">
            <w:col w:w="9019"/>
          </w:cols>
          <w:pgMar w:left="1440" w:top="269" w:right="1440" w:bottom="1096"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096" w:gutter="0" w:footer="0" w:header="0"/>
          <w:type w:val="continuous"/>
        </w:sectPr>
      </w:pPr>
    </w:p>
    <w:bookmarkStart w:id="541" w:name="page542"/>
    <w:bookmarkEnd w:id="541"/>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48" w:lineRule="exact"/>
        <w:rPr>
          <w:sz w:val="20"/>
          <w:szCs w:val="20"/>
          <w:color w:val="auto"/>
        </w:rPr>
      </w:pPr>
    </w:p>
    <w:p>
      <w:pPr>
        <w:ind w:left="1300" w:hanging="414"/>
        <w:spacing w:after="0"/>
        <w:tabs>
          <w:tab w:leader="none" w:pos="1300"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w:t>
      </w:r>
    </w:p>
    <w:p>
      <w:pPr>
        <w:spacing w:after="0" w:line="157"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26"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2160" w:hanging="410"/>
        <w:spacing w:after="0"/>
        <w:tabs>
          <w:tab w:leader="none" w:pos="2160"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44" w:lineRule="exact"/>
        <w:rPr>
          <w:rFonts w:ascii="Times New Roman" w:cs="Times New Roman" w:eastAsia="Times New Roman" w:hAnsi="Times New Roman"/>
          <w:sz w:val="18"/>
          <w:szCs w:val="18"/>
          <w:color w:val="auto"/>
        </w:rPr>
      </w:pPr>
    </w:p>
    <w:p>
      <w:pPr>
        <w:jc w:val="both"/>
        <w:ind w:left="2180" w:right="459" w:hanging="430"/>
        <w:spacing w:after="0" w:line="253" w:lineRule="auto"/>
        <w:tabs>
          <w:tab w:leader="none" w:pos="2271"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4" w:lineRule="exact"/>
        <w:rPr>
          <w:rFonts w:ascii="Times New Roman" w:cs="Times New Roman" w:eastAsia="Times New Roman" w:hAnsi="Times New Roman"/>
          <w:sz w:val="18"/>
          <w:szCs w:val="18"/>
          <w:color w:val="auto"/>
        </w:rPr>
      </w:pPr>
    </w:p>
    <w:p>
      <w:pPr>
        <w:jc w:val="both"/>
        <w:ind w:left="2180" w:right="479" w:hanging="430"/>
        <w:spacing w:after="0" w:line="266" w:lineRule="auto"/>
        <w:tabs>
          <w:tab w:leader="none" w:pos="2375"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46"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98" w:lineRule="exact"/>
        <w:rPr>
          <w:rFonts w:ascii="Times New Roman" w:cs="Times New Roman" w:eastAsia="Times New Roman" w:hAnsi="Times New Roman"/>
          <w:sz w:val="18"/>
          <w:szCs w:val="18"/>
          <w:color w:val="auto"/>
        </w:rPr>
      </w:pPr>
    </w:p>
    <w:p>
      <w:pPr>
        <w:ind w:left="1760" w:right="459" w:hanging="442"/>
        <w:spacing w:after="0" w:line="282" w:lineRule="auto"/>
        <w:tabs>
          <w:tab w:leader="none" w:pos="1800"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882"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2"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808" w:val="left"/>
        </w:tabs>
        <w:numPr>
          <w:ilvl w:val="1"/>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7"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37"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287" w:val="left"/>
        </w:tabs>
        <w:numPr>
          <w:ilvl w:val="2"/>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42" w:name="page543"/>
    <w:bookmarkEnd w:id="542"/>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144" w:lineRule="exact"/>
        <w:rPr>
          <w:sz w:val="20"/>
          <w:szCs w:val="20"/>
          <w:color w:val="auto"/>
        </w:rPr>
      </w:pPr>
    </w:p>
    <w:p>
      <w:pPr>
        <w:jc w:val="both"/>
        <w:ind w:left="2220" w:right="459" w:hanging="434"/>
        <w:spacing w:after="0" w:line="266" w:lineRule="auto"/>
        <w:tabs>
          <w:tab w:leader="none" w:pos="2328" w:val="left"/>
        </w:tabs>
        <w:numPr>
          <w:ilvl w:val="3"/>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2180" w:right="459" w:hanging="430"/>
        <w:spacing w:after="0" w:line="282" w:lineRule="auto"/>
        <w:tabs>
          <w:tab w:leader="none" w:pos="2330" w:val="left"/>
        </w:tabs>
        <w:numPr>
          <w:ilvl w:val="2"/>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55" w:lineRule="auto"/>
        <w:tabs>
          <w:tab w:leader="none" w:pos="1718"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07" w:lineRule="exact"/>
        <w:rPr>
          <w:rFonts w:ascii="Times New Roman" w:cs="Times New Roman" w:eastAsia="Times New Roman" w:hAnsi="Times New Roman"/>
          <w:sz w:val="18"/>
          <w:szCs w:val="18"/>
          <w:color w:val="auto"/>
        </w:rPr>
      </w:pPr>
    </w:p>
    <w:p>
      <w:pPr>
        <w:jc w:val="both"/>
        <w:ind w:left="1760" w:right="459" w:hanging="442"/>
        <w:spacing w:after="0" w:line="254" w:lineRule="auto"/>
        <w:tabs>
          <w:tab w:leader="none" w:pos="1873"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hereby undertakes 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2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835"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46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22"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543" w:name="page544"/>
    <w:bookmarkEnd w:id="543"/>
    <w:p>
      <w:pPr>
        <w:ind w:left="46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Amendment No. 4 to the registration statement to be signed on its behalf by the undersigned, thereunto duly authorized in the City of San Francisco, California, on January 14, 2021.</w:t>
      </w:r>
    </w:p>
    <w:p>
      <w:pPr>
        <w:spacing w:after="0" w:line="17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FS DEVELOPMENT CORP.</w:t>
      </w:r>
    </w:p>
    <w:p>
      <w:pPr>
        <w:spacing w:after="0" w:line="18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By: /s/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51435</wp:posOffset>
            </wp:positionV>
            <wp:extent cx="20828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6">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7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Jim Tananbaum</w:t>
      </w:r>
    </w:p>
    <w:p>
      <w:pPr>
        <w:spacing w:after="0" w:line="7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5"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35"/>
        </w:trPr>
        <w:tc>
          <w:tcPr>
            <w:tcW w:w="2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2"/>
          </w:tcPr>
          <w:p>
            <w:pPr>
              <w:ind w:left="18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5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Dr. Jim Tananbaum</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14, 2021</w:t>
            </w:r>
          </w:p>
        </w:tc>
        <w:tc>
          <w:tcPr>
            <w:tcW w:w="0" w:type="dxa"/>
            <w:vAlign w:val="bottom"/>
          </w:tcPr>
          <w:p>
            <w:pPr>
              <w:spacing w:after="0"/>
              <w:rPr>
                <w:sz w:val="1"/>
                <w:szCs w:val="1"/>
                <w:color w:val="auto"/>
              </w:rPr>
            </w:pPr>
          </w:p>
        </w:tc>
      </w:tr>
      <w:tr>
        <w:trPr>
          <w:trHeight w:val="41"/>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Jim Tananbaum</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Dennis Ryan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14, 2021</w:t>
            </w:r>
          </w:p>
        </w:tc>
        <w:tc>
          <w:tcPr>
            <w:tcW w:w="0" w:type="dxa"/>
            <w:vAlign w:val="bottom"/>
          </w:tcPr>
          <w:p>
            <w:pPr>
              <w:spacing w:after="0"/>
              <w:rPr>
                <w:sz w:val="1"/>
                <w:szCs w:val="1"/>
                <w:color w:val="auto"/>
              </w:rPr>
            </w:pPr>
          </w:p>
        </w:tc>
      </w:tr>
      <w:tr>
        <w:trPr>
          <w:trHeight w:val="41"/>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Ryan</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Vice President and 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14, 2021</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Michael Rome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14, 2021</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Vikram Bajaj</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14, 2021</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Carey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14, 2021</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Dan Dubin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14, 2021</w:t>
            </w:r>
          </w:p>
        </w:tc>
        <w:tc>
          <w:tcPr>
            <w:tcW w:w="0" w:type="dxa"/>
            <w:vAlign w:val="bottom"/>
          </w:tcPr>
          <w:p>
            <w:pPr>
              <w:spacing w:after="0"/>
              <w:rPr>
                <w:sz w:val="1"/>
                <w:szCs w:val="1"/>
                <w:color w:val="auto"/>
              </w:rPr>
            </w:pPr>
          </w:p>
        </w:tc>
      </w:tr>
      <w:tr>
        <w:trPr>
          <w:trHeight w:val="40"/>
        </w:trPr>
        <w:tc>
          <w:tcPr>
            <w:tcW w:w="5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Deepa Pakianathan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By: /s/ Dennis Ryan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0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0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Dennis Ryan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50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As Attorney-In-Fact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2"/>
          </w:tcPr>
          <w:p>
            <w:pPr>
              <w:ind w:left="1500"/>
              <w:spacing w:after="0"/>
              <w:rPr>
                <w:sz w:val="20"/>
                <w:szCs w:val="20"/>
                <w:color w:val="auto"/>
              </w:rPr>
            </w:pPr>
            <w:r>
              <w:rPr>
                <w:rFonts w:ascii="Times New Roman" w:cs="Times New Roman" w:eastAsia="Times New Roman" w:hAnsi="Times New Roman"/>
                <w:sz w:val="18"/>
                <w:szCs w:val="18"/>
                <w:color w:val="auto"/>
              </w:rPr>
              <w:t>II-8</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9" w:right="1440" w:bottom="1440" w:gutter="0" w:footer="0" w:header="0"/>
        </w:sectPr>
      </w:pPr>
    </w:p>
    <w:bookmarkStart w:id="544" w:name="page545"/>
    <w:bookmarkEnd w:id="544"/>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October 30, 2020 with respect to the financial statements of Gemini Therapeutics, Inc. included in the Proxy Statement of FS Development Corp. that is made a part of the Registration Statement (Form S-4 No. 333-249785) and Prospectus of FS Development Corp. for the registration of 21,500,000 shares of its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14, 2021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0B8808"/>
    <w:multiLevelType w:val="hybridMultilevel"/>
    <w:lvl w:ilvl="0">
      <w:lvlJc w:val="left"/>
      <w:lvlText w:val="(%1)"/>
      <w:numFmt w:val="decimal"/>
      <w:start w:val="1"/>
    </w:lvl>
  </w:abstractNum>
  <w:abstractNum w:abstractNumId="1">
    <w:nsid w:val="34CC3ACF"/>
    <w:multiLevelType w:val="hybridMultilevel"/>
    <w:lvl w:ilvl="0">
      <w:lvlJc w:val="left"/>
      <w:lvlText w:val="."/>
      <w:numFmt w:val="bullet"/>
      <w:start w:val="1"/>
    </w:lvl>
  </w:abstractNum>
  <w:abstractNum w:abstractNumId="2">
    <w:nsid w:val="4E556261"/>
    <w:multiLevelType w:val="hybridMultilevel"/>
    <w:lvl w:ilvl="0">
      <w:lvlJc w:val="left"/>
      <w:lvlText w:val="(%1)"/>
      <w:numFmt w:val="decimal"/>
      <w:start w:val="1"/>
    </w:lvl>
  </w:abstractNum>
  <w:abstractNum w:abstractNumId="3">
    <w:nsid w:val="4C672FC9"/>
    <w:multiLevelType w:val="hybridMultilevel"/>
    <w:lvl w:ilvl="0">
      <w:lvlJc w:val="left"/>
      <w:lvlText w:val="(%1)"/>
      <w:numFmt w:val="lowerLetter"/>
      <w:start w:val="1"/>
    </w:lvl>
  </w:abstractNum>
  <w:abstractNum w:abstractNumId="4">
    <w:nsid w:val="52A311C3"/>
    <w:multiLevelType w:val="hybridMultilevel"/>
    <w:lvl w:ilvl="0">
      <w:lvlJc w:val="left"/>
      <w:lvlText w:val="(%1)"/>
      <w:numFmt w:val="lowerLetter"/>
      <w:start w:val="2"/>
    </w:lvl>
  </w:abstractNum>
  <w:abstractNum w:abstractNumId="5">
    <w:nsid w:val="44EF6B80"/>
    <w:multiLevelType w:val="hybridMultilevel"/>
    <w:lvl w:ilvl="0">
      <w:lvlJc w:val="left"/>
      <w:lvlText w:val="%1"/>
      <w:numFmt w:val="decimal"/>
      <w:start w:val="1"/>
    </w:lvl>
    <w:lvl w:ilvl="1">
      <w:lvlJc w:val="left"/>
      <w:lvlText w:val="(%2)"/>
      <w:numFmt w:val="lowerLetter"/>
      <w:start w:val="3"/>
    </w:lvl>
  </w:abstractNum>
  <w:abstractNum w:abstractNumId="6">
    <w:nsid w:val="12FCDE5E"/>
    <w:multiLevelType w:val="hybridMultilevel"/>
    <w:lvl w:ilvl="0">
      <w:lvlJc w:val="left"/>
      <w:lvlText w:val="(%1)"/>
      <w:numFmt w:val="decimal"/>
      <w:start w:val="5"/>
    </w:lvl>
    <w:lvl w:ilvl="1">
      <w:lvlJc w:val="left"/>
      <w:lvlText w:val="%2"/>
      <w:numFmt w:val="lowerLetter"/>
      <w:start w:val="1"/>
    </w:lvl>
  </w:abstractNum>
  <w:abstractNum w:abstractNumId="7">
    <w:nsid w:val="4A1D606E"/>
    <w:multiLevelType w:val="hybridMultilevel"/>
    <w:lvl w:ilvl="0">
      <w:lvlJc w:val="left"/>
      <w:lvlText w:val="(%1)"/>
      <w:numFmt w:val="lowerRoman"/>
      <w:start w:val="1"/>
    </w:lvl>
  </w:abstractNum>
  <w:abstractNum w:abstractNumId="8">
    <w:nsid w:val="4382503"/>
    <w:multiLevelType w:val="hybridMultilevel"/>
    <w:lvl w:ilvl="0">
      <w:lvlJc w:val="left"/>
      <w:lvlText w:val="%1."/>
      <w:numFmt w:val="decimal"/>
      <w:start w:val="1"/>
    </w:lvl>
    <w:lvl w:ilvl="1">
      <w:lvlJc w:val="left"/>
      <w:lvlText w:val="(%2)"/>
      <w:numFmt w:val="lowerRoman"/>
      <w:start w:val="1"/>
    </w:lvl>
  </w:abstractNum>
  <w:abstractNum w:abstractNumId="9">
    <w:nsid w:val="59B76E28"/>
    <w:multiLevelType w:val="hybridMultilevel"/>
    <w:lvl w:ilvl="0">
      <w:lvlJc w:val="left"/>
      <w:lvlText w:val="%1."/>
      <w:numFmt w:val="decimal"/>
      <w:start w:val="2"/>
    </w:lvl>
  </w:abstractNum>
  <w:abstractNum w:abstractNumId="10">
    <w:nsid w:val="4252C2DA"/>
    <w:multiLevelType w:val="hybridMultilevel"/>
    <w:lvl w:ilvl="0">
      <w:lvlJc w:val="left"/>
      <w:lvlText w:val="%1."/>
      <w:numFmt w:val="decimal"/>
      <w:start w:val="4"/>
    </w:lvl>
  </w:abstractNum>
  <w:abstractNum w:abstractNumId="11">
    <w:nsid w:val="6A92EF4C"/>
    <w:multiLevelType w:val="hybridMultilevel"/>
    <w:lvl w:ilvl="0">
      <w:lvlJc w:val="left"/>
      <w:lvlText w:val="(%1)"/>
      <w:numFmt w:val="lowerLetter"/>
      <w:start w:val="1"/>
    </w:lvl>
  </w:abstractNum>
  <w:abstractNum w:abstractNumId="12">
    <w:nsid w:val="41ED20D7"/>
    <w:multiLevelType w:val="hybridMultilevel"/>
    <w:lvl w:ilvl="0">
      <w:lvlJc w:val="left"/>
      <w:lvlText w:val="%1"/>
      <w:numFmt w:val="decimal"/>
      <w:start w:val="1"/>
    </w:lvl>
    <w:lvl w:ilvl="1">
      <w:lvlJc w:val="left"/>
      <w:lvlText w:val="(%2)"/>
      <w:numFmt w:val="lowerLetter"/>
      <w:start w:val="2"/>
    </w:lvl>
  </w:abstractNum>
  <w:abstractNum w:abstractNumId="13">
    <w:nsid w:val="E6B3F6A"/>
    <w:multiLevelType w:val="hybridMultilevel"/>
    <w:lvl w:ilvl="0">
      <w:lvlJc w:val="left"/>
      <w:lvlText w:val="%1."/>
      <w:numFmt w:val="decimal"/>
      <w:start w:val="5"/>
    </w:lvl>
    <w:lvl w:ilvl="1">
      <w:lvlJc w:val="left"/>
      <w:lvlText w:val="%2"/>
      <w:numFmt w:val="lowerLetter"/>
      <w:start w:val="1"/>
    </w:lvl>
  </w:abstractNum>
  <w:abstractNum w:abstractNumId="14">
    <w:nsid w:val="3EB21819"/>
    <w:multiLevelType w:val="hybridMultilevel"/>
    <w:lvl w:ilvl="0">
      <w:lvlJc w:val="left"/>
      <w:lvlText w:val="(%1)"/>
      <w:numFmt w:val="lowerLetter"/>
      <w:start w:val="2"/>
    </w:lvl>
  </w:abstractNum>
  <w:abstractNum w:abstractNumId="15">
    <w:nsid w:val="41531DED"/>
    <w:multiLevelType w:val="hybridMultilevel"/>
    <w:lvl w:ilvl="0">
      <w:lvlJc w:val="left"/>
      <w:lvlText w:val="(%1)"/>
      <w:numFmt w:val="lowerLetter"/>
      <w:start w:val="4"/>
    </w:lvl>
  </w:abstractNum>
  <w:abstractNum w:abstractNumId="16">
    <w:nsid w:val="6353CD2"/>
    <w:multiLevelType w:val="hybridMultilevel"/>
    <w:lvl w:ilvl="0">
      <w:lvlJc w:val="left"/>
      <w:lvlText w:val="%1."/>
      <w:numFmt w:val="upperLetter"/>
      <w:start w:val="17"/>
    </w:lvl>
  </w:abstractNum>
  <w:abstractNum w:abstractNumId="17">
    <w:nsid w:val="683CAAD3"/>
    <w:multiLevelType w:val="hybridMultilevel"/>
    <w:lvl w:ilvl="0">
      <w:lvlJc w:val="left"/>
      <w:lvlText w:val="%1."/>
      <w:numFmt w:val="upperLetter"/>
      <w:start w:val="1"/>
    </w:lvl>
  </w:abstractNum>
  <w:abstractNum w:abstractNumId="18">
    <w:nsid w:val="313C7C99"/>
    <w:multiLevelType w:val="hybridMultilevel"/>
    <w:lvl w:ilvl="0">
      <w:lvlJc w:val="left"/>
      <w:lvlText w:val="%1:"/>
      <w:numFmt w:val="upperLetter"/>
      <w:start w:val="17"/>
    </w:lvl>
  </w:abstractNum>
  <w:abstractNum w:abstractNumId="19">
    <w:nsid w:val="519EB94C"/>
    <w:multiLevelType w:val="hybridMultilevel"/>
    <w:lvl w:ilvl="0">
      <w:lvlJc w:val="left"/>
      <w:lvlText w:val="%1:"/>
      <w:numFmt w:val="upperLetter"/>
      <w:start w:val="1"/>
    </w:lvl>
  </w:abstractNum>
  <w:abstractNum w:abstractNumId="20">
    <w:nsid w:val="39DF2579"/>
    <w:multiLevelType w:val="hybridMultilevel"/>
    <w:lvl w:ilvl="0">
      <w:lvlJc w:val="left"/>
      <w:lvlText w:val="%1:"/>
      <w:numFmt w:val="upperLetter"/>
      <w:start w:val="17"/>
    </w:lvl>
  </w:abstractNum>
  <w:abstractNum w:abstractNumId="21">
    <w:nsid w:val="126E008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2">
    <w:nsid w:val="34DFBC0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23">
    <w:nsid w:val="1F9EC322"/>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24">
    <w:nsid w:val="3410ED56"/>
    <w:multiLevelType w:val="hybridMultilevel"/>
    <w:lvl w:ilvl="0">
      <w:lvlJc w:val="left"/>
      <w:lvlText w:val="%1:"/>
      <w:numFmt w:val="upperLetter"/>
      <w:start w:val="17"/>
    </w:lvl>
    <w:lvl w:ilvl="1">
      <w:lvlJc w:val="left"/>
      <w:lvlText w:val="%2"/>
      <w:numFmt w:val="decimal"/>
      <w:start w:val="1"/>
    </w:lvl>
    <w:lvl w:ilvl="2">
      <w:lvlJc w:val="left"/>
      <w:lvlText w:val="%3"/>
      <w:numFmt w:val="lowerLetter"/>
      <w:start w:val="1"/>
    </w:lvl>
  </w:abstractNum>
  <w:abstractNum w:abstractNumId="25">
    <w:nsid w:val="23C049A"/>
    <w:multiLevelType w:val="hybridMultilevel"/>
    <w:lvl w:ilvl="0">
      <w:lvlJc w:val="left"/>
      <w:lvlText w:val="%1:"/>
      <w:numFmt w:val="upperLetter"/>
      <w:start w:val="17"/>
    </w:lvl>
  </w:abstractNum>
  <w:abstractNum w:abstractNumId="26">
    <w:nsid w:val="5BDA35D4"/>
    <w:multiLevelType w:val="hybridMultilevel"/>
    <w:lvl w:ilvl="0">
      <w:lvlJc w:val="left"/>
      <w:lvlText w:val="%1:"/>
      <w:numFmt w:val="upperLetter"/>
      <w:start w:val="1"/>
    </w:lvl>
  </w:abstractNum>
  <w:abstractNum w:abstractNumId="27">
    <w:nsid w:val="496FB218"/>
    <w:multiLevelType w:val="hybridMultilevel"/>
    <w:lvl w:ilvl="0">
      <w:lvlJc w:val="left"/>
      <w:lvlText w:val="%1:"/>
      <w:numFmt w:val="upperLetter"/>
      <w:start w:val="17"/>
    </w:lvl>
  </w:abstractNum>
  <w:abstractNum w:abstractNumId="28">
    <w:nsid w:val="680EA5D1"/>
    <w:multiLevelType w:val="hybridMultilevel"/>
    <w:lvl w:ilvl="0">
      <w:lvlJc w:val="left"/>
      <w:lvlText w:val="%1:"/>
      <w:numFmt w:val="upperLetter"/>
      <w:start w:val="1"/>
    </w:lvl>
  </w:abstractNum>
  <w:abstractNum w:abstractNumId="29">
    <w:nsid w:val="4A9554FE"/>
    <w:multiLevelType w:val="hybridMultilevel"/>
    <w:lvl w:ilvl="0">
      <w:lvlJc w:val="left"/>
      <w:lvlText w:val="%1:"/>
      <w:numFmt w:val="upperLetter"/>
      <w:start w:val="17"/>
    </w:lvl>
  </w:abstractNum>
  <w:abstractNum w:abstractNumId="30">
    <w:nsid w:val="392EDBE4"/>
    <w:multiLevelType w:val="hybridMultilevel"/>
    <w:lvl w:ilvl="0">
      <w:lvlJc w:val="left"/>
      <w:lvlText w:val="%1:"/>
      <w:numFmt w:val="upperLetter"/>
      <w:start w:val="1"/>
    </w:lvl>
  </w:abstractNum>
  <w:abstractNum w:abstractNumId="31">
    <w:nsid w:val="3D1A2DD9"/>
    <w:multiLevelType w:val="hybridMultilevel"/>
    <w:lvl w:ilvl="0">
      <w:lvlJc w:val="left"/>
      <w:lvlText w:val="%1:"/>
      <w:numFmt w:val="upperLetter"/>
      <w:start w:val="17"/>
    </w:lvl>
  </w:abstractNum>
  <w:abstractNum w:abstractNumId="32">
    <w:nsid w:val="7F618FCD"/>
    <w:multiLevelType w:val="hybridMultilevel"/>
    <w:lvl w:ilvl="0">
      <w:lvlJc w:val="left"/>
      <w:lvlText w:val="%1:"/>
      <w:numFmt w:val="upperLetter"/>
      <w:start w:val="1"/>
    </w:lvl>
  </w:abstractNum>
  <w:abstractNum w:abstractNumId="33">
    <w:nsid w:val="7843E45"/>
    <w:multiLevelType w:val="hybridMultilevel"/>
    <w:lvl w:ilvl="0">
      <w:lvlJc w:val="left"/>
      <w:lvlText w:val="%1:"/>
      <w:numFmt w:val="upperLetter"/>
      <w:start w:val="17"/>
    </w:lvl>
  </w:abstractNum>
  <w:abstractNum w:abstractNumId="34">
    <w:nsid w:val="9815DA3"/>
    <w:multiLevelType w:val="hybridMultilevel"/>
    <w:lvl w:ilvl="0">
      <w:lvlJc w:val="left"/>
      <w:lvlText w:val="%1:"/>
      <w:numFmt w:val="upperLetter"/>
      <w:start w:val="1"/>
    </w:lvl>
  </w:abstractNum>
  <w:abstractNum w:abstractNumId="35">
    <w:nsid w:val="5204A191"/>
    <w:multiLevelType w:val="hybridMultilevel"/>
    <w:lvl w:ilvl="0">
      <w:lvlJc w:val="left"/>
      <w:lvlText w:val="%1:"/>
      <w:numFmt w:val="upperLetter"/>
      <w:start w:val="17"/>
    </w:lvl>
  </w:abstractNum>
  <w:abstractNum w:abstractNumId="36">
    <w:nsid w:val="4C73A9C6"/>
    <w:multiLevelType w:val="hybridMultilevel"/>
    <w:lvl w:ilvl="0">
      <w:lvlJc w:val="left"/>
      <w:lvlText w:val="%1:"/>
      <w:numFmt w:val="upperLetter"/>
      <w:start w:val="1"/>
    </w:lvl>
    <w:lvl w:ilvl="1">
      <w:lvlJc w:val="left"/>
      <w:lvlText w:val="(%2)"/>
      <w:numFmt w:val="lowerRoman"/>
      <w:start w:val="5"/>
    </w:lvl>
  </w:abstractNum>
  <w:abstractNum w:abstractNumId="37">
    <w:nsid w:val="1C7E3C01"/>
    <w:multiLevelType w:val="hybridMultilevel"/>
    <w:lvl w:ilvl="0">
      <w:lvlJc w:val="left"/>
      <w:lvlText w:val="%1:"/>
      <w:numFmt w:val="upperLetter"/>
      <w:start w:val="17"/>
    </w:lvl>
  </w:abstractNum>
  <w:abstractNum w:abstractNumId="38">
    <w:nsid w:val="1C2201FF"/>
    <w:multiLevelType w:val="hybridMultilevel"/>
    <w:lvl w:ilvl="0">
      <w:lvlJc w:val="left"/>
      <w:lvlText w:val="%1:"/>
      <w:numFmt w:val="upperLetter"/>
      <w:start w:val="1"/>
    </w:lvl>
  </w:abstractNum>
  <w:abstractNum w:abstractNumId="39">
    <w:nsid w:val="50ABCEC9"/>
    <w:multiLevelType w:val="hybridMultilevel"/>
    <w:lvl w:ilvl="0">
      <w:lvlJc w:val="left"/>
      <w:lvlText w:val="%1."/>
      <w:numFmt w:val="upperLetter"/>
      <w:start w:val="17"/>
    </w:lvl>
  </w:abstractNum>
  <w:abstractNum w:abstractNumId="40">
    <w:nsid w:val="7635AA2A"/>
    <w:multiLevelType w:val="hybridMultilevel"/>
    <w:lvl w:ilvl="0">
      <w:lvlJc w:val="left"/>
      <w:lvlText w:val="%1."/>
      <w:numFmt w:val="upperLetter"/>
      <w:start w:val="1"/>
    </w:lvl>
  </w:abstractNum>
  <w:abstractNum w:abstractNumId="41">
    <w:nsid w:val="5E74C4D9"/>
    <w:multiLevelType w:val="hybridMultilevel"/>
    <w:lvl w:ilvl="0">
      <w:lvlJc w:val="left"/>
      <w:lvlText w:val="%1:"/>
      <w:numFmt w:val="upperLetter"/>
      <w:start w:val="17"/>
    </w:lvl>
  </w:abstractNum>
  <w:abstractNum w:abstractNumId="42">
    <w:nsid w:val="3B3EBE15"/>
    <w:multiLevelType w:val="hybridMultilevel"/>
    <w:lvl w:ilvl="0">
      <w:lvlJc w:val="left"/>
      <w:lvlText w:val="%1:"/>
      <w:numFmt w:val="upperLetter"/>
      <w:start w:val="1"/>
    </w:lvl>
  </w:abstractNum>
  <w:abstractNum w:abstractNumId="43">
    <w:nsid w:val="3822CB01"/>
    <w:multiLevelType w:val="hybridMultilevel"/>
    <w:lvl w:ilvl="0">
      <w:lvlJc w:val="left"/>
      <w:lvlText w:val="%1:"/>
      <w:numFmt w:val="upperLetter"/>
      <w:start w:val="17"/>
    </w:lvl>
  </w:abstractNum>
  <w:abstractNum w:abstractNumId="44">
    <w:nsid w:val="6CE00443"/>
    <w:multiLevelType w:val="hybridMultilevel"/>
    <w:lvl w:ilvl="0">
      <w:lvlJc w:val="left"/>
      <w:lvlText w:val="%1:"/>
      <w:numFmt w:val="upperLetter"/>
      <w:start w:val="1"/>
    </w:lvl>
  </w:abstractNum>
  <w:abstractNum w:abstractNumId="45">
    <w:nsid w:val="79F0D62F"/>
    <w:multiLevelType w:val="hybridMultilevel"/>
    <w:lvl w:ilvl="0">
      <w:lvlJc w:val="left"/>
      <w:lvlText w:val="%1:"/>
      <w:numFmt w:val="upperLetter"/>
      <w:start w:val="17"/>
    </w:lvl>
  </w:abstractNum>
  <w:abstractNum w:abstractNumId="46">
    <w:nsid w:val="7975E8EE"/>
    <w:multiLevelType w:val="hybridMultilevel"/>
    <w:lvl w:ilvl="0">
      <w:lvlJc w:val="left"/>
      <w:lvlText w:val="%1:"/>
      <w:numFmt w:val="upperLetter"/>
      <w:start w:val="1"/>
    </w:lvl>
  </w:abstractNum>
  <w:abstractNum w:abstractNumId="47">
    <w:nsid w:val="73154115"/>
    <w:multiLevelType w:val="hybridMultilevel"/>
    <w:lvl w:ilvl="0">
      <w:lvlJc w:val="left"/>
      <w:lvlText w:val="%1:"/>
      <w:numFmt w:val="upperLetter"/>
      <w:start w:val="17"/>
    </w:lvl>
  </w:abstractNum>
  <w:abstractNum w:abstractNumId="48">
    <w:nsid w:val="622D8102"/>
    <w:multiLevelType w:val="hybridMultilevel"/>
    <w:lvl w:ilvl="0">
      <w:lvlJc w:val="left"/>
      <w:lvlText w:val="%1:"/>
      <w:numFmt w:val="upperLetter"/>
      <w:start w:val="1"/>
    </w:lvl>
  </w:abstractNum>
  <w:abstractNum w:abstractNumId="49">
    <w:nsid w:val="2AB26587"/>
    <w:multiLevelType w:val="hybridMultilevel"/>
    <w:lvl w:ilvl="0">
      <w:lvlJc w:val="left"/>
      <w:lvlText w:val="%1:"/>
      <w:numFmt w:val="upperLetter"/>
      <w:start w:val="17"/>
    </w:lvl>
  </w:abstractNum>
  <w:abstractNum w:abstractNumId="50">
    <w:nsid w:val="44B3FA61"/>
    <w:multiLevelType w:val="hybridMultilevel"/>
    <w:lvl w:ilvl="0">
      <w:lvlJc w:val="left"/>
      <w:lvlText w:val="%1:"/>
      <w:numFmt w:val="upperLetter"/>
      <w:start w:val="1"/>
    </w:lvl>
  </w:abstractNum>
  <w:abstractNum w:abstractNumId="51">
    <w:nsid w:val="1C0CA67C"/>
    <w:multiLevelType w:val="hybridMultilevel"/>
    <w:lvl w:ilvl="0">
      <w:lvlJc w:val="left"/>
      <w:lvlText w:val="%1:"/>
      <w:numFmt w:val="upperLetter"/>
      <w:start w:val="17"/>
    </w:lvl>
  </w:abstractNum>
  <w:abstractNum w:abstractNumId="52">
    <w:nsid w:val="3D206613"/>
    <w:multiLevelType w:val="hybridMultilevel"/>
    <w:lvl w:ilvl="0">
      <w:lvlJc w:val="left"/>
      <w:lvlText w:val="%1:"/>
      <w:numFmt w:val="upperLetter"/>
      <w:start w:val="1"/>
    </w:lvl>
  </w:abstractNum>
  <w:abstractNum w:abstractNumId="53">
    <w:nsid w:val="7993B662"/>
    <w:multiLevelType w:val="hybridMultilevel"/>
    <w:lvl w:ilvl="0">
      <w:lvlJc w:val="left"/>
      <w:lvlText w:val="%1:"/>
      <w:numFmt w:val="upperLetter"/>
      <w:start w:val="17"/>
    </w:lvl>
  </w:abstractNum>
  <w:abstractNum w:abstractNumId="54">
    <w:nsid w:val="3BAB699E"/>
    <w:multiLevelType w:val="hybridMultilevel"/>
    <w:lvl w:ilvl="0">
      <w:lvlJc w:val="left"/>
      <w:lvlText w:val="%1:"/>
      <w:numFmt w:val="upperLetter"/>
      <w:start w:val="1"/>
    </w:lvl>
    <w:lvl w:ilvl="1">
      <w:lvlJc w:val="left"/>
      <w:lvlText w:val="•"/>
      <w:numFmt w:val="bullet"/>
      <w:start w:val="1"/>
    </w:lvl>
  </w:abstractNum>
  <w:abstractNum w:abstractNumId="55">
    <w:nsid w:val="71315369"/>
    <w:multiLevelType w:val="hybridMultilevel"/>
    <w:lvl w:ilvl="0">
      <w:lvlJc w:val="left"/>
      <w:lvlText w:val="•"/>
      <w:numFmt w:val="bullet"/>
      <w:start w:val="1"/>
    </w:lvl>
  </w:abstractNum>
  <w:abstractNum w:abstractNumId="56">
    <w:nsid w:val="7BCFBAFC"/>
    <w:multiLevelType w:val="hybridMultilevel"/>
    <w:lvl w:ilvl="0">
      <w:lvlJc w:val="left"/>
      <w:lvlText w:val="%1:"/>
      <w:numFmt w:val="upperLetter"/>
      <w:start w:val="17"/>
    </w:lvl>
  </w:abstractNum>
  <w:abstractNum w:abstractNumId="57">
    <w:nsid w:val="17859F72"/>
    <w:multiLevelType w:val="hybridMultilevel"/>
    <w:lvl w:ilvl="0">
      <w:lvlJc w:val="left"/>
      <w:lvlText w:val="%1:"/>
      <w:numFmt w:val="upperLetter"/>
      <w:start w:val="1"/>
    </w:lvl>
  </w:abstractNum>
  <w:abstractNum w:abstractNumId="58">
    <w:nsid w:val="3AA10581"/>
    <w:multiLevelType w:val="hybridMultilevel"/>
    <w:lvl w:ilvl="0">
      <w:lvlJc w:val="left"/>
      <w:lvlText w:val="%1:"/>
      <w:numFmt w:val="upperLetter"/>
      <w:start w:val="17"/>
    </w:lvl>
  </w:abstractNum>
  <w:abstractNum w:abstractNumId="59">
    <w:nsid w:val="63DE60CD"/>
    <w:multiLevelType w:val="hybridMultilevel"/>
    <w:lvl w:ilvl="0">
      <w:lvlJc w:val="left"/>
      <w:lvlText w:val="%1:"/>
      <w:numFmt w:val="upperLetter"/>
      <w:start w:val="17"/>
    </w:lvl>
  </w:abstractNum>
  <w:abstractNum w:abstractNumId="60">
    <w:nsid w:val="621AF471"/>
    <w:multiLevelType w:val="hybridMultilevel"/>
    <w:lvl w:ilvl="0">
      <w:lvlJc w:val="left"/>
      <w:lvlText w:val="%1:"/>
      <w:numFmt w:val="upperLetter"/>
      <w:start w:val="1"/>
    </w:lvl>
  </w:abstractNum>
  <w:abstractNum w:abstractNumId="61">
    <w:nsid w:val="73CFE165"/>
    <w:multiLevelType w:val="hybridMultilevel"/>
    <w:lvl w:ilvl="0">
      <w:lvlJc w:val="left"/>
      <w:lvlText w:val="%1:"/>
      <w:numFmt w:val="upperLetter"/>
      <w:start w:val="17"/>
    </w:lvl>
  </w:abstractNum>
  <w:abstractNum w:abstractNumId="62">
    <w:nsid w:val="20F88EA6"/>
    <w:multiLevelType w:val="hybridMultilevel"/>
    <w:lvl w:ilvl="0">
      <w:lvlJc w:val="left"/>
      <w:lvlText w:val="%1:"/>
      <w:numFmt w:val="upperLetter"/>
      <w:start w:val="1"/>
    </w:lvl>
  </w:abstractNum>
  <w:abstractNum w:abstractNumId="63">
    <w:nsid w:val="617C843E"/>
    <w:multiLevelType w:val="hybridMultilevel"/>
    <w:lvl w:ilvl="0">
      <w:lvlJc w:val="left"/>
      <w:lvlText w:val="%1:"/>
      <w:numFmt w:val="upperLetter"/>
      <w:start w:val="17"/>
    </w:lvl>
  </w:abstractNum>
  <w:abstractNum w:abstractNumId="64">
    <w:nsid w:val="7B541FAB"/>
    <w:multiLevelType w:val="hybridMultilevel"/>
    <w:lvl w:ilvl="0">
      <w:lvlJc w:val="left"/>
      <w:lvlText w:val="%1:"/>
      <w:numFmt w:val="upperLetter"/>
      <w:start w:val="17"/>
    </w:lvl>
  </w:abstractNum>
  <w:abstractNum w:abstractNumId="65">
    <w:nsid w:val="2A79EC49"/>
    <w:multiLevelType w:val="hybridMultilevel"/>
    <w:lvl w:ilvl="0">
      <w:lvlJc w:val="left"/>
      <w:lvlText w:val="%1:"/>
      <w:numFmt w:val="upperLetter"/>
      <w:start w:val="1"/>
    </w:lvl>
  </w:abstractNum>
  <w:abstractNum w:abstractNumId="66">
    <w:nsid w:val="338125CF"/>
    <w:multiLevelType w:val="hybridMultilevel"/>
    <w:lvl w:ilvl="0">
      <w:lvlJc w:val="left"/>
      <w:lvlText w:val="%1:"/>
      <w:numFmt w:val="upperLetter"/>
      <w:start w:val="17"/>
    </w:lvl>
  </w:abstractNum>
  <w:abstractNum w:abstractNumId="67">
    <w:nsid w:val="47C7C971"/>
    <w:multiLevelType w:val="hybridMultilevel"/>
    <w:lvl w:ilvl="0">
      <w:lvlJc w:val="left"/>
      <w:lvlText w:val="%1:"/>
      <w:numFmt w:val="upperLetter"/>
      <w:start w:val="1"/>
    </w:lvl>
  </w:abstractNum>
  <w:abstractNum w:abstractNumId="68">
    <w:nsid w:val="46F8284B"/>
    <w:multiLevelType w:val="hybridMultilevel"/>
    <w:lvl w:ilvl="0">
      <w:lvlJc w:val="left"/>
      <w:lvlText w:val="%1:"/>
      <w:numFmt w:val="upperLetter"/>
      <w:start w:val="17"/>
    </w:lvl>
  </w:abstractNum>
  <w:abstractNum w:abstractNumId="69">
    <w:nsid w:val="4FA327CE"/>
    <w:multiLevelType w:val="hybridMultilevel"/>
    <w:lvl w:ilvl="0">
      <w:lvlJc w:val="left"/>
      <w:lvlText w:val="%1:"/>
      <w:numFmt w:val="upperLetter"/>
      <w:start w:val="1"/>
    </w:lvl>
    <w:lvl w:ilvl="1">
      <w:lvlJc w:val="left"/>
      <w:lvlText w:val="•"/>
      <w:numFmt w:val="bullet"/>
      <w:start w:val="1"/>
    </w:lvl>
  </w:abstractNum>
  <w:abstractNum w:abstractNumId="70">
    <w:nsid w:val="1873983A"/>
    <w:multiLevelType w:val="hybridMultilevel"/>
    <w:lvl w:ilvl="0">
      <w:lvlJc w:val="left"/>
      <w:lvlText w:val="%1:"/>
      <w:numFmt w:val="upperLetter"/>
      <w:start w:val="16"/>
    </w:lvl>
    <w:lvl w:ilvl="1">
      <w:lvlJc w:val="left"/>
      <w:lvlText w:val="•"/>
      <w:numFmt w:val="bullet"/>
      <w:start w:val="1"/>
    </w:lvl>
  </w:abstractNum>
  <w:abstractNum w:abstractNumId="71">
    <w:nsid w:val="3D2DD275"/>
    <w:multiLevelType w:val="hybridMultilevel"/>
    <w:lvl w:ilvl="0">
      <w:lvlJc w:val="left"/>
      <w:lvlText w:val="%1:"/>
      <w:numFmt w:val="upperLetter"/>
      <w:start w:val="1"/>
    </w:lvl>
  </w:abstractNum>
  <w:abstractNum w:abstractNumId="72">
    <w:nsid w:val="2E17ECA7"/>
    <w:multiLevelType w:val="hybridMultilevel"/>
    <w:lvl w:ilvl="0">
      <w:lvlJc w:val="left"/>
      <w:lvlText w:val="%1:"/>
      <w:numFmt w:val="upperLetter"/>
      <w:start w:val="17"/>
    </w:lvl>
  </w:abstractNum>
  <w:abstractNum w:abstractNumId="73">
    <w:nsid w:val="53B2564F"/>
    <w:multiLevelType w:val="hybridMultilevel"/>
    <w:lvl w:ilvl="0">
      <w:lvlJc w:val="left"/>
      <w:lvlText w:val="%1:"/>
      <w:numFmt w:val="upperLetter"/>
      <w:start w:val="1"/>
    </w:lvl>
  </w:abstractNum>
  <w:abstractNum w:abstractNumId="74">
    <w:nsid w:val="75509D76"/>
    <w:multiLevelType w:val="hybridMultilevel"/>
    <w:lvl w:ilvl="0">
      <w:lvlJc w:val="left"/>
      <w:lvlText w:val="%1:"/>
      <w:numFmt w:val="upperLetter"/>
      <w:start w:val="17"/>
    </w:lvl>
  </w:abstractNum>
  <w:abstractNum w:abstractNumId="75">
    <w:nsid w:val="1AF7F0EA"/>
    <w:multiLevelType w:val="hybridMultilevel"/>
    <w:lvl w:ilvl="0">
      <w:lvlJc w:val="left"/>
      <w:lvlText w:val="%1:"/>
      <w:numFmt w:val="upperLetter"/>
      <w:start w:val="1"/>
    </w:lvl>
  </w:abstractNum>
  <w:abstractNum w:abstractNumId="76">
    <w:nsid w:val="4DA32C7E"/>
    <w:multiLevelType w:val="hybridMultilevel"/>
    <w:lvl w:ilvl="0">
      <w:lvlJc w:val="left"/>
      <w:lvlText w:val="%1:"/>
      <w:numFmt w:val="upperLetter"/>
      <w:start w:val="17"/>
    </w:lvl>
  </w:abstractNum>
  <w:abstractNum w:abstractNumId="77">
    <w:nsid w:val="6EC68664"/>
    <w:multiLevelType w:val="hybridMultilevel"/>
    <w:lvl w:ilvl="0">
      <w:lvlJc w:val="left"/>
      <w:lvlText w:val="%1:"/>
      <w:numFmt w:val="upperLetter"/>
      <w:start w:val="1"/>
    </w:lvl>
  </w:abstractNum>
  <w:abstractNum w:abstractNumId="78">
    <w:nsid w:val="E0D31FF"/>
    <w:multiLevelType w:val="hybridMultilevel"/>
    <w:lvl w:ilvl="0">
      <w:lvlJc w:val="left"/>
      <w:lvlText w:val="%1:"/>
      <w:numFmt w:val="upperLetter"/>
      <w:start w:val="17"/>
    </w:lvl>
  </w:abstractNum>
  <w:abstractNum w:abstractNumId="79">
    <w:nsid w:val="2FD0AD81"/>
    <w:multiLevelType w:val="hybridMultilevel"/>
    <w:lvl w:ilvl="0">
      <w:lvlJc w:val="left"/>
      <w:lvlText w:val="%1:"/>
      <w:numFmt w:val="upperLetter"/>
      <w:start w:val="1"/>
    </w:lvl>
  </w:abstractNum>
  <w:abstractNum w:abstractNumId="80">
    <w:nsid w:val="1978EBEB"/>
    <w:multiLevelType w:val="hybridMultilevel"/>
    <w:lvl w:ilvl="0">
      <w:lvlJc w:val="left"/>
      <w:lvlText w:val="%1."/>
      <w:numFmt w:val="upperLetter"/>
      <w:start w:val="17"/>
    </w:lvl>
  </w:abstractNum>
  <w:abstractNum w:abstractNumId="81">
    <w:nsid w:val="52C12C61"/>
    <w:multiLevelType w:val="hybridMultilevel"/>
    <w:lvl w:ilvl="0">
      <w:lvlJc w:val="left"/>
      <w:lvlText w:val="%1:"/>
      <w:numFmt w:val="upperLetter"/>
      <w:start w:val="1"/>
    </w:lvl>
  </w:abstractNum>
  <w:abstractNum w:abstractNumId="82">
    <w:nsid w:val="4BDD53FD"/>
    <w:multiLevelType w:val="hybridMultilevel"/>
    <w:lvl w:ilvl="0">
      <w:lvlJc w:val="left"/>
      <w:lvlText w:val="%1:"/>
      <w:numFmt w:val="upperLetter"/>
      <w:start w:val="17"/>
    </w:lvl>
  </w:abstractNum>
  <w:abstractNum w:abstractNumId="83">
    <w:nsid w:val="569951FE"/>
    <w:multiLevelType w:val="hybridMultilevel"/>
    <w:lvl w:ilvl="0">
      <w:lvlJc w:val="left"/>
      <w:lvlText w:val="%1:"/>
      <w:numFmt w:val="upperLetter"/>
      <w:start w:val="1"/>
    </w:lvl>
  </w:abstractNum>
  <w:abstractNum w:abstractNumId="84">
    <w:nsid w:val="4C54E2C3"/>
    <w:multiLevelType w:val="hybridMultilevel"/>
    <w:lvl w:ilvl="0">
      <w:lvlJc w:val="left"/>
      <w:lvlText w:val="%1:"/>
      <w:numFmt w:val="upperLetter"/>
      <w:start w:val="17"/>
    </w:lvl>
  </w:abstractNum>
  <w:abstractNum w:abstractNumId="85">
    <w:nsid w:val="788BD9B"/>
    <w:multiLevelType w:val="hybridMultilevel"/>
    <w:lvl w:ilvl="0">
      <w:lvlJc w:val="left"/>
      <w:lvlText w:val="%1:"/>
      <w:numFmt w:val="upperLetter"/>
      <w:start w:val="1"/>
    </w:lvl>
    <w:lvl w:ilvl="1">
      <w:lvlJc w:val="left"/>
      <w:lvlText w:val="•"/>
      <w:numFmt w:val="bullet"/>
      <w:start w:val="1"/>
    </w:lvl>
  </w:abstractNum>
  <w:abstractNum w:abstractNumId="86">
    <w:nsid w:val="47CAA567"/>
    <w:multiLevelType w:val="hybridMultilevel"/>
    <w:lvl w:ilvl="0">
      <w:lvlJc w:val="left"/>
      <w:lvlText w:val="%1:"/>
      <w:numFmt w:val="upperLetter"/>
      <w:start w:val="17"/>
    </w:lvl>
  </w:abstractNum>
  <w:abstractNum w:abstractNumId="87">
    <w:nsid w:val="48249DBF"/>
    <w:multiLevelType w:val="hybridMultilevel"/>
    <w:lvl w:ilvl="0">
      <w:lvlJc w:val="left"/>
      <w:lvlText w:val="%1:"/>
      <w:numFmt w:val="upperLetter"/>
      <w:start w:val="1"/>
    </w:lvl>
  </w:abstractNum>
  <w:abstractNum w:abstractNumId="88">
    <w:nsid w:val="1F0E5D0D"/>
    <w:multiLevelType w:val="hybridMultilevel"/>
    <w:lvl w:ilvl="0">
      <w:lvlJc w:val="left"/>
      <w:lvlText w:val="%1:"/>
      <w:numFmt w:val="upperLetter"/>
      <w:start w:val="17"/>
    </w:lvl>
  </w:abstractNum>
  <w:abstractNum w:abstractNumId="89">
    <w:nsid w:val="26BAAE9"/>
    <w:multiLevelType w:val="hybridMultilevel"/>
    <w:lvl w:ilvl="0">
      <w:lvlJc w:val="left"/>
      <w:lvlText w:val="%1:"/>
      <w:numFmt w:val="upperLetter"/>
      <w:start w:val="1"/>
    </w:lvl>
  </w:abstractNum>
  <w:abstractNum w:abstractNumId="90">
    <w:nsid w:val="2C02FE8C"/>
    <w:multiLevelType w:val="hybridMultilevel"/>
    <w:lvl w:ilvl="0">
      <w:lvlJc w:val="left"/>
      <w:lvlText w:val="%1:"/>
      <w:numFmt w:val="upperLetter"/>
      <w:start w:val="17"/>
    </w:lvl>
  </w:abstractNum>
  <w:abstractNum w:abstractNumId="91">
    <w:nsid w:val="129517E"/>
    <w:multiLevelType w:val="hybridMultilevel"/>
    <w:lvl w:ilvl="0">
      <w:lvlJc w:val="left"/>
      <w:lvlText w:val="%1:"/>
      <w:numFmt w:val="upperLetter"/>
      <w:start w:val="1"/>
    </w:lvl>
  </w:abstractNum>
  <w:abstractNum w:abstractNumId="92">
    <w:nsid w:val="763B8C4E"/>
    <w:multiLevelType w:val="hybridMultilevel"/>
    <w:lvl w:ilvl="0">
      <w:lvlJc w:val="left"/>
      <w:lvlText w:val="%1:"/>
      <w:numFmt w:val="upperLetter"/>
      <w:start w:val="17"/>
    </w:lvl>
  </w:abstractNum>
  <w:abstractNum w:abstractNumId="93">
    <w:nsid w:val="4CFB8D32"/>
    <w:multiLevelType w:val="hybridMultilevel"/>
    <w:lvl w:ilvl="0">
      <w:lvlJc w:val="left"/>
      <w:lvlText w:val="%1:"/>
      <w:numFmt w:val="upperLetter"/>
      <w:start w:val="1"/>
    </w:lvl>
  </w:abstractNum>
  <w:abstractNum w:abstractNumId="94">
    <w:nsid w:val="62A5D5BD"/>
    <w:multiLevelType w:val="hybridMultilevel"/>
    <w:lvl w:ilvl="0">
      <w:lvlJc w:val="left"/>
      <w:lvlText w:val="•"/>
      <w:numFmt w:val="bullet"/>
      <w:start w:val="1"/>
    </w:lvl>
  </w:abstractNum>
  <w:abstractNum w:abstractNumId="95">
    <w:nsid w:val="718FABF9"/>
    <w:multiLevelType w:val="hybridMultilevel"/>
    <w:lvl w:ilvl="0">
      <w:lvlJc w:val="left"/>
      <w:lvlText w:val="•"/>
      <w:numFmt w:val="bullet"/>
      <w:start w:val="1"/>
    </w:lvl>
  </w:abstractNum>
  <w:abstractNum w:abstractNumId="96">
    <w:nsid w:val="7775797C"/>
    <w:multiLevelType w:val="hybridMultilevel"/>
    <w:lvl w:ilvl="0">
      <w:lvlJc w:val="left"/>
      <w:lvlText w:val="•"/>
      <w:numFmt w:val="bullet"/>
      <w:start w:val="1"/>
    </w:lvl>
  </w:abstractNum>
  <w:abstractNum w:abstractNumId="97">
    <w:nsid w:val="1626FB8C"/>
    <w:multiLevelType w:val="hybridMultilevel"/>
    <w:lvl w:ilvl="0">
      <w:lvlJc w:val="left"/>
      <w:lvlText w:val="%1"/>
      <w:numFmt w:val="upperLetter"/>
      <w:start w:val="61"/>
    </w:lvl>
  </w:abstractNum>
  <w:abstractNum w:abstractNumId="98">
    <w:nsid w:val="3957756A"/>
    <w:multiLevelType w:val="hybridMultilevel"/>
    <w:lvl w:ilvl="0">
      <w:lvlJc w:val="left"/>
      <w:lvlText w:val="(%1)"/>
      <w:numFmt w:val="lowerLetter"/>
      <w:start w:val="1"/>
    </w:lvl>
  </w:abstractNum>
  <w:abstractNum w:abstractNumId="99">
    <w:nsid w:val="3E6DA1C7"/>
    <w:multiLevelType w:val="hybridMultilevel"/>
    <w:lvl w:ilvl="0">
      <w:lvlJc w:val="left"/>
      <w:lvlText w:val="(%1)"/>
      <w:numFmt w:val="lowerLetter"/>
      <w:start w:val="4"/>
    </w:lvl>
  </w:abstractNum>
  <w:abstractNum w:abstractNumId="100">
    <w:nsid w:val="65CA235B"/>
    <w:multiLevelType w:val="hybridMultilevel"/>
    <w:lvl w:ilvl="0">
      <w:lvlJc w:val="left"/>
      <w:lvlText w:val="•"/>
      <w:numFmt w:val="bullet"/>
      <w:start w:val="1"/>
    </w:lvl>
  </w:abstractNum>
  <w:abstractNum w:abstractNumId="101">
    <w:nsid w:val="51CB0DA4"/>
    <w:multiLevelType w:val="hybridMultilevel"/>
    <w:lvl w:ilvl="0">
      <w:lvlJc w:val="left"/>
      <w:lvlText w:val="•"/>
      <w:numFmt w:val="bullet"/>
      <w:start w:val="1"/>
    </w:lvl>
  </w:abstractNum>
  <w:abstractNum w:abstractNumId="102">
    <w:nsid w:val="7B9B743C"/>
    <w:multiLevelType w:val="hybridMultilevel"/>
    <w:lvl w:ilvl="0">
      <w:lvlJc w:val="left"/>
      <w:lvlText w:val="•"/>
      <w:numFmt w:val="bullet"/>
      <w:start w:val="1"/>
    </w:lvl>
  </w:abstractNum>
  <w:abstractNum w:abstractNumId="103">
    <w:nsid w:val="13E21002"/>
    <w:multiLevelType w:val="hybridMultilevel"/>
    <w:lvl w:ilvl="0">
      <w:lvlJc w:val="left"/>
      <w:lvlText w:val="•"/>
      <w:numFmt w:val="bullet"/>
      <w:start w:val="1"/>
    </w:lvl>
  </w:abstractNum>
  <w:abstractNum w:abstractNumId="104">
    <w:nsid w:val="257D63F4"/>
    <w:multiLevelType w:val="hybridMultilevel"/>
    <w:lvl w:ilvl="0">
      <w:lvlJc w:val="left"/>
      <w:lvlText w:val="(%1)"/>
      <w:numFmt w:val="lowerRoman"/>
      <w:start w:val="1"/>
    </w:lvl>
  </w:abstractNum>
  <w:abstractNum w:abstractNumId="105">
    <w:nsid w:val="70EC11B2"/>
    <w:multiLevelType w:val="hybridMultilevel"/>
    <w:lvl w:ilvl="0">
      <w:lvlJc w:val="left"/>
      <w:lvlText w:val="(%1)"/>
      <w:numFmt w:val="lowerLetter"/>
      <w:start w:val="1"/>
    </w:lvl>
  </w:abstractNum>
  <w:abstractNum w:abstractNumId="106">
    <w:nsid w:val="2EDA00ED"/>
    <w:multiLevelType w:val="hybridMultilevel"/>
    <w:lvl w:ilvl="0">
      <w:lvlJc w:val="left"/>
      <w:lvlText w:val="•"/>
      <w:numFmt w:val="bullet"/>
      <w:start w:val="1"/>
    </w:lvl>
  </w:abstractNum>
  <w:abstractNum w:abstractNumId="107">
    <w:nsid w:val="73209072"/>
    <w:multiLevelType w:val="hybridMultilevel"/>
    <w:lvl w:ilvl="0">
      <w:lvlJc w:val="left"/>
      <w:lvlText w:val="(%1)"/>
      <w:numFmt w:val="decimal"/>
      <w:start w:val="2"/>
    </w:lvl>
  </w:abstractNum>
  <w:abstractNum w:abstractNumId="108">
    <w:nsid w:val="5FB29816"/>
    <w:multiLevelType w:val="hybridMultilevel"/>
    <w:lvl w:ilvl="0">
      <w:lvlJc w:val="left"/>
      <w:lvlText w:val="(%1)"/>
      <w:numFmt w:val="decimal"/>
      <w:start w:val="1"/>
    </w:lvl>
  </w:abstractNum>
  <w:abstractNum w:abstractNumId="109">
    <w:nsid w:val="3CE732EC"/>
    <w:multiLevelType w:val="hybridMultilevel"/>
    <w:lvl w:ilvl="0">
      <w:lvlJc w:val="left"/>
      <w:lvlText w:val="•"/>
      <w:numFmt w:val="bullet"/>
      <w:start w:val="1"/>
    </w:lvl>
  </w:abstractNum>
  <w:abstractNum w:abstractNumId="110">
    <w:nsid w:val="22F13DF3"/>
    <w:multiLevelType w:val="hybridMultilevel"/>
    <w:lvl w:ilvl="0">
      <w:lvlJc w:val="left"/>
      <w:lvlText w:val="•"/>
      <w:numFmt w:val="bullet"/>
      <w:start w:val="1"/>
    </w:lvl>
  </w:abstractNum>
  <w:abstractNum w:abstractNumId="111">
    <w:nsid w:val="792B8401"/>
    <w:multiLevelType w:val="hybridMultilevel"/>
    <w:lvl w:ilvl="0">
      <w:lvlJc w:val="left"/>
      <w:lvlText w:val="•"/>
      <w:numFmt w:val="bullet"/>
      <w:start w:val="1"/>
    </w:lvl>
  </w:abstractNum>
  <w:abstractNum w:abstractNumId="112">
    <w:nsid w:val="FA85F4D"/>
    <w:multiLevelType w:val="hybridMultilevel"/>
    <w:lvl w:ilvl="0">
      <w:lvlJc w:val="left"/>
      <w:lvlText w:val="•"/>
      <w:numFmt w:val="bullet"/>
      <w:start w:val="1"/>
    </w:lvl>
  </w:abstractNum>
  <w:abstractNum w:abstractNumId="113">
    <w:nsid w:val="6ECE91F0"/>
    <w:multiLevelType w:val="hybridMultilevel"/>
    <w:lvl w:ilvl="0">
      <w:lvlJc w:val="left"/>
      <w:lvlText w:val="•"/>
      <w:numFmt w:val="bullet"/>
      <w:start w:val="1"/>
    </w:lvl>
  </w:abstractNum>
  <w:abstractNum w:abstractNumId="114">
    <w:nsid w:val="4FC4D600"/>
    <w:multiLevelType w:val="hybridMultilevel"/>
    <w:lvl w:ilvl="0">
      <w:lvlJc w:val="left"/>
      <w:lvlText w:val="•"/>
      <w:numFmt w:val="bullet"/>
      <w:start w:val="1"/>
    </w:lvl>
  </w:abstractNum>
  <w:abstractNum w:abstractNumId="115">
    <w:nsid w:val="5BFD4210"/>
    <w:multiLevelType w:val="hybridMultilevel"/>
    <w:lvl w:ilvl="0">
      <w:lvlJc w:val="left"/>
      <w:lvlText w:val="•"/>
      <w:numFmt w:val="bullet"/>
      <w:start w:val="1"/>
    </w:lvl>
  </w:abstractNum>
  <w:abstractNum w:abstractNumId="116">
    <w:nsid w:val="76574F8B"/>
    <w:multiLevelType w:val="hybridMultilevel"/>
    <w:lvl w:ilvl="0">
      <w:lvlJc w:val="left"/>
      <w:lvlText w:val="•"/>
      <w:numFmt w:val="bullet"/>
      <w:start w:val="1"/>
    </w:lvl>
  </w:abstractNum>
  <w:abstractNum w:abstractNumId="117">
    <w:nsid w:val="178F7B67"/>
    <w:multiLevelType w:val="hybridMultilevel"/>
    <w:lvl w:ilvl="0">
      <w:lvlJc w:val="left"/>
      <w:lvlText w:val="•"/>
      <w:numFmt w:val="bullet"/>
      <w:start w:val="1"/>
    </w:lvl>
  </w:abstractNum>
  <w:abstractNum w:abstractNumId="118">
    <w:nsid w:val="2421DFCF"/>
    <w:multiLevelType w:val="hybridMultilevel"/>
    <w:lvl w:ilvl="0">
      <w:lvlJc w:val="left"/>
      <w:lvlText w:val="•"/>
      <w:numFmt w:val="bullet"/>
      <w:start w:val="1"/>
    </w:lvl>
  </w:abstractNum>
  <w:abstractNum w:abstractNumId="119">
    <w:nsid w:val="1565AC99"/>
    <w:multiLevelType w:val="hybridMultilevel"/>
    <w:lvl w:ilvl="0">
      <w:lvlJc w:val="left"/>
      <w:lvlText w:val="•"/>
      <w:numFmt w:val="bullet"/>
      <w:start w:val="1"/>
    </w:lvl>
  </w:abstractNum>
  <w:abstractNum w:abstractNumId="120">
    <w:nsid w:val="19FB2650"/>
    <w:multiLevelType w:val="hybridMultilevel"/>
    <w:lvl w:ilvl="0">
      <w:lvlJc w:val="left"/>
      <w:lvlText w:val="•"/>
      <w:numFmt w:val="bullet"/>
      <w:start w:val="1"/>
    </w:lvl>
  </w:abstractNum>
  <w:abstractNum w:abstractNumId="121">
    <w:nsid w:val="5024DE5B"/>
    <w:multiLevelType w:val="hybridMultilevel"/>
    <w:lvl w:ilvl="0">
      <w:lvlJc w:val="left"/>
      <w:lvlText w:val="•"/>
      <w:numFmt w:val="bullet"/>
      <w:start w:val="1"/>
    </w:lvl>
  </w:abstractNum>
  <w:abstractNum w:abstractNumId="122">
    <w:nsid w:val="168EFE17"/>
    <w:multiLevelType w:val="hybridMultilevel"/>
    <w:lvl w:ilvl="0">
      <w:lvlJc w:val="left"/>
      <w:lvlText w:val="•"/>
      <w:numFmt w:val="bullet"/>
      <w:start w:val="1"/>
    </w:lvl>
  </w:abstractNum>
  <w:abstractNum w:abstractNumId="123">
    <w:nsid w:val="1036B29F"/>
    <w:multiLevelType w:val="hybridMultilevel"/>
    <w:lvl w:ilvl="0">
      <w:lvlJc w:val="left"/>
      <w:lvlText w:val="•"/>
      <w:numFmt w:val="bullet"/>
      <w:start w:val="1"/>
    </w:lvl>
  </w:abstractNum>
  <w:abstractNum w:abstractNumId="124">
    <w:nsid w:val="1D206B8E"/>
    <w:multiLevelType w:val="hybridMultilevel"/>
    <w:lvl w:ilvl="0">
      <w:lvlJc w:val="left"/>
      <w:lvlText w:val="•"/>
      <w:numFmt w:val="bullet"/>
      <w:start w:val="1"/>
    </w:lvl>
  </w:abstractNum>
  <w:abstractNum w:abstractNumId="125">
    <w:nsid w:val="7934D3D4"/>
    <w:multiLevelType w:val="hybridMultilevel"/>
    <w:lvl w:ilvl="0">
      <w:lvlJc w:val="left"/>
      <w:lvlText w:val="•"/>
      <w:numFmt w:val="bullet"/>
      <w:start w:val="1"/>
    </w:lvl>
  </w:abstractNum>
  <w:abstractNum w:abstractNumId="126">
    <w:nsid w:val="1C65E98"/>
    <w:multiLevelType w:val="hybridMultilevel"/>
    <w:lvl w:ilvl="0">
      <w:lvlJc w:val="left"/>
      <w:lvlText w:val="•"/>
      <w:numFmt w:val="bullet"/>
      <w:start w:val="1"/>
    </w:lvl>
  </w:abstractNum>
  <w:abstractNum w:abstractNumId="127">
    <w:nsid w:val="1495E50A"/>
    <w:multiLevelType w:val="hybridMultilevel"/>
    <w:lvl w:ilvl="0">
      <w:lvlJc w:val="left"/>
      <w:lvlText w:val="•"/>
      <w:numFmt w:val="bullet"/>
      <w:start w:val="1"/>
    </w:lvl>
  </w:abstractNum>
  <w:abstractNum w:abstractNumId="128">
    <w:nsid w:val="F5BCF61"/>
    <w:multiLevelType w:val="hybridMultilevel"/>
    <w:lvl w:ilvl="0">
      <w:lvlJc w:val="left"/>
      <w:lvlText w:val="•"/>
      <w:numFmt w:val="bullet"/>
      <w:start w:val="1"/>
    </w:lvl>
  </w:abstractNum>
  <w:abstractNum w:abstractNumId="129">
    <w:nsid w:val="3B1DD403"/>
    <w:multiLevelType w:val="hybridMultilevel"/>
    <w:lvl w:ilvl="0">
      <w:lvlJc w:val="left"/>
      <w:lvlText w:val="•"/>
      <w:numFmt w:val="bullet"/>
      <w:start w:val="1"/>
    </w:lvl>
  </w:abstractNum>
  <w:abstractNum w:abstractNumId="130">
    <w:nsid w:val="530386D1"/>
    <w:multiLevelType w:val="hybridMultilevel"/>
    <w:lvl w:ilvl="0">
      <w:lvlJc w:val="left"/>
      <w:lvlText w:val="•"/>
      <w:numFmt w:val="bullet"/>
      <w:start w:val="1"/>
    </w:lvl>
  </w:abstractNum>
  <w:abstractNum w:abstractNumId="131">
    <w:nsid w:val="7525F2BC"/>
    <w:multiLevelType w:val="hybridMultilevel"/>
    <w:lvl w:ilvl="0">
      <w:lvlJc w:val="left"/>
      <w:lvlText w:val="•"/>
      <w:numFmt w:val="bullet"/>
      <w:start w:val="1"/>
    </w:lvl>
  </w:abstractNum>
  <w:abstractNum w:abstractNumId="132">
    <w:nsid w:val="CE8E1A7"/>
    <w:multiLevelType w:val="hybridMultilevel"/>
    <w:lvl w:ilvl="0">
      <w:lvlJc w:val="left"/>
      <w:lvlText w:val="•"/>
      <w:numFmt w:val="bullet"/>
      <w:start w:val="1"/>
    </w:lvl>
  </w:abstractNum>
  <w:abstractNum w:abstractNumId="133">
    <w:nsid w:val="4E9EFB0D"/>
    <w:multiLevelType w:val="hybridMultilevel"/>
    <w:lvl w:ilvl="0">
      <w:lvlJc w:val="left"/>
      <w:lvlText w:val="(%1)"/>
      <w:numFmt w:val="lowerRoman"/>
      <w:start w:val="2"/>
    </w:lvl>
  </w:abstractNum>
  <w:abstractNum w:abstractNumId="134">
    <w:nsid w:val="90802BE"/>
    <w:multiLevelType w:val="hybridMultilevel"/>
    <w:lvl w:ilvl="0">
      <w:lvlJc w:val="left"/>
      <w:lvlText w:val="•"/>
      <w:numFmt w:val="bullet"/>
      <w:start w:val="1"/>
    </w:lvl>
  </w:abstractNum>
  <w:abstractNum w:abstractNumId="135">
    <w:nsid w:val="3266459B"/>
    <w:multiLevelType w:val="hybridMultilevel"/>
    <w:lvl w:ilvl="0">
      <w:lvlJc w:val="left"/>
      <w:lvlText w:val="•"/>
      <w:numFmt w:val="bullet"/>
      <w:start w:val="1"/>
    </w:lvl>
  </w:abstractNum>
  <w:abstractNum w:abstractNumId="136">
    <w:nsid w:val="3F8B0CBF"/>
    <w:multiLevelType w:val="hybridMultilevel"/>
    <w:lvl w:ilvl="0">
      <w:lvlJc w:val="left"/>
      <w:lvlText w:val="•"/>
      <w:numFmt w:val="bullet"/>
      <w:start w:val="1"/>
    </w:lvl>
  </w:abstractNum>
  <w:abstractNum w:abstractNumId="137">
    <w:nsid w:val="37E203AB"/>
    <w:multiLevelType w:val="hybridMultilevel"/>
    <w:lvl w:ilvl="0">
      <w:lvlJc w:val="left"/>
      <w:lvlText w:val="•"/>
      <w:numFmt w:val="bullet"/>
      <w:start w:val="1"/>
    </w:lvl>
  </w:abstractNum>
  <w:abstractNum w:abstractNumId="138">
    <w:nsid w:val="2586D60E"/>
    <w:multiLevelType w:val="hybridMultilevel"/>
    <w:lvl w:ilvl="0">
      <w:lvlJc w:val="left"/>
      <w:lvlText w:val="•"/>
      <w:numFmt w:val="bullet"/>
      <w:start w:val="1"/>
    </w:lvl>
  </w:abstractNum>
  <w:abstractNum w:abstractNumId="139">
    <w:nsid w:val="1F3DA4D5"/>
    <w:multiLevelType w:val="hybridMultilevel"/>
    <w:lvl w:ilvl="0">
      <w:lvlJc w:val="left"/>
      <w:lvlText w:val="•"/>
      <w:numFmt w:val="bullet"/>
      <w:start w:val="1"/>
    </w:lvl>
  </w:abstractNum>
  <w:abstractNum w:abstractNumId="140">
    <w:nsid w:val="74C93698"/>
    <w:multiLevelType w:val="hybridMultilevel"/>
    <w:lvl w:ilvl="0">
      <w:lvlJc w:val="left"/>
      <w:lvlText w:val="•"/>
      <w:numFmt w:val="bullet"/>
      <w:start w:val="1"/>
    </w:lvl>
  </w:abstractNum>
  <w:abstractNum w:abstractNumId="141">
    <w:nsid w:val="48781401"/>
    <w:multiLevelType w:val="hybridMultilevel"/>
    <w:lvl w:ilvl="0">
      <w:lvlJc w:val="left"/>
      <w:lvlText w:val="•"/>
      <w:numFmt w:val="bullet"/>
      <w:start w:val="1"/>
    </w:lvl>
  </w:abstractNum>
  <w:abstractNum w:abstractNumId="142">
    <w:nsid w:val="186928D6"/>
    <w:multiLevelType w:val="hybridMultilevel"/>
    <w:lvl w:ilvl="0">
      <w:lvlJc w:val="left"/>
      <w:lvlText w:val="•"/>
      <w:numFmt w:val="bullet"/>
      <w:start w:val="1"/>
    </w:lvl>
  </w:abstractNum>
  <w:abstractNum w:abstractNumId="143">
    <w:nsid w:val="47195E5"/>
    <w:multiLevelType w:val="hybridMultilevel"/>
    <w:lvl w:ilvl="0">
      <w:lvlJc w:val="left"/>
      <w:lvlText w:val="•"/>
      <w:numFmt w:val="bullet"/>
      <w:start w:val="1"/>
    </w:lvl>
  </w:abstractNum>
  <w:abstractNum w:abstractNumId="144">
    <w:nsid w:val="3746A5F2"/>
    <w:multiLevelType w:val="hybridMultilevel"/>
    <w:lvl w:ilvl="0">
      <w:lvlJc w:val="left"/>
      <w:lvlText w:val="•"/>
      <w:numFmt w:val="bullet"/>
      <w:start w:val="1"/>
    </w:lvl>
  </w:abstractNum>
  <w:abstractNum w:abstractNumId="145">
    <w:nsid w:val="682DFED6"/>
    <w:multiLevelType w:val="hybridMultilevel"/>
    <w:lvl w:ilvl="0">
      <w:lvlJc w:val="left"/>
      <w:lvlText w:val="•"/>
      <w:numFmt w:val="bullet"/>
      <w:start w:val="1"/>
    </w:lvl>
  </w:abstractNum>
  <w:abstractNum w:abstractNumId="146">
    <w:nsid w:val="606ED7F6"/>
    <w:multiLevelType w:val="hybridMultilevel"/>
    <w:lvl w:ilvl="0">
      <w:lvlJc w:val="left"/>
      <w:lvlText w:val="•"/>
      <w:numFmt w:val="bullet"/>
      <w:start w:val="1"/>
    </w:lvl>
  </w:abstractNum>
  <w:abstractNum w:abstractNumId="147">
    <w:nsid w:val="2D9DF57D"/>
    <w:multiLevelType w:val="hybridMultilevel"/>
    <w:lvl w:ilvl="0">
      <w:lvlJc w:val="left"/>
      <w:lvlText w:val="•"/>
      <w:numFmt w:val="bullet"/>
      <w:start w:val="1"/>
    </w:lvl>
  </w:abstractNum>
  <w:abstractNum w:abstractNumId="148">
    <w:nsid w:val="7FBD7A3E"/>
    <w:multiLevelType w:val="hybridMultilevel"/>
    <w:lvl w:ilvl="0">
      <w:lvlJc w:val="left"/>
      <w:lvlText w:val="•"/>
      <w:numFmt w:val="bullet"/>
      <w:start w:val="1"/>
    </w:lvl>
  </w:abstractNum>
  <w:abstractNum w:abstractNumId="149">
    <w:nsid w:val="490B7C5"/>
    <w:multiLevelType w:val="hybridMultilevel"/>
    <w:lvl w:ilvl="0">
      <w:lvlJc w:val="left"/>
      <w:lvlText w:val="(%1)"/>
      <w:numFmt w:val="lowerLetter"/>
      <w:start w:val="1"/>
    </w:lvl>
  </w:abstractNum>
  <w:abstractNum w:abstractNumId="150">
    <w:nsid w:val="4303A216"/>
    <w:multiLevelType w:val="hybridMultilevel"/>
    <w:lvl w:ilvl="0">
      <w:lvlJc w:val="left"/>
      <w:lvlText w:val="(%1)"/>
      <w:numFmt w:val="upperLetter"/>
      <w:start w:val="1"/>
    </w:lvl>
  </w:abstractNum>
  <w:abstractNum w:abstractNumId="151">
    <w:nsid w:val="19B8A08E"/>
    <w:multiLevelType w:val="hybridMultilevel"/>
    <w:lvl w:ilvl="0">
      <w:lvlJc w:val="left"/>
      <w:lvlText w:val="•"/>
      <w:numFmt w:val="bullet"/>
      <w:start w:val="1"/>
    </w:lvl>
  </w:abstractNum>
  <w:abstractNum w:abstractNumId="152">
    <w:nsid w:val="54B59621"/>
    <w:multiLevelType w:val="hybridMultilevel"/>
    <w:lvl w:ilvl="0">
      <w:lvlJc w:val="left"/>
      <w:lvlText w:val="•"/>
      <w:numFmt w:val="bullet"/>
      <w:start w:val="1"/>
    </w:lvl>
  </w:abstractNum>
  <w:abstractNum w:abstractNumId="153">
    <w:nsid w:val="5992A02E"/>
    <w:multiLevelType w:val="hybridMultilevel"/>
    <w:lvl w:ilvl="0">
      <w:lvlJc w:val="left"/>
      <w:lvlText w:val="%1)"/>
      <w:numFmt w:val="lowerLetter"/>
      <w:start w:val="1"/>
    </w:lvl>
  </w:abstractNum>
  <w:abstractNum w:abstractNumId="154">
    <w:nsid w:val="29EF532D"/>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55">
    <w:nsid w:val="71D601AF"/>
    <w:multiLevelType w:val="hybridMultilevel"/>
    <w:lvl w:ilvl="0">
      <w:lvlJc w:val="left"/>
      <w:lvlText w:val="%1)"/>
      <w:numFmt w:val="lowerLetter"/>
      <w:start w:val="4"/>
    </w:lvl>
  </w:abstractNum>
  <w:abstractNum w:abstractNumId="156">
    <w:nsid w:val="52C77402"/>
    <w:multiLevelType w:val="hybridMultilevel"/>
    <w:lvl w:ilvl="0">
      <w:lvlJc w:val="left"/>
      <w:lvlText w:val="%1)"/>
      <w:numFmt w:val="lowerLetter"/>
      <w:start w:val="5"/>
    </w:lvl>
  </w:abstractNum>
  <w:abstractNum w:abstractNumId="157">
    <w:nsid w:val="2BB5B1C6"/>
    <w:multiLevelType w:val="hybridMultilevel"/>
    <w:lvl w:ilvl="0">
      <w:lvlJc w:val="left"/>
      <w:lvlText w:val="(%1)"/>
      <w:numFmt w:val="decimal"/>
      <w:start w:val="1"/>
    </w:lvl>
  </w:abstractNum>
  <w:abstractNum w:abstractNumId="158">
    <w:nsid w:val="66BE6B9"/>
    <w:multiLevelType w:val="hybridMultilevel"/>
    <w:lvl w:ilvl="0">
      <w:lvlJc w:val="left"/>
      <w:lvlText w:val="(%1)"/>
      <w:numFmt w:val="decimal"/>
      <w:start w:val="2"/>
    </w:lvl>
  </w:abstractNum>
  <w:abstractNum w:abstractNumId="159">
    <w:nsid w:val="62234363"/>
    <w:multiLevelType w:val="hybridMultilevel"/>
    <w:lvl w:ilvl="0">
      <w:lvlJc w:val="left"/>
      <w:lvlText w:val="(%1)"/>
      <w:numFmt w:val="lowerRoman"/>
      <w:start w:val="2"/>
    </w:lvl>
  </w:abstractNum>
  <w:abstractNum w:abstractNumId="160">
    <w:nsid w:val="66D385C9"/>
    <w:multiLevelType w:val="hybridMultilevel"/>
    <w:lvl w:ilvl="0">
      <w:lvlJc w:val="left"/>
      <w:lvlText w:val="•"/>
      <w:numFmt w:val="bullet"/>
      <w:start w:val="1"/>
    </w:lvl>
  </w:abstractNum>
  <w:abstractNum w:abstractNumId="161">
    <w:nsid w:val="596F6D8A"/>
    <w:multiLevelType w:val="hybridMultilevel"/>
    <w:lvl w:ilvl="0">
      <w:lvlJc w:val="left"/>
      <w:lvlText w:val="•"/>
      <w:numFmt w:val="bullet"/>
      <w:start w:val="1"/>
    </w:lvl>
  </w:abstractNum>
  <w:abstractNum w:abstractNumId="162">
    <w:nsid w:val="5749361F"/>
    <w:multiLevelType w:val="hybridMultilevel"/>
    <w:lvl w:ilvl="0">
      <w:lvlJc w:val="left"/>
      <w:lvlText w:val="•"/>
      <w:numFmt w:val="bullet"/>
      <w:start w:val="1"/>
    </w:lvl>
  </w:abstractNum>
  <w:abstractNum w:abstractNumId="163">
    <w:nsid w:val="73BC6770"/>
    <w:multiLevelType w:val="hybridMultilevel"/>
    <w:lvl w:ilvl="0">
      <w:lvlJc w:val="left"/>
      <w:lvlText w:val="•"/>
      <w:numFmt w:val="bullet"/>
      <w:start w:val="1"/>
    </w:lvl>
  </w:abstractNum>
  <w:abstractNum w:abstractNumId="164">
    <w:nsid w:val="280E6897"/>
    <w:multiLevelType w:val="hybridMultilevel"/>
    <w:lvl w:ilvl="0">
      <w:lvlJc w:val="left"/>
      <w:lvlText w:val="•"/>
      <w:numFmt w:val="bullet"/>
      <w:start w:val="1"/>
    </w:lvl>
  </w:abstractNum>
  <w:abstractNum w:abstractNumId="165">
    <w:nsid w:val="605138DE"/>
    <w:multiLevelType w:val="hybridMultilevel"/>
    <w:lvl w:ilvl="0">
      <w:lvlJc w:val="left"/>
      <w:lvlText w:val="•"/>
      <w:numFmt w:val="bullet"/>
      <w:start w:val="1"/>
    </w:lvl>
  </w:abstractNum>
  <w:abstractNum w:abstractNumId="166">
    <w:nsid w:val="2622AD0C"/>
    <w:multiLevelType w:val="hybridMultilevel"/>
    <w:lvl w:ilvl="0">
      <w:lvlJc w:val="left"/>
      <w:lvlText w:val="•"/>
      <w:numFmt w:val="bullet"/>
      <w:start w:val="1"/>
    </w:lvl>
  </w:abstractNum>
  <w:abstractNum w:abstractNumId="167">
    <w:nsid w:val="67997556"/>
    <w:multiLevelType w:val="hybridMultilevel"/>
    <w:lvl w:ilvl="0">
      <w:lvlJc w:val="left"/>
      <w:lvlText w:val="•"/>
      <w:numFmt w:val="bullet"/>
      <w:start w:val="1"/>
    </w:lvl>
  </w:abstractNum>
  <w:abstractNum w:abstractNumId="168">
    <w:nsid w:val="18333C89"/>
    <w:multiLevelType w:val="hybridMultilevel"/>
    <w:lvl w:ilvl="0">
      <w:lvlJc w:val="left"/>
      <w:lvlText w:val="•"/>
      <w:numFmt w:val="bullet"/>
      <w:start w:val="1"/>
    </w:lvl>
  </w:abstractNum>
  <w:abstractNum w:abstractNumId="169">
    <w:nsid w:val="4BA9831A"/>
    <w:multiLevelType w:val="hybridMultilevel"/>
    <w:lvl w:ilvl="0">
      <w:lvlJc w:val="left"/>
      <w:lvlText w:val="•"/>
      <w:numFmt w:val="bullet"/>
      <w:start w:val="1"/>
    </w:lvl>
  </w:abstractNum>
  <w:abstractNum w:abstractNumId="170">
    <w:nsid w:val="6D71A2B"/>
    <w:multiLevelType w:val="hybridMultilevel"/>
    <w:lvl w:ilvl="0">
      <w:lvlJc w:val="left"/>
      <w:lvlText w:val="•"/>
      <w:numFmt w:val="bullet"/>
      <w:start w:val="1"/>
    </w:lvl>
  </w:abstractNum>
  <w:abstractNum w:abstractNumId="171">
    <w:nsid w:val="CFC7321"/>
    <w:multiLevelType w:val="hybridMultilevel"/>
    <w:lvl w:ilvl="0">
      <w:lvlJc w:val="left"/>
      <w:lvlText w:val="•"/>
      <w:numFmt w:val="bullet"/>
      <w:start w:val="1"/>
    </w:lvl>
  </w:abstractNum>
  <w:abstractNum w:abstractNumId="172">
    <w:nsid w:val="1421971B"/>
    <w:multiLevelType w:val="hybridMultilevel"/>
    <w:lvl w:ilvl="0">
      <w:lvlJc w:val="left"/>
      <w:lvlText w:val="(%1)"/>
      <w:numFmt w:val="lowerRoman"/>
      <w:start w:val="3"/>
    </w:lvl>
  </w:abstractNum>
  <w:abstractNum w:abstractNumId="173">
    <w:nsid w:val="1F404301"/>
    <w:multiLevelType w:val="hybridMultilevel"/>
    <w:lvl w:ilvl="0">
      <w:lvlJc w:val="left"/>
      <w:lvlText w:val="(%1)"/>
      <w:numFmt w:val="lowerRoman"/>
      <w:start w:val="2"/>
    </w:lvl>
  </w:abstractNum>
  <w:abstractNum w:abstractNumId="174">
    <w:nsid w:val="116E0907"/>
    <w:multiLevelType w:val="hybridMultilevel"/>
    <w:lvl w:ilvl="0">
      <w:lvlJc w:val="left"/>
      <w:lvlText w:val="•"/>
      <w:numFmt w:val="bullet"/>
      <w:start w:val="1"/>
    </w:lvl>
  </w:abstractNum>
  <w:abstractNum w:abstractNumId="175">
    <w:nsid w:val="4B683D0D"/>
    <w:multiLevelType w:val="hybridMultilevel"/>
    <w:lvl w:ilvl="0">
      <w:lvlJc w:val="left"/>
      <w:lvlText w:val="•"/>
      <w:numFmt w:val="bullet"/>
      <w:start w:val="1"/>
    </w:lvl>
  </w:abstractNum>
  <w:abstractNum w:abstractNumId="176">
    <w:nsid w:val="76E41D8"/>
    <w:multiLevelType w:val="hybridMultilevel"/>
    <w:lvl w:ilvl="0">
      <w:lvlJc w:val="left"/>
      <w:lvlText w:val="•"/>
      <w:numFmt w:val="bullet"/>
      <w:start w:val="1"/>
    </w:lvl>
  </w:abstractNum>
  <w:abstractNum w:abstractNumId="177">
    <w:nsid w:val="71DCE0FD"/>
    <w:multiLevelType w:val="hybridMultilevel"/>
    <w:lvl w:ilvl="0">
      <w:lvlJc w:val="left"/>
      <w:lvlText w:val="•"/>
      <w:numFmt w:val="bullet"/>
      <w:start w:val="1"/>
    </w:lvl>
  </w:abstractNum>
  <w:abstractNum w:abstractNumId="178">
    <w:nsid w:val="7906328B"/>
    <w:multiLevelType w:val="hybridMultilevel"/>
    <w:lvl w:ilvl="0">
      <w:lvlJc w:val="left"/>
      <w:lvlText w:val="•"/>
      <w:numFmt w:val="bullet"/>
      <w:start w:val="1"/>
    </w:lvl>
  </w:abstractNum>
  <w:abstractNum w:abstractNumId="179">
    <w:nsid w:val="72BBC16"/>
    <w:multiLevelType w:val="hybridMultilevel"/>
    <w:lvl w:ilvl="0">
      <w:lvlJc w:val="left"/>
      <w:lvlText w:val="•"/>
      <w:numFmt w:val="bullet"/>
      <w:start w:val="1"/>
    </w:lvl>
  </w:abstractNum>
  <w:abstractNum w:abstractNumId="180">
    <w:nsid w:val="766D98C2"/>
    <w:multiLevelType w:val="hybridMultilevel"/>
    <w:lvl w:ilvl="0">
      <w:lvlJc w:val="left"/>
      <w:lvlText w:val="•"/>
      <w:numFmt w:val="bullet"/>
      <w:start w:val="1"/>
    </w:lvl>
  </w:abstractNum>
  <w:abstractNum w:abstractNumId="181">
    <w:nsid w:val="3C09D4A1"/>
    <w:multiLevelType w:val="hybridMultilevel"/>
    <w:lvl w:ilvl="0">
      <w:lvlJc w:val="left"/>
      <w:lvlText w:val="(%1)"/>
      <w:numFmt w:val="lowerLetter"/>
      <w:start w:val="1"/>
    </w:lvl>
  </w:abstractNum>
  <w:abstractNum w:abstractNumId="182">
    <w:nsid w:val="20E45CA4"/>
    <w:multiLevelType w:val="hybridMultilevel"/>
    <w:lvl w:ilvl="0">
      <w:lvlJc w:val="left"/>
      <w:lvlText w:val="•"/>
      <w:numFmt w:val="bullet"/>
      <w:start w:val="1"/>
    </w:lvl>
  </w:abstractNum>
  <w:abstractNum w:abstractNumId="183">
    <w:nsid w:val="4B232EE3"/>
    <w:multiLevelType w:val="hybridMultilevel"/>
    <w:lvl w:ilvl="0">
      <w:lvlJc w:val="left"/>
      <w:lvlText w:val="•"/>
      <w:numFmt w:val="bullet"/>
      <w:start w:val="1"/>
    </w:lvl>
  </w:abstractNum>
  <w:abstractNum w:abstractNumId="184">
    <w:nsid w:val="159C74CF"/>
    <w:multiLevelType w:val="hybridMultilevel"/>
    <w:lvl w:ilvl="0">
      <w:lvlJc w:val="left"/>
      <w:lvlText w:val="•"/>
      <w:numFmt w:val="bullet"/>
      <w:start w:val="1"/>
    </w:lvl>
  </w:abstractNum>
  <w:abstractNum w:abstractNumId="185">
    <w:nsid w:val="4AD3AFD2"/>
    <w:multiLevelType w:val="hybridMultilevel"/>
    <w:lvl w:ilvl="0">
      <w:lvlJc w:val="left"/>
      <w:lvlText w:val="•"/>
      <w:numFmt w:val="bullet"/>
      <w:start w:val="1"/>
    </w:lvl>
  </w:abstractNum>
  <w:abstractNum w:abstractNumId="186">
    <w:nsid w:val="3CF93092"/>
    <w:multiLevelType w:val="hybridMultilevel"/>
    <w:lvl w:ilvl="0">
      <w:lvlJc w:val="left"/>
      <w:lvlText w:val="•"/>
      <w:numFmt w:val="bullet"/>
      <w:start w:val="1"/>
    </w:lvl>
  </w:abstractNum>
  <w:abstractNum w:abstractNumId="187">
    <w:nsid w:val="6863E8D2"/>
    <w:multiLevelType w:val="hybridMultilevel"/>
    <w:lvl w:ilvl="0">
      <w:lvlJc w:val="left"/>
      <w:lvlText w:val="•"/>
      <w:numFmt w:val="bullet"/>
      <w:start w:val="1"/>
    </w:lvl>
  </w:abstractNum>
  <w:abstractNum w:abstractNumId="188">
    <w:nsid w:val="76896198"/>
    <w:multiLevelType w:val="hybridMultilevel"/>
    <w:lvl w:ilvl="0">
      <w:lvlJc w:val="left"/>
      <w:lvlText w:val="•"/>
      <w:numFmt w:val="bullet"/>
      <w:start w:val="1"/>
    </w:lvl>
  </w:abstractNum>
  <w:abstractNum w:abstractNumId="189">
    <w:nsid w:val="4365174B"/>
    <w:multiLevelType w:val="hybridMultilevel"/>
    <w:lvl w:ilvl="0">
      <w:lvlJc w:val="left"/>
      <w:lvlText w:val="(%1)"/>
      <w:numFmt w:val="lowerRoman"/>
      <w:start w:val="2"/>
    </w:lvl>
  </w:abstractNum>
  <w:abstractNum w:abstractNumId="190">
    <w:nsid w:val="4A872C35"/>
    <w:multiLevelType w:val="hybridMultilevel"/>
    <w:lvl w:ilvl="0">
      <w:lvlJc w:val="left"/>
      <w:lvlText w:val="•"/>
      <w:numFmt w:val="bullet"/>
      <w:start w:val="1"/>
    </w:lvl>
  </w:abstractNum>
  <w:abstractNum w:abstractNumId="191">
    <w:nsid w:val="5D5CE761"/>
    <w:multiLevelType w:val="hybridMultilevel"/>
    <w:lvl w:ilvl="0">
      <w:lvlJc w:val="left"/>
      <w:lvlText w:val="•"/>
      <w:numFmt w:val="bullet"/>
      <w:start w:val="1"/>
    </w:lvl>
  </w:abstractNum>
  <w:abstractNum w:abstractNumId="192">
    <w:nsid w:val="1CD484D5"/>
    <w:multiLevelType w:val="hybridMultilevel"/>
    <w:lvl w:ilvl="0">
      <w:lvlJc w:val="left"/>
      <w:lvlText w:val="•"/>
      <w:numFmt w:val="bullet"/>
      <w:start w:val="1"/>
    </w:lvl>
  </w:abstractNum>
  <w:abstractNum w:abstractNumId="193">
    <w:nsid w:val="21D06255"/>
    <w:multiLevelType w:val="hybridMultilevel"/>
    <w:lvl w:ilvl="0">
      <w:lvlJc w:val="left"/>
      <w:lvlText w:val="(%1)"/>
      <w:numFmt w:val="decimal"/>
      <w:start w:val="1"/>
    </w:lvl>
  </w:abstractNum>
  <w:abstractNum w:abstractNumId="194">
    <w:nsid w:val="51194ED1"/>
    <w:multiLevelType w:val="hybridMultilevel"/>
    <w:lvl w:ilvl="0">
      <w:lvlJc w:val="left"/>
      <w:lvlText w:val="(%1)"/>
      <w:numFmt w:val="lowerRoman"/>
      <w:start w:val="2"/>
    </w:lvl>
  </w:abstractNum>
  <w:abstractNum w:abstractNumId="195">
    <w:nsid w:val="44E2ED6C"/>
    <w:multiLevelType w:val="hybridMultilevel"/>
    <w:lvl w:ilvl="0">
      <w:lvlJc w:val="left"/>
      <w:lvlText w:val="(%1)"/>
      <w:numFmt w:val="decimal"/>
      <w:start w:val="1"/>
    </w:lvl>
  </w:abstractNum>
  <w:abstractNum w:abstractNumId="196">
    <w:nsid w:val="2219B33"/>
    <w:multiLevelType w:val="hybridMultilevel"/>
    <w:lvl w:ilvl="0">
      <w:lvlJc w:val="left"/>
      <w:lvlText w:val="(%1)"/>
      <w:numFmt w:val="decimal"/>
      <w:start w:val="1"/>
    </w:lvl>
  </w:abstractNum>
  <w:abstractNum w:abstractNumId="197">
    <w:nsid w:val="773BFBDD"/>
    <w:multiLevelType w:val="hybridMultilevel"/>
    <w:lvl w:ilvl="0">
      <w:lvlJc w:val="left"/>
      <w:lvlText w:val="(%1)"/>
      <w:numFmt w:val="decimal"/>
      <w:start w:val="1"/>
    </w:lvl>
  </w:abstractNum>
  <w:abstractNum w:abstractNumId="198">
    <w:nsid w:val="2C7C62C2"/>
    <w:multiLevelType w:val="hybridMultilevel"/>
    <w:lvl w:ilvl="0">
      <w:lvlJc w:val="left"/>
      <w:lvlText w:val="•"/>
      <w:numFmt w:val="bullet"/>
      <w:start w:val="1"/>
    </w:lvl>
  </w:abstractNum>
  <w:abstractNum w:abstractNumId="199">
    <w:nsid w:val="1A54D7BC"/>
    <w:multiLevelType w:val="hybridMultilevel"/>
    <w:lvl w:ilvl="0">
      <w:lvlJc w:val="left"/>
      <w:lvlText w:val="•"/>
      <w:numFmt w:val="bullet"/>
      <w:start w:val="1"/>
    </w:lvl>
  </w:abstractNum>
  <w:abstractNum w:abstractNumId="200">
    <w:nsid w:val="42E57EF7"/>
    <w:multiLevelType w:val="hybridMultilevel"/>
    <w:lvl w:ilvl="0">
      <w:lvlJc w:val="left"/>
      <w:lvlText w:val="•"/>
      <w:numFmt w:val="bullet"/>
      <w:start w:val="1"/>
    </w:lvl>
  </w:abstractNum>
  <w:abstractNum w:abstractNumId="201">
    <w:nsid w:val="33537CED"/>
    <w:multiLevelType w:val="hybridMultilevel"/>
    <w:lvl w:ilvl="0">
      <w:lvlJc w:val="left"/>
      <w:lvlText w:val="•"/>
      <w:numFmt w:val="bullet"/>
      <w:start w:val="1"/>
    </w:lvl>
  </w:abstractNum>
  <w:abstractNum w:abstractNumId="202">
    <w:nsid w:val="27514ADE"/>
    <w:multiLevelType w:val="hybridMultilevel"/>
    <w:lvl w:ilvl="0">
      <w:lvlJc w:val="left"/>
      <w:lvlText w:val="•"/>
      <w:numFmt w:val="bullet"/>
      <w:start w:val="1"/>
    </w:lvl>
  </w:abstractNum>
  <w:abstractNum w:abstractNumId="203">
    <w:nsid w:val="57071613"/>
    <w:multiLevelType w:val="hybridMultilevel"/>
    <w:lvl w:ilvl="0">
      <w:lvlJc w:val="left"/>
      <w:lvlText w:val="•"/>
      <w:numFmt w:val="bullet"/>
      <w:start w:val="1"/>
    </w:lvl>
  </w:abstractNum>
  <w:abstractNum w:abstractNumId="204">
    <w:nsid w:val="5293BFEF"/>
    <w:multiLevelType w:val="hybridMultilevel"/>
    <w:lvl w:ilvl="0">
      <w:lvlJc w:val="left"/>
      <w:lvlText w:val="•"/>
      <w:numFmt w:val="bullet"/>
      <w:start w:val="1"/>
    </w:lvl>
  </w:abstractNum>
  <w:abstractNum w:abstractNumId="205">
    <w:nsid w:val="38BF53E5"/>
    <w:multiLevelType w:val="hybridMultilevel"/>
    <w:lvl w:ilvl="0">
      <w:lvlJc w:val="left"/>
      <w:lvlText w:val="•"/>
      <w:numFmt w:val="bullet"/>
      <w:start w:val="1"/>
    </w:lvl>
  </w:abstractNum>
  <w:abstractNum w:abstractNumId="206">
    <w:nsid w:val="226F5320"/>
    <w:multiLevelType w:val="hybridMultilevel"/>
    <w:lvl w:ilvl="0">
      <w:lvlJc w:val="left"/>
      <w:lvlText w:val="•"/>
      <w:numFmt w:val="bullet"/>
      <w:start w:val="1"/>
    </w:lvl>
  </w:abstractNum>
  <w:abstractNum w:abstractNumId="207">
    <w:nsid w:val="5A0201C7"/>
    <w:multiLevelType w:val="hybridMultilevel"/>
    <w:lvl w:ilvl="0">
      <w:lvlJc w:val="left"/>
      <w:lvlText w:val="•"/>
      <w:numFmt w:val="bullet"/>
      <w:start w:val="1"/>
    </w:lvl>
  </w:abstractNum>
  <w:abstractNum w:abstractNumId="208">
    <w:nsid w:val="2A9C34E2"/>
    <w:multiLevelType w:val="hybridMultilevel"/>
    <w:lvl w:ilvl="0">
      <w:lvlJc w:val="left"/>
      <w:lvlText w:val="•"/>
      <w:numFmt w:val="bullet"/>
      <w:start w:val="1"/>
    </w:lvl>
  </w:abstractNum>
  <w:abstractNum w:abstractNumId="209">
    <w:nsid w:val="1B7585AB"/>
    <w:multiLevelType w:val="hybridMultilevel"/>
    <w:lvl w:ilvl="0">
      <w:lvlJc w:val="left"/>
      <w:lvlText w:val="•"/>
      <w:numFmt w:val="bullet"/>
      <w:start w:val="1"/>
    </w:lvl>
  </w:abstractNum>
  <w:abstractNum w:abstractNumId="210">
    <w:nsid w:val="612DBDDD"/>
    <w:multiLevelType w:val="hybridMultilevel"/>
    <w:lvl w:ilvl="0">
      <w:lvlJc w:val="left"/>
      <w:lvlText w:val="(%1)"/>
      <w:numFmt w:val="lowerRoman"/>
      <w:start w:val="1"/>
    </w:lvl>
  </w:abstractNum>
  <w:abstractNum w:abstractNumId="211">
    <w:nsid w:val="2109CDA4"/>
    <w:multiLevelType w:val="hybridMultilevel"/>
    <w:lvl w:ilvl="0">
      <w:lvlJc w:val="left"/>
      <w:lvlText w:val="•"/>
      <w:numFmt w:val="bullet"/>
      <w:start w:val="1"/>
    </w:lvl>
  </w:abstractNum>
  <w:abstractNum w:abstractNumId="212">
    <w:nsid w:val="577F5A4D"/>
    <w:multiLevelType w:val="hybridMultilevel"/>
    <w:lvl w:ilvl="0">
      <w:lvlJc w:val="left"/>
      <w:lvlText w:val="•"/>
      <w:numFmt w:val="bullet"/>
      <w:start w:val="1"/>
    </w:lvl>
  </w:abstractNum>
  <w:abstractNum w:abstractNumId="213">
    <w:nsid w:val="2121A81"/>
    <w:multiLevelType w:val="hybridMultilevel"/>
    <w:lvl w:ilvl="0">
      <w:lvlJc w:val="left"/>
      <w:lvlText w:val="•"/>
      <w:numFmt w:val="bullet"/>
      <w:start w:val="1"/>
    </w:lvl>
  </w:abstractNum>
  <w:abstractNum w:abstractNumId="214">
    <w:nsid w:val="6C2CFC88"/>
    <w:multiLevelType w:val="hybridMultilevel"/>
    <w:lvl w:ilvl="0">
      <w:lvlJc w:val="left"/>
      <w:lvlText w:val="(%1)"/>
      <w:numFmt w:val="decimal"/>
      <w:start w:val="1"/>
    </w:lvl>
  </w:abstractNum>
  <w:abstractNum w:abstractNumId="215">
    <w:nsid w:val="6D1BCF1C"/>
    <w:multiLevelType w:val="hybridMultilevel"/>
    <w:lvl w:ilvl="0">
      <w:lvlJc w:val="left"/>
      <w:lvlText w:val="(%1)"/>
      <w:numFmt w:val="lowerRoman"/>
      <w:start w:val="1"/>
    </w:lvl>
  </w:abstractNum>
  <w:abstractNum w:abstractNumId="216">
    <w:nsid w:val="4CE5CA53"/>
    <w:multiLevelType w:val="hybridMultilevel"/>
    <w:lvl w:ilvl="0">
      <w:lvlJc w:val="left"/>
      <w:lvlText w:val="(%1)"/>
      <w:numFmt w:val="lowerRoman"/>
      <w:start w:val="2"/>
    </w:lvl>
  </w:abstractNum>
  <w:abstractNum w:abstractNumId="217">
    <w:nsid w:val="29262D1A"/>
    <w:multiLevelType w:val="hybridMultilevel"/>
    <w:lvl w:ilvl="0">
      <w:lvlJc w:val="left"/>
      <w:lvlText w:val="•"/>
      <w:numFmt w:val="bullet"/>
      <w:start w:val="1"/>
    </w:lvl>
  </w:abstractNum>
  <w:abstractNum w:abstractNumId="218">
    <w:nsid w:val="557FB7EE"/>
    <w:multiLevelType w:val="hybridMultilevel"/>
    <w:lvl w:ilvl="0">
      <w:lvlJc w:val="left"/>
      <w:lvlText w:val="•"/>
      <w:numFmt w:val="bullet"/>
      <w:start w:val="1"/>
    </w:lvl>
  </w:abstractNum>
  <w:abstractNum w:abstractNumId="219">
    <w:nsid w:val="436F2BEB"/>
    <w:multiLevelType w:val="hybridMultilevel"/>
    <w:lvl w:ilvl="0">
      <w:lvlJc w:val="left"/>
      <w:lvlText w:val="•"/>
      <w:numFmt w:val="bullet"/>
      <w:start w:val="1"/>
    </w:lvl>
  </w:abstractNum>
  <w:abstractNum w:abstractNumId="220">
    <w:nsid w:val="6C8B4466"/>
    <w:multiLevelType w:val="hybridMultilevel"/>
    <w:lvl w:ilvl="0">
      <w:lvlJc w:val="left"/>
      <w:lvlText w:val="•"/>
      <w:numFmt w:val="bullet"/>
      <w:start w:val="1"/>
    </w:lvl>
  </w:abstractNum>
  <w:abstractNum w:abstractNumId="221">
    <w:nsid w:val="2006E424"/>
    <w:multiLevelType w:val="hybridMultilevel"/>
    <w:lvl w:ilvl="0">
      <w:lvlJc w:val="left"/>
      <w:lvlText w:val="(%1)"/>
      <w:numFmt w:val="lowerLetter"/>
      <w:start w:val="1"/>
    </w:lvl>
  </w:abstractNum>
  <w:abstractNum w:abstractNumId="222">
    <w:nsid w:val="20CC134C"/>
    <w:multiLevelType w:val="hybridMultilevel"/>
    <w:lvl w:ilvl="0">
      <w:lvlJc w:val="left"/>
      <w:lvlText w:val="(%1)"/>
      <w:numFmt w:val="lowerRoman"/>
      <w:start w:val="1"/>
    </w:lvl>
  </w:abstractNum>
  <w:abstractNum w:abstractNumId="223">
    <w:nsid w:val="95FC93B"/>
    <w:multiLevelType w:val="hybridMultilevel"/>
    <w:lvl w:ilvl="0">
      <w:lvlJc w:val="left"/>
      <w:lvlText w:val="(%1)"/>
      <w:numFmt w:val="lowerRoman"/>
      <w:start w:val="2"/>
    </w:lvl>
  </w:abstractNum>
  <w:abstractNum w:abstractNumId="224">
    <w:nsid w:val="41D74679"/>
    <w:multiLevelType w:val="hybridMultilevel"/>
    <w:lvl w:ilvl="0">
      <w:lvlJc w:val="left"/>
      <w:lvlText w:val="(%1)"/>
      <w:numFmt w:val="lowerRoman"/>
      <w:start w:val="2"/>
    </w:lvl>
  </w:abstractNum>
  <w:abstractNum w:abstractNumId="225">
    <w:nsid w:val="71E5621E"/>
    <w:multiLevelType w:val="hybridMultilevel"/>
    <w:lvl w:ilvl="0">
      <w:lvlJc w:val="left"/>
      <w:lvlText w:val="$"/>
      <w:numFmt w:val="bullet"/>
      <w:start w:val="1"/>
    </w:lvl>
  </w:abstractNum>
  <w:abstractNum w:abstractNumId="226">
    <w:nsid w:val="4E42B6A8"/>
    <w:multiLevelType w:val="hybridMultilevel"/>
    <w:lvl w:ilvl="0">
      <w:lvlJc w:val="left"/>
      <w:lvlText w:val="•"/>
      <w:numFmt w:val="bullet"/>
      <w:start w:val="1"/>
    </w:lvl>
  </w:abstractNum>
  <w:abstractNum w:abstractNumId="227">
    <w:nsid w:val="43F8E1AC"/>
    <w:multiLevelType w:val="hybridMultilevel"/>
    <w:lvl w:ilvl="0">
      <w:lvlJc w:val="left"/>
      <w:lvlText w:val="*"/>
      <w:numFmt w:val="bullet"/>
      <w:start w:val="1"/>
    </w:lvl>
  </w:abstractNum>
  <w:abstractNum w:abstractNumId="228">
    <w:nsid w:val="69215DFB"/>
    <w:multiLevelType w:val="hybridMultilevel"/>
    <w:lvl w:ilvl="0">
      <w:lvlJc w:val="left"/>
      <w:lvlText w:val="(%1)"/>
      <w:numFmt w:val="decimal"/>
      <w:start w:val="1"/>
    </w:lvl>
  </w:abstractNum>
  <w:abstractNum w:abstractNumId="229">
    <w:nsid w:val="7ABF196A"/>
    <w:multiLevelType w:val="hybridMultilevel"/>
    <w:lvl w:ilvl="0">
      <w:lvlJc w:val="left"/>
      <w:lvlText w:val="(%1)"/>
      <w:numFmt w:val="decimal"/>
      <w:start w:val="4"/>
    </w:lvl>
  </w:abstractNum>
  <w:abstractNum w:abstractNumId="230">
    <w:nsid w:val="5E4DB968"/>
    <w:multiLevelType w:val="hybridMultilevel"/>
    <w:lvl w:ilvl="0">
      <w:lvlJc w:val="left"/>
      <w:lvlText w:val="•"/>
      <w:numFmt w:val="bullet"/>
      <w:start w:val="1"/>
    </w:lvl>
  </w:abstractNum>
  <w:abstractNum w:abstractNumId="231">
    <w:nsid w:val="2C06DCF3"/>
    <w:multiLevelType w:val="hybridMultilevel"/>
    <w:lvl w:ilvl="0">
      <w:lvlJc w:val="left"/>
      <w:lvlText w:val="(%1)"/>
      <w:numFmt w:val="decimal"/>
      <w:start w:val="1"/>
    </w:lvl>
  </w:abstractNum>
  <w:abstractNum w:abstractNumId="232">
    <w:nsid w:val="2E129658"/>
    <w:multiLevelType w:val="hybridMultilevel"/>
    <w:lvl w:ilvl="0">
      <w:lvlJc w:val="left"/>
      <w:lvlText w:val="(%1)"/>
      <w:numFmt w:val="decimal"/>
      <w:start w:val="1"/>
    </w:lvl>
  </w:abstractNum>
  <w:abstractNum w:abstractNumId="233">
    <w:nsid w:val="59F0446"/>
    <w:multiLevelType w:val="hybridMultilevel"/>
    <w:lvl w:ilvl="0">
      <w:lvlJc w:val="left"/>
      <w:lvlText w:val="•"/>
      <w:numFmt w:val="bullet"/>
      <w:start w:val="1"/>
    </w:lvl>
  </w:abstractNum>
  <w:abstractNum w:abstractNumId="234">
    <w:nsid w:val="30DF306"/>
    <w:multiLevelType w:val="hybridMultilevel"/>
    <w:lvl w:ilvl="0">
      <w:lvlJc w:val="left"/>
      <w:lvlText w:val="(%1)"/>
      <w:numFmt w:val="lowerLetter"/>
      <w:start w:val="1"/>
    </w:lvl>
  </w:abstractNum>
  <w:abstractNum w:abstractNumId="235">
    <w:nsid w:val="A65647"/>
    <w:multiLevelType w:val="hybridMultilevel"/>
    <w:lvl w:ilvl="0">
      <w:lvlJc w:val="left"/>
      <w:lvlText w:val="$"/>
      <w:numFmt w:val="bullet"/>
      <w:start w:val="1"/>
    </w:lvl>
  </w:abstractNum>
  <w:abstractNum w:abstractNumId="236">
    <w:nsid w:val="3E5E582B"/>
    <w:multiLevelType w:val="hybridMultilevel"/>
    <w:lvl w:ilvl="0">
      <w:lvlJc w:val="left"/>
      <w:lvlText w:val="(%1)"/>
      <w:numFmt w:val="lowerRoman"/>
      <w:start w:val="2"/>
    </w:lvl>
  </w:abstractNum>
  <w:abstractNum w:abstractNumId="237">
    <w:nsid w:val="257D4626"/>
    <w:multiLevelType w:val="hybridMultilevel"/>
    <w:lvl w:ilvl="0">
      <w:lvlJc w:val="left"/>
      <w:lvlText w:val="•"/>
      <w:numFmt w:val="bullet"/>
      <w:start w:val="1"/>
    </w:lvl>
  </w:abstractNum>
  <w:abstractNum w:abstractNumId="238">
    <w:nsid w:val="5AA8580E"/>
    <w:multiLevelType w:val="hybridMultilevel"/>
    <w:lvl w:ilvl="0">
      <w:lvlJc w:val="left"/>
      <w:lvlText w:val="•"/>
      <w:numFmt w:val="bullet"/>
      <w:start w:val="1"/>
    </w:lvl>
  </w:abstractNum>
  <w:abstractNum w:abstractNumId="239">
    <w:nsid w:val="68FA8D0D"/>
    <w:multiLevelType w:val="hybridMultilevel"/>
    <w:lvl w:ilvl="0">
      <w:lvlJc w:val="left"/>
      <w:lvlText w:val="(%1)"/>
      <w:numFmt w:val="lowerRoman"/>
      <w:start w:val="5"/>
    </w:lvl>
  </w:abstractNum>
  <w:abstractNum w:abstractNumId="240">
    <w:nsid w:val="40F2CBD2"/>
    <w:multiLevelType w:val="hybridMultilevel"/>
    <w:lvl w:ilvl="0">
      <w:lvlJc w:val="left"/>
      <w:lvlText w:val="(%1)"/>
      <w:numFmt w:val="lowerRoman"/>
      <w:start w:val="3"/>
    </w:lvl>
  </w:abstractNum>
  <w:abstractNum w:abstractNumId="241">
    <w:nsid w:val="3BD615EB"/>
    <w:multiLevelType w:val="hybridMultilevel"/>
    <w:lvl w:ilvl="0">
      <w:lvlJc w:val="left"/>
      <w:lvlText w:val="(%1)"/>
      <w:numFmt w:val="decimal"/>
      <w:start w:val="1"/>
    </w:lvl>
  </w:abstractNum>
  <w:abstractNum w:abstractNumId="242">
    <w:nsid w:val="A045AB2"/>
    <w:multiLevelType w:val="hybridMultilevel"/>
    <w:lvl w:ilvl="0">
      <w:lvlJc w:val="left"/>
      <w:lvlText w:val="(%1)"/>
      <w:numFmt w:val="decimal"/>
      <w:start w:val="1"/>
    </w:lvl>
  </w:abstractNum>
  <w:abstractNum w:abstractNumId="243">
    <w:nsid w:val="1872261F"/>
    <w:multiLevelType w:val="hybridMultilevel"/>
    <w:lvl w:ilvl="0">
      <w:lvlJc w:val="left"/>
      <w:lvlText w:val="(%1)"/>
      <w:numFmt w:val="decimal"/>
      <w:start w:val="1"/>
    </w:lvl>
  </w:abstractNum>
  <w:abstractNum w:abstractNumId="244">
    <w:nsid w:val="3DE8306C"/>
    <w:multiLevelType w:val="hybridMultilevel"/>
    <w:lvl w:ilvl="0">
      <w:lvlJc w:val="left"/>
      <w:lvlText w:val="$"/>
      <w:numFmt w:val="bullet"/>
      <w:start w:val="1"/>
    </w:lvl>
  </w:abstractNum>
  <w:abstractNum w:abstractNumId="245">
    <w:nsid w:val="7631573A"/>
    <w:multiLevelType w:val="hybridMultilevel"/>
    <w:lvl w:ilvl="0">
      <w:lvlJc w:val="left"/>
      <w:lvlText w:val="(%1)"/>
      <w:numFmt w:val="lowerRoman"/>
      <w:start w:val="2"/>
    </w:lvl>
  </w:abstractNum>
  <w:abstractNum w:abstractNumId="246">
    <w:nsid w:val="58DF53B"/>
    <w:multiLevelType w:val="hybridMultilevel"/>
    <w:lvl w:ilvl="0">
      <w:lvlJc w:val="left"/>
      <w:lvlText w:val="(%1)"/>
      <w:numFmt w:val="lowerRoman"/>
      <w:start w:val="2"/>
    </w:lvl>
  </w:abstractNum>
  <w:abstractNum w:abstractNumId="247">
    <w:nsid w:val="ACDFAC0"/>
    <w:multiLevelType w:val="hybridMultilevel"/>
    <w:lvl w:ilvl="0">
      <w:lvlJc w:val="left"/>
      <w:lvlText w:val="(%1)"/>
      <w:numFmt w:val="lowerRoman"/>
      <w:start w:val="2"/>
    </w:lvl>
  </w:abstractNum>
  <w:abstractNum w:abstractNumId="248">
    <w:nsid w:val="1F578454"/>
    <w:multiLevelType w:val="hybridMultilevel"/>
    <w:lvl w:ilvl="0">
      <w:lvlJc w:val="left"/>
      <w:lvlText w:val="(%1)"/>
      <w:numFmt w:val="lowerRoman"/>
      <w:start w:val="2"/>
    </w:lvl>
  </w:abstractNum>
  <w:abstractNum w:abstractNumId="249">
    <w:nsid w:val="5B0DAD2A"/>
    <w:multiLevelType w:val="hybridMultilevel"/>
    <w:lvl w:ilvl="0">
      <w:lvlJc w:val="left"/>
      <w:lvlText w:val="(%1)"/>
      <w:numFmt w:val="lowerRoman"/>
      <w:start w:val="2"/>
    </w:lvl>
  </w:abstractNum>
  <w:abstractNum w:abstractNumId="250">
    <w:nsid w:val="4E3D26AB"/>
    <w:multiLevelType w:val="hybridMultilevel"/>
    <w:lvl w:ilvl="0">
      <w:lvlJc w:val="left"/>
      <w:lvlText w:val="(%1)"/>
      <w:numFmt w:val="lowerLetter"/>
      <w:start w:val="2"/>
    </w:lvl>
  </w:abstractNum>
  <w:abstractNum w:abstractNumId="251">
    <w:nsid w:val="BE2C8BA"/>
    <w:multiLevelType w:val="hybridMultilevel"/>
    <w:lvl w:ilvl="0">
      <w:lvlJc w:val="left"/>
      <w:lvlText w:val="(%1)"/>
      <w:numFmt w:val="lowerLetter"/>
      <w:start w:val="6"/>
    </w:lvl>
  </w:abstractNum>
  <w:abstractNum w:abstractNumId="252">
    <w:nsid w:val="7B14914E"/>
    <w:multiLevelType w:val="hybridMultilevel"/>
    <w:lvl w:ilvl="0">
      <w:lvlJc w:val="left"/>
      <w:lvlText w:val="(%1)"/>
      <w:numFmt w:val="lowerLetter"/>
      <w:start w:val="1"/>
    </w:lvl>
  </w:abstractNum>
  <w:abstractNum w:abstractNumId="253">
    <w:nsid w:val="6F0939F8"/>
    <w:multiLevelType w:val="hybridMultilevel"/>
    <w:lvl w:ilvl="0">
      <w:lvlJc w:val="left"/>
      <w:lvlText w:val="(%1)"/>
      <w:numFmt w:val="lowerLetter"/>
      <w:start w:val="1"/>
    </w:lvl>
  </w:abstractNum>
  <w:abstractNum w:abstractNumId="254">
    <w:nsid w:val="154291F6"/>
    <w:multiLevelType w:val="hybridMultilevel"/>
    <w:lvl w:ilvl="0">
      <w:lvlJc w:val="left"/>
      <w:lvlText w:val="%1"/>
      <w:numFmt w:val="upperLetter"/>
      <w:start w:val="1"/>
    </w:lvl>
    <w:lvl w:ilvl="1">
      <w:lvlJc w:val="left"/>
      <w:lvlText w:val="(%2)"/>
      <w:numFmt w:val="lowerLetter"/>
      <w:start w:val="1"/>
    </w:lvl>
  </w:abstractNum>
  <w:abstractNum w:abstractNumId="255">
    <w:nsid w:val="3CEBD7C7"/>
    <w:multiLevelType w:val="hybridMultilevel"/>
    <w:lvl w:ilvl="0">
      <w:lvlJc w:val="left"/>
      <w:lvlText w:val="(%1)"/>
      <w:numFmt w:val="upperLetter"/>
      <w:start w:val="2"/>
    </w:lvl>
    <w:lvl w:ilvl="1">
      <w:lvlJc w:val="left"/>
      <w:lvlText w:val="(%2)"/>
      <w:numFmt w:val="lowerLetter"/>
      <w:start w:val="3"/>
    </w:lvl>
  </w:abstractNum>
  <w:abstractNum w:abstractNumId="256">
    <w:nsid w:val="60EE9C16"/>
    <w:multiLevelType w:val="hybridMultilevel"/>
    <w:lvl w:ilvl="0">
      <w:lvlJc w:val="left"/>
      <w:lvlText w:val="(%1)"/>
      <w:numFmt w:val="lowerLetter"/>
      <w:start w:val="6"/>
    </w:lvl>
  </w:abstractNum>
  <w:abstractNum w:abstractNumId="257">
    <w:nsid w:val="6385489E"/>
    <w:multiLevelType w:val="hybridMultilevel"/>
    <w:lvl w:ilvl="0">
      <w:lvlJc w:val="left"/>
      <w:lvlText w:val="(%1)"/>
      <w:numFmt w:val="lowerLetter"/>
      <w:start w:val="1"/>
    </w:lvl>
  </w:abstractNum>
  <w:abstractNum w:abstractNumId="258">
    <w:nsid w:val="E4B973"/>
    <w:multiLevelType w:val="hybridMultilevel"/>
    <w:lvl w:ilvl="0">
      <w:lvlJc w:val="left"/>
      <w:lvlText w:val="(%1)"/>
      <w:numFmt w:val="lowerLetter"/>
      <w:start w:val="1"/>
    </w:lvl>
  </w:abstractNum>
  <w:abstractNum w:abstractNumId="259">
    <w:nsid w:val="4A0FFA11"/>
    <w:multiLevelType w:val="hybridMultilevel"/>
    <w:lvl w:ilvl="0">
      <w:lvlJc w:val="left"/>
      <w:lvlText w:val="%1"/>
      <w:numFmt w:val="lowerRoman"/>
      <w:start w:val="1"/>
    </w:lvl>
    <w:lvl w:ilvl="1">
      <w:lvlJc w:val="left"/>
      <w:lvlText w:val="(%2)"/>
      <w:numFmt w:val="lowerLetter"/>
      <w:start w:val="1"/>
    </w:lvl>
  </w:abstractNum>
  <w:abstractNum w:abstractNumId="260">
    <w:nsid w:val="5E446208"/>
    <w:multiLevelType w:val="hybridMultilevel"/>
    <w:lvl w:ilvl="0">
      <w:lvlJc w:val="left"/>
      <w:lvlText w:val="(%1)"/>
      <w:numFmt w:val="lowerRoman"/>
      <w:start w:val="2"/>
    </w:lvl>
    <w:lvl w:ilvl="1">
      <w:lvlJc w:val="left"/>
      <w:lvlText w:val="%2"/>
      <w:numFmt w:val="lowerLetter"/>
      <w:start w:val="1"/>
    </w:lvl>
  </w:abstractNum>
  <w:abstractNum w:abstractNumId="261">
    <w:nsid w:val="5F3272DB"/>
    <w:multiLevelType w:val="hybridMultilevel"/>
    <w:lvl w:ilvl="0">
      <w:lvlJc w:val="left"/>
      <w:lvlText w:val="(%1)"/>
      <w:numFmt w:val="lowerLetter"/>
      <w:start w:val="1"/>
    </w:lvl>
  </w:abstractNum>
  <w:abstractNum w:abstractNumId="262">
    <w:nsid w:val="7616D704"/>
    <w:multiLevelType w:val="hybridMultilevel"/>
    <w:lvl w:ilvl="0">
      <w:lvlJc w:val="left"/>
      <w:lvlText w:val="(%1)"/>
      <w:numFmt w:val="lowerLetter"/>
      <w:start w:val="1"/>
    </w:lvl>
    <w:lvl w:ilvl="1">
      <w:lvlJc w:val="left"/>
      <w:lvlText w:val="(%2)"/>
      <w:numFmt w:val="lowerRoman"/>
      <w:start w:val="1"/>
    </w:lvl>
  </w:abstractNum>
  <w:abstractNum w:abstractNumId="263">
    <w:nsid w:val="C56F860"/>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lvl w:ilvl="3">
      <w:lvlJc w:val="left"/>
      <w:lvlText w:val="(%4)"/>
      <w:numFmt w:val="lowerRoman"/>
      <w:start w:val="7"/>
    </w:lvl>
  </w:abstractNum>
  <w:abstractNum w:abstractNumId="264">
    <w:nsid w:val="64D17722"/>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3"/>
    </w:lvl>
    <w:lvl w:ilvl="3">
      <w:lvlJc w:val="left"/>
      <w:lvlText w:val="%4"/>
      <w:numFmt w:val="lowerRoman"/>
      <w:start w:val="1"/>
    </w:lvl>
  </w:abstractNum>
  <w:abstractNum w:abstractNumId="265">
    <w:nsid w:val="7924CA0A"/>
    <w:multiLevelType w:val="hybridMultilevel"/>
    <w:lvl w:ilvl="0">
      <w:lvlJc w:val="left"/>
      <w:lvlText w:val="%1"/>
      <w:numFmt w:val="lowerLetter"/>
      <w:start w:val="1"/>
    </w:lvl>
    <w:lvl w:ilvl="1">
      <w:lvlJc w:val="left"/>
      <w:lvlText w:val="(%2)"/>
      <w:numFmt w:val="lowerLetter"/>
      <w:start w:val="1"/>
    </w:lvl>
  </w:abstractNum>
  <w:abstractNum w:abstractNumId="266">
    <w:nsid w:val="CFD4EA7"/>
    <w:multiLevelType w:val="hybridMultilevel"/>
    <w:lvl w:ilvl="0">
      <w:lvlJc w:val="left"/>
      <w:lvlText w:val="(%1)"/>
      <w:numFmt w:val="lowerLetter"/>
      <w:start w:val="35"/>
    </w:lvl>
    <w:lvl w:ilvl="1">
      <w:lvlJc w:val="left"/>
      <w:lvlText w:val="(%2)"/>
      <w:numFmt w:val="lowerLetter"/>
      <w:start w:val="2"/>
    </w:lvl>
  </w:abstractNum>
  <w:abstractNum w:abstractNumId="267">
    <w:nsid w:val="232FCF4D"/>
    <w:multiLevelType w:val="hybridMultilevel"/>
    <w:lvl w:ilvl="0">
      <w:lvlJc w:val="left"/>
      <w:lvlText w:val="(%1)"/>
      <w:numFmt w:val="lowerLetter"/>
      <w:start w:val="1"/>
    </w:lvl>
  </w:abstractNum>
  <w:abstractNum w:abstractNumId="268">
    <w:nsid w:val="1EA21031"/>
    <w:multiLevelType w:val="hybridMultilevel"/>
    <w:lvl w:ilvl="0">
      <w:lvlJc w:val="left"/>
      <w:lvlText w:val="(%1)"/>
      <w:numFmt w:val="lowerLetter"/>
      <w:start w:val="3"/>
    </w:lvl>
  </w:abstractNum>
  <w:abstractNum w:abstractNumId="269">
    <w:nsid w:val="67A5A6B5"/>
    <w:multiLevelType w:val="hybridMultilevel"/>
    <w:lvl w:ilvl="0">
      <w:lvlJc w:val="left"/>
      <w:lvlText w:val="(%1)"/>
      <w:numFmt w:val="lowerLetter"/>
      <w:start w:val="8"/>
    </w:lvl>
  </w:abstractNum>
  <w:abstractNum w:abstractNumId="270">
    <w:nsid w:val="C2A5C5B"/>
    <w:multiLevelType w:val="hybridMultilevel"/>
    <w:lvl w:ilvl="0">
      <w:lvlJc w:val="left"/>
      <w:lvlText w:val="(%1)"/>
      <w:numFmt w:val="lowerLetter"/>
      <w:start w:val="1"/>
    </w:lvl>
  </w:abstractNum>
  <w:abstractNum w:abstractNumId="271">
    <w:nsid w:val="5F94DC03"/>
    <w:multiLevelType w:val="hybridMultilevel"/>
    <w:lvl w:ilvl="0">
      <w:lvlJc w:val="left"/>
      <w:lvlText w:val="%1"/>
      <w:numFmt w:val="lowerLetter"/>
      <w:start w:val="1"/>
    </w:lvl>
    <w:lvl w:ilvl="1">
      <w:lvlJc w:val="left"/>
      <w:lvlText w:val="(%2)"/>
      <w:numFmt w:val="lowerLetter"/>
      <w:start w:val="3"/>
    </w:lvl>
  </w:abstractNum>
  <w:abstractNum w:abstractNumId="272">
    <w:nsid w:val="237BBCA0"/>
    <w:multiLevelType w:val="hybridMultilevel"/>
    <w:lvl w:ilvl="0">
      <w:lvlJc w:val="left"/>
      <w:lvlText w:val="(%1)"/>
      <w:numFmt w:val="lowerLetter"/>
      <w:start w:val="9"/>
    </w:lvl>
    <w:lvl w:ilvl="1">
      <w:lvlJc w:val="left"/>
      <w:lvlText w:val="(%2)"/>
      <w:numFmt w:val="lowerLetter"/>
      <w:start w:val="4"/>
    </w:lvl>
  </w:abstractNum>
  <w:abstractNum w:abstractNumId="273">
    <w:nsid w:val="162EB70D"/>
    <w:multiLevelType w:val="hybridMultilevel"/>
    <w:lvl w:ilvl="0">
      <w:lvlJc w:val="left"/>
      <w:lvlText w:val="(%1)"/>
      <w:numFmt w:val="lowerLetter"/>
      <w:start w:val="9"/>
    </w:lvl>
    <w:lvl w:ilvl="1">
      <w:lvlJc w:val="left"/>
      <w:lvlText w:val="%2"/>
      <w:numFmt w:val="lowerLetter"/>
      <w:start w:val="1"/>
    </w:lvl>
  </w:abstractNum>
  <w:abstractNum w:abstractNumId="274">
    <w:nsid w:val="78070222"/>
    <w:multiLevelType w:val="hybridMultilevel"/>
    <w:lvl w:ilvl="0">
      <w:lvlJc w:val="left"/>
      <w:lvlText w:val="(%1)"/>
      <w:numFmt w:val="lowerLetter"/>
      <w:start w:val="1"/>
    </w:lvl>
  </w:abstractNum>
  <w:abstractNum w:abstractNumId="275">
    <w:nsid w:val="6163ED0D"/>
    <w:multiLevelType w:val="hybridMultilevel"/>
    <w:lvl w:ilvl="0">
      <w:lvlJc w:val="left"/>
      <w:lvlText w:val="(%1)"/>
      <w:numFmt w:val="lowerLetter"/>
      <w:start w:val="1"/>
    </w:lvl>
  </w:abstractNum>
  <w:abstractNum w:abstractNumId="276">
    <w:nsid w:val="C600E47"/>
    <w:multiLevelType w:val="hybridMultilevel"/>
    <w:lvl w:ilvl="0">
      <w:lvlJc w:val="left"/>
      <w:lvlText w:val="(%1)"/>
      <w:numFmt w:val="lowerLetter"/>
      <w:start w:val="2"/>
    </w:lvl>
  </w:abstractNum>
  <w:abstractNum w:abstractNumId="277">
    <w:nsid w:val="7D94F75D"/>
    <w:multiLevelType w:val="hybridMultilevel"/>
    <w:lvl w:ilvl="0">
      <w:lvlJc w:val="left"/>
      <w:lvlText w:val="%1"/>
      <w:numFmt w:val="lowerLetter"/>
      <w:start w:val="1"/>
    </w:lvl>
    <w:lvl w:ilvl="1">
      <w:lvlJc w:val="left"/>
      <w:lvlText w:val="(%2)"/>
      <w:numFmt w:val="lowerLetter"/>
      <w:start w:val="1"/>
    </w:lvl>
  </w:abstractNum>
  <w:abstractNum w:abstractNumId="278">
    <w:nsid w:val="6C31E7CD"/>
    <w:multiLevelType w:val="hybridMultilevel"/>
    <w:lvl w:ilvl="0">
      <w:lvlJc w:val="left"/>
      <w:lvlText w:val="(%1)"/>
      <w:numFmt w:val="lowerLetter"/>
      <w:start w:val="35"/>
    </w:lvl>
    <w:lvl w:ilvl="1">
      <w:lvlJc w:val="left"/>
      <w:lvlText w:val="%2"/>
      <w:numFmt w:val="lowerLetter"/>
      <w:start w:val="1"/>
    </w:lvl>
  </w:abstractNum>
  <w:abstractNum w:abstractNumId="279">
    <w:nsid w:val="2BB7929B"/>
    <w:multiLevelType w:val="hybridMultilevel"/>
    <w:lvl w:ilvl="0">
      <w:lvlJc w:val="left"/>
      <w:lvlText w:val="%1"/>
      <w:numFmt w:val="lowerLetter"/>
      <w:start w:val="1"/>
    </w:lvl>
    <w:lvl w:ilvl="1">
      <w:lvlJc w:val="left"/>
      <w:lvlText w:val="(%2)"/>
      <w:numFmt w:val="lowerLetter"/>
      <w:start w:val="3"/>
    </w:lvl>
  </w:abstractNum>
  <w:abstractNum w:abstractNumId="280">
    <w:nsid w:val="58A2A487"/>
    <w:multiLevelType w:val="hybridMultilevel"/>
    <w:lvl w:ilvl="0">
      <w:lvlJc w:val="left"/>
      <w:lvlText w:val="(%1)"/>
      <w:numFmt w:val="lowerLetter"/>
      <w:start w:val="61"/>
    </w:lvl>
    <w:lvl w:ilvl="1">
      <w:lvlJc w:val="left"/>
      <w:lvlText w:val="(%2)"/>
      <w:numFmt w:val="lowerLetter"/>
      <w:start w:val="8"/>
    </w:lvl>
  </w:abstractNum>
  <w:abstractNum w:abstractNumId="281">
    <w:nsid w:val="3A6F0E78"/>
    <w:multiLevelType w:val="hybridMultilevel"/>
    <w:lvl w:ilvl="0">
      <w:lvlJc w:val="left"/>
      <w:lvlText w:val="(%1)"/>
      <w:numFmt w:val="lowerLetter"/>
      <w:start w:val="1"/>
    </w:lvl>
  </w:abstractNum>
  <w:abstractNum w:abstractNumId="282">
    <w:nsid w:val="379A5B56"/>
    <w:multiLevelType w:val="hybridMultilevel"/>
    <w:lvl w:ilvl="0">
      <w:lvlJc w:val="left"/>
      <w:lvlText w:val="%1"/>
      <w:numFmt w:val="lowerLetter"/>
      <w:start w:val="1"/>
    </w:lvl>
    <w:lvl w:ilvl="1">
      <w:lvlJc w:val="left"/>
      <w:lvlText w:val="(%2)"/>
      <w:numFmt w:val="lowerLetter"/>
      <w:start w:val="1"/>
    </w:lvl>
  </w:abstractNum>
  <w:abstractNum w:abstractNumId="283">
    <w:nsid w:val="53B735D5"/>
    <w:multiLevelType w:val="hybridMultilevel"/>
    <w:lvl w:ilvl="0">
      <w:lvlJc w:val="left"/>
      <w:lvlText w:val="(%1)"/>
      <w:numFmt w:val="lowerLetter"/>
      <w:start w:val="61"/>
    </w:lvl>
    <w:lvl w:ilvl="1">
      <w:lvlJc w:val="left"/>
      <w:lvlText w:val="(%2)"/>
      <w:numFmt w:val="lowerLetter"/>
      <w:start w:val="2"/>
    </w:lvl>
  </w:abstractNum>
  <w:abstractNum w:abstractNumId="284">
    <w:nsid w:val="29784870"/>
    <w:multiLevelType w:val="hybridMultilevel"/>
    <w:lvl w:ilvl="0">
      <w:lvlJc w:val="left"/>
      <w:lvlText w:val="(%1)"/>
      <w:numFmt w:val="lowerLetter"/>
      <w:start w:val="3"/>
    </w:lvl>
  </w:abstractNum>
  <w:abstractNum w:abstractNumId="285">
    <w:nsid w:val="4CDCED4C"/>
    <w:multiLevelType w:val="hybridMultilevel"/>
    <w:lvl w:ilvl="0">
      <w:lvlJc w:val="left"/>
      <w:lvlText w:val="(%1)"/>
      <w:numFmt w:val="lowerLetter"/>
      <w:start w:val="1"/>
    </w:lvl>
  </w:abstractNum>
  <w:abstractNum w:abstractNumId="286">
    <w:nsid w:val="10A30D9C"/>
    <w:multiLevelType w:val="hybridMultilevel"/>
    <w:lvl w:ilvl="0">
      <w:lvlJc w:val="left"/>
      <w:lvlText w:val="(%1)"/>
      <w:numFmt w:val="lowerLetter"/>
      <w:start w:val="1"/>
    </w:lvl>
  </w:abstractNum>
  <w:abstractNum w:abstractNumId="287">
    <w:nsid w:val="A66E486"/>
    <w:multiLevelType w:val="hybridMultilevel"/>
    <w:lvl w:ilvl="0">
      <w:lvlJc w:val="left"/>
      <w:lvlText w:val="(%1)"/>
      <w:numFmt w:val="lowerRoman"/>
      <w:start w:val="1"/>
    </w:lvl>
  </w:abstractNum>
  <w:abstractNum w:abstractNumId="288">
    <w:nsid w:val="306235EA"/>
    <w:multiLevelType w:val="hybridMultilevel"/>
    <w:lvl w:ilvl="0">
      <w:lvlJc w:val="left"/>
      <w:lvlText w:val="%1"/>
      <w:numFmt w:val="lowerRoman"/>
      <w:start w:val="1"/>
    </w:lvl>
    <w:lvl w:ilvl="1">
      <w:lvlJc w:val="left"/>
      <w:lvlText w:val="(%2)"/>
      <w:numFmt w:val="lowerLetter"/>
      <w:start w:val="1"/>
    </w:lvl>
  </w:abstractNum>
  <w:abstractNum w:abstractNumId="289">
    <w:nsid w:val="1187C70F"/>
    <w:multiLevelType w:val="hybridMultilevel"/>
    <w:lvl w:ilvl="0">
      <w:lvlJc w:val="left"/>
      <w:lvlText w:val="(%1)"/>
      <w:numFmt w:val="lowerRoman"/>
      <w:start w:val="2"/>
    </w:lvl>
    <w:lvl w:ilvl="1">
      <w:lvlJc w:val="left"/>
      <w:lvlText w:val="%2"/>
      <w:numFmt w:val="lowerLetter"/>
      <w:start w:val="1"/>
    </w:lvl>
  </w:abstractNum>
  <w:abstractNum w:abstractNumId="290">
    <w:nsid w:val="5476DE98"/>
    <w:multiLevelType w:val="hybridMultilevel"/>
    <w:lvl w:ilvl="0">
      <w:lvlJc w:val="left"/>
      <w:lvlText w:val="(%1)"/>
      <w:numFmt w:val="lowerRoman"/>
      <w:start w:val="8"/>
    </w:lvl>
    <w:lvl w:ilvl="1">
      <w:lvlJc w:val="left"/>
      <w:lvlText w:val="(%2)"/>
      <w:numFmt w:val="lowerLetter"/>
      <w:start w:val="2"/>
    </w:lvl>
  </w:abstractNum>
  <w:abstractNum w:abstractNumId="291">
    <w:nsid w:val="EA697F2"/>
    <w:multiLevelType w:val="hybridMultilevel"/>
    <w:lvl w:ilvl="0">
      <w:lvlJc w:val="left"/>
      <w:lvlText w:val="%1"/>
      <w:numFmt w:val="lowerLetter"/>
      <w:start w:val="1"/>
    </w:lvl>
    <w:lvl w:ilvl="1">
      <w:lvlJc w:val="left"/>
      <w:lvlText w:val="(%2)"/>
      <w:numFmt w:val="lowerLetter"/>
      <w:start w:val="3"/>
    </w:lvl>
  </w:abstractNum>
  <w:abstractNum w:abstractNumId="292">
    <w:nsid w:val="70BA39EB"/>
    <w:multiLevelType w:val="hybridMultilevel"/>
    <w:lvl w:ilvl="0">
      <w:lvlJc w:val="left"/>
      <w:lvlText w:val="(%1)"/>
      <w:numFmt w:val="lowerLetter"/>
      <w:start w:val="35"/>
    </w:lvl>
    <w:lvl w:ilvl="1">
      <w:lvlJc w:val="left"/>
      <w:lvlText w:val="(%2)"/>
      <w:numFmt w:val="lowerLetter"/>
      <w:start w:val="4"/>
    </w:lvl>
  </w:abstractNum>
  <w:abstractNum w:abstractNumId="293">
    <w:nsid w:val="4A8DB59C"/>
    <w:multiLevelType w:val="hybridMultilevel"/>
    <w:lvl w:ilvl="0">
      <w:lvlJc w:val="left"/>
      <w:lvlText w:val="(%1)"/>
      <w:numFmt w:val="lowerLetter"/>
      <w:start w:val="1"/>
    </w:lvl>
    <w:lvl w:ilvl="1">
      <w:lvlJc w:val="left"/>
      <w:lvlText w:val="(%2)"/>
      <w:numFmt w:val="lowerRoman"/>
      <w:start w:val="1"/>
    </w:lvl>
  </w:abstractNum>
  <w:abstractNum w:abstractNumId="294">
    <w:nsid w:val="1AFD9053"/>
    <w:multiLevelType w:val="hybridMultilevel"/>
    <w:lvl w:ilvl="0">
      <w:lvlJc w:val="left"/>
      <w:lvlText w:val="%1"/>
      <w:numFmt w:val="decimal"/>
      <w:start w:val="1"/>
    </w:lvl>
    <w:lvl w:ilvl="1">
      <w:lvlJc w:val="left"/>
      <w:lvlText w:val="(%2)"/>
      <w:numFmt w:val="lowerRoman"/>
      <w:start w:val="5"/>
    </w:lvl>
  </w:abstractNum>
  <w:abstractNum w:abstractNumId="295">
    <w:nsid w:val="558BB10D"/>
    <w:multiLevelType w:val="hybridMultilevel"/>
    <w:lvl w:ilvl="0">
      <w:lvlJc w:val="left"/>
      <w:lvlText w:val="(%1)"/>
      <w:numFmt w:val="decimal"/>
      <w:start w:val="2"/>
    </w:lvl>
    <w:lvl w:ilvl="1">
      <w:lvlJc w:val="left"/>
      <w:lvlText w:val="(%2)"/>
      <w:numFmt w:val="lowerRoman"/>
      <w:start w:val="8"/>
    </w:lvl>
  </w:abstractNum>
  <w:abstractNum w:abstractNumId="296">
    <w:nsid w:val="43B27FA7"/>
    <w:multiLevelType w:val="hybridMultilevel"/>
    <w:lvl w:ilvl="0">
      <w:lvlJc w:val="left"/>
      <w:lvlText w:val="(%1)"/>
      <w:numFmt w:val="lowerRoman"/>
      <w:start w:val="19"/>
    </w:lvl>
  </w:abstractNum>
  <w:abstractNum w:abstractNumId="297">
    <w:nsid w:val="27FADEFA"/>
    <w:multiLevelType w:val="hybridMultilevel"/>
    <w:lvl w:ilvl="0">
      <w:lvlJc w:val="left"/>
      <w:lvlText w:val="(%1)"/>
      <w:numFmt w:val="lowerLetter"/>
      <w:start w:val="1"/>
    </w:lvl>
  </w:abstractNum>
  <w:abstractNum w:abstractNumId="298">
    <w:nsid w:val="78BB805A"/>
    <w:multiLevelType w:val="hybridMultilevel"/>
    <w:lvl w:ilvl="0">
      <w:lvlJc w:val="left"/>
      <w:lvlText w:val="(%1)"/>
      <w:numFmt w:val="lowerLetter"/>
      <w:start w:val="1"/>
    </w:lvl>
  </w:abstractNum>
  <w:abstractNum w:abstractNumId="299">
    <w:nsid w:val="62548FD8"/>
    <w:multiLevelType w:val="hybridMultilevel"/>
    <w:lvl w:ilvl="0">
      <w:lvlJc w:val="left"/>
      <w:lvlText w:val="%1"/>
      <w:numFmt w:val="lowerLetter"/>
      <w:start w:val="1"/>
    </w:lvl>
    <w:lvl w:ilvl="1">
      <w:lvlJc w:val="left"/>
      <w:lvlText w:val="(%2)"/>
      <w:numFmt w:val="lowerLetter"/>
      <w:start w:val="1"/>
    </w:lvl>
  </w:abstractNum>
  <w:abstractNum w:abstractNumId="300">
    <w:nsid w:val="FA085B0"/>
    <w:multiLevelType w:val="hybridMultilevel"/>
    <w:lvl w:ilvl="0">
      <w:lvlJc w:val="left"/>
      <w:lvlText w:val="(%1)"/>
      <w:numFmt w:val="lowerLetter"/>
      <w:start w:val="35"/>
    </w:lvl>
    <w:lvl w:ilvl="1">
      <w:lvlJc w:val="left"/>
      <w:lvlText w:val="%2"/>
      <w:numFmt w:val="lowerLetter"/>
      <w:start w:val="1"/>
    </w:lvl>
  </w:abstractNum>
  <w:abstractNum w:abstractNumId="301">
    <w:nsid w:val="4E5DCB5"/>
    <w:multiLevelType w:val="hybridMultilevel"/>
    <w:lvl w:ilvl="0">
      <w:lvlJc w:val="left"/>
      <w:lvlText w:val="%1"/>
      <w:numFmt w:val="lowerLetter"/>
      <w:start w:val="1"/>
    </w:lvl>
    <w:lvl w:ilvl="1">
      <w:lvlJc w:val="left"/>
      <w:lvlText w:val="(%2)"/>
      <w:numFmt w:val="lowerLetter"/>
      <w:start w:val="3"/>
    </w:lvl>
  </w:abstractNum>
  <w:abstractNum w:abstractNumId="302">
    <w:nsid w:val="41E96BDB"/>
    <w:multiLevelType w:val="hybridMultilevel"/>
    <w:lvl w:ilvl="0">
      <w:lvlJc w:val="left"/>
      <w:lvlText w:val="(%1)"/>
      <w:numFmt w:val="lowerLetter"/>
      <w:start w:val="9"/>
    </w:lvl>
    <w:lvl w:ilvl="1">
      <w:lvlJc w:val="left"/>
      <w:lvlText w:val="(%2)"/>
      <w:numFmt w:val="lowerLetter"/>
      <w:start w:val="6"/>
    </w:lvl>
  </w:abstractNum>
  <w:abstractNum w:abstractNumId="303">
    <w:nsid w:val="331C4250"/>
    <w:multiLevelType w:val="hybridMultilevel"/>
    <w:lvl w:ilvl="0">
      <w:lvlJc w:val="left"/>
      <w:lvlText w:val="(%1)"/>
      <w:numFmt w:val="lowerLetter"/>
      <w:start w:val="7"/>
    </w:lvl>
  </w:abstractNum>
  <w:abstractNum w:abstractNumId="304">
    <w:nsid w:val="1B1493C2"/>
    <w:multiLevelType w:val="hybridMultilevel"/>
    <w:lvl w:ilvl="0">
      <w:lvlJc w:val="left"/>
      <w:lvlText w:val="(%1)"/>
      <w:numFmt w:val="lowerLetter"/>
      <w:start w:val="2"/>
    </w:lvl>
  </w:abstractNum>
  <w:abstractNum w:abstractNumId="305">
    <w:nsid w:val="39F06DFD"/>
    <w:multiLevelType w:val="hybridMultilevel"/>
    <w:lvl w:ilvl="0">
      <w:lvlJc w:val="left"/>
      <w:lvlText w:val="(%1)"/>
      <w:numFmt w:val="lowerLetter"/>
      <w:start w:val="1"/>
    </w:lvl>
  </w:abstractNum>
  <w:abstractNum w:abstractNumId="306">
    <w:nsid w:val="14802F5D"/>
    <w:multiLevelType w:val="hybridMultilevel"/>
    <w:lvl w:ilvl="0">
      <w:lvlJc w:val="left"/>
      <w:lvlText w:val="(%1)"/>
      <w:numFmt w:val="lowerLetter"/>
      <w:start w:val="1"/>
    </w:lvl>
  </w:abstractNum>
  <w:abstractNum w:abstractNumId="307">
    <w:nsid w:val="2774A209"/>
    <w:multiLevelType w:val="hybridMultilevel"/>
    <w:lvl w:ilvl="0">
      <w:lvlJc w:val="left"/>
      <w:lvlText w:val="(%1)"/>
      <w:numFmt w:val="lowerLetter"/>
      <w:start w:val="2"/>
    </w:lvl>
  </w:abstractNum>
  <w:abstractNum w:abstractNumId="308">
    <w:nsid w:val="3785655A"/>
    <w:multiLevelType w:val="hybridMultilevel"/>
    <w:lvl w:ilvl="0">
      <w:lvlJc w:val="left"/>
      <w:lvlText w:val="(%1)"/>
      <w:numFmt w:val="lowerLetter"/>
      <w:start w:val="1"/>
    </w:lvl>
  </w:abstractNum>
  <w:abstractNum w:abstractNumId="309">
    <w:nsid w:val="B2172A"/>
    <w:multiLevelType w:val="hybridMultilevel"/>
    <w:lvl w:ilvl="0">
      <w:lvlJc w:val="left"/>
      <w:lvlText w:val="(%1)"/>
      <w:numFmt w:val="lowerLetter"/>
      <w:start w:val="1"/>
    </w:lvl>
  </w:abstractNum>
  <w:abstractNum w:abstractNumId="310">
    <w:nsid w:val="532C34A5"/>
    <w:multiLevelType w:val="hybridMultilevel"/>
    <w:lvl w:ilvl="0">
      <w:lvlJc w:val="left"/>
      <w:lvlText w:val="(%1)"/>
      <w:numFmt w:val="upperLetter"/>
      <w:start w:val="1"/>
    </w:lvl>
  </w:abstractNum>
  <w:abstractNum w:abstractNumId="311">
    <w:nsid w:val="102809E2"/>
    <w:multiLevelType w:val="hybridMultilevel"/>
    <w:lvl w:ilvl="0">
      <w:lvlJc w:val="left"/>
      <w:lvlText w:val="(%1)"/>
      <w:numFmt w:val="lowerLetter"/>
      <w:start w:val="1"/>
    </w:lvl>
  </w:abstractNum>
  <w:abstractNum w:abstractNumId="312">
    <w:nsid w:val="3B2125A3"/>
    <w:multiLevelType w:val="hybridMultilevel"/>
    <w:lvl w:ilvl="0">
      <w:lvlJc w:val="left"/>
      <w:lvlText w:val="(%1)"/>
      <w:numFmt w:val="lowerLetter"/>
      <w:start w:val="1"/>
    </w:lvl>
  </w:abstractNum>
  <w:abstractNum w:abstractNumId="313">
    <w:nsid w:val="AC68FFB"/>
    <w:multiLevelType w:val="hybridMultilevel"/>
    <w:lvl w:ilvl="0">
      <w:lvlJc w:val="left"/>
      <w:lvlText w:val="(%1)"/>
      <w:numFmt w:val="lowerLetter"/>
      <w:start w:val="1"/>
    </w:lvl>
  </w:abstractNum>
  <w:abstractNum w:abstractNumId="314">
    <w:nsid w:val="63DF3FB7"/>
    <w:multiLevelType w:val="hybridMultilevel"/>
    <w:lvl w:ilvl="0">
      <w:lvlJc w:val="left"/>
      <w:lvlText w:val="(%1)"/>
      <w:numFmt w:val="lowerLetter"/>
      <w:start w:val="1"/>
    </w:lvl>
  </w:abstractNum>
  <w:abstractNum w:abstractNumId="315">
    <w:nsid w:val="64996E13"/>
    <w:multiLevelType w:val="hybridMultilevel"/>
    <w:lvl w:ilvl="0">
      <w:lvlJc w:val="left"/>
      <w:lvlText w:val="(%1)"/>
      <w:numFmt w:val="lowerLetter"/>
      <w:start w:val="13"/>
    </w:lvl>
  </w:abstractNum>
  <w:abstractNum w:abstractNumId="316">
    <w:nsid w:val="57A37D47"/>
    <w:multiLevelType w:val="hybridMultilevel"/>
    <w:lvl w:ilvl="0">
      <w:lvlJc w:val="left"/>
      <w:lvlText w:val="(%1)"/>
      <w:numFmt w:val="lowerLetter"/>
      <w:start w:val="1"/>
    </w:lvl>
  </w:abstractNum>
  <w:abstractNum w:abstractNumId="317">
    <w:nsid w:val="74824D54"/>
    <w:multiLevelType w:val="hybridMultilevel"/>
    <w:lvl w:ilvl="0">
      <w:lvlJc w:val="left"/>
      <w:lvlText w:val="(%1)"/>
      <w:numFmt w:val="lowerRoman"/>
      <w:start w:val="2"/>
    </w:lvl>
  </w:abstractNum>
  <w:abstractNum w:abstractNumId="318">
    <w:nsid w:val="6F00529A"/>
    <w:multiLevelType w:val="hybridMultilevel"/>
    <w:lvl w:ilvl="0">
      <w:lvlJc w:val="left"/>
      <w:lvlText w:val="%1"/>
      <w:numFmt w:val="lowerLetter"/>
      <w:start w:val="1"/>
    </w:lvl>
    <w:lvl w:ilvl="1">
      <w:lvlJc w:val="left"/>
      <w:lvlText w:val="(%2)"/>
      <w:numFmt w:val="lowerLetter"/>
      <w:start w:val="1"/>
    </w:lvl>
  </w:abstractNum>
  <w:abstractNum w:abstractNumId="319">
    <w:nsid w:val="805B331"/>
    <w:multiLevelType w:val="hybridMultilevel"/>
    <w:lvl w:ilvl="0">
      <w:lvlJc w:val="left"/>
      <w:lvlText w:val="(%1)"/>
      <w:numFmt w:val="lowerLetter"/>
      <w:start w:val="25"/>
    </w:lvl>
    <w:lvl w:ilvl="1">
      <w:lvlJc w:val="left"/>
      <w:lvlText w:val="(%2)"/>
      <w:numFmt w:val="lowerLetter"/>
      <w:start w:val="3"/>
    </w:lvl>
  </w:abstractNum>
  <w:abstractNum w:abstractNumId="320">
    <w:nsid w:val="60A1463"/>
    <w:multiLevelType w:val="hybridMultilevel"/>
    <w:lvl w:ilvl="0">
      <w:lvlJc w:val="left"/>
      <w:lvlText w:val="(%1)"/>
      <w:numFmt w:val="lowerLetter"/>
      <w:start w:val="9"/>
    </w:lvl>
    <w:lvl w:ilvl="1">
      <w:lvlJc w:val="left"/>
      <w:lvlText w:val="%2"/>
      <w:numFmt w:val="lowerLetter"/>
      <w:start w:val="1"/>
    </w:lvl>
  </w:abstractNum>
  <w:abstractNum w:abstractNumId="321">
    <w:nsid w:val="43773132"/>
    <w:multiLevelType w:val="hybridMultilevel"/>
    <w:lvl w:ilvl="0">
      <w:lvlJc w:val="left"/>
      <w:lvlText w:val="(%1)"/>
      <w:numFmt w:val="lowerLetter"/>
      <w:start w:val="4"/>
    </w:lvl>
  </w:abstractNum>
  <w:abstractNum w:abstractNumId="322">
    <w:nsid w:val="16AC4B23"/>
    <w:multiLevelType w:val="hybridMultilevel"/>
    <w:lvl w:ilvl="0">
      <w:lvlJc w:val="left"/>
      <w:lvlText w:val="(%1)"/>
      <w:numFmt w:val="lowerLetter"/>
      <w:start w:val="1"/>
    </w:lvl>
  </w:abstractNum>
  <w:abstractNum w:abstractNumId="323">
    <w:nsid w:val="76C44E4E"/>
    <w:multiLevelType w:val="hybridMultilevel"/>
    <w:lvl w:ilvl="0">
      <w:lvlJc w:val="left"/>
      <w:lvlText w:val="(%1)"/>
      <w:numFmt w:val="lowerLetter"/>
      <w:start w:val="3"/>
    </w:lvl>
  </w:abstractNum>
  <w:abstractNum w:abstractNumId="324">
    <w:nsid w:val="E04E6CE"/>
    <w:multiLevelType w:val="hybridMultilevel"/>
    <w:lvl w:ilvl="0">
      <w:lvlJc w:val="left"/>
      <w:lvlText w:val="(%1)"/>
      <w:numFmt w:val="lowerLetter"/>
      <w:start w:val="1"/>
    </w:lvl>
  </w:abstractNum>
  <w:abstractNum w:abstractNumId="325">
    <w:nsid w:val="31A9DB76"/>
    <w:multiLevelType w:val="hybridMultilevel"/>
    <w:lvl w:ilvl="0">
      <w:lvlJc w:val="left"/>
      <w:lvlText w:val="(%1)"/>
      <w:numFmt w:val="lowerLetter"/>
      <w:start w:val="10"/>
    </w:lvl>
  </w:abstractNum>
  <w:abstractNum w:abstractNumId="326">
    <w:nsid w:val="4C4FFF5B"/>
    <w:multiLevelType w:val="hybridMultilevel"/>
    <w:lvl w:ilvl="0">
      <w:lvlJc w:val="left"/>
      <w:lvlText w:val="(%1)"/>
      <w:numFmt w:val="lowerLetter"/>
      <w:start w:val="1"/>
    </w:lvl>
  </w:abstractNum>
  <w:abstractNum w:abstractNumId="327">
    <w:nsid w:val="51B76675"/>
    <w:multiLevelType w:val="hybridMultilevel"/>
    <w:lvl w:ilvl="0">
      <w:lvlJc w:val="left"/>
      <w:lvlText w:val="(%1)"/>
      <w:numFmt w:val="lowerLetter"/>
      <w:start w:val="1"/>
    </w:lvl>
  </w:abstractNum>
  <w:abstractNum w:abstractNumId="328">
    <w:nsid w:val="59A4BA71"/>
    <w:multiLevelType w:val="hybridMultilevel"/>
    <w:lvl w:ilvl="0">
      <w:lvlJc w:val="left"/>
      <w:lvlText w:val="(%1)"/>
      <w:numFmt w:val="lowerLetter"/>
      <w:start w:val="1"/>
    </w:lvl>
  </w:abstractNum>
  <w:abstractNum w:abstractNumId="329">
    <w:nsid w:val="450B7FB6"/>
    <w:multiLevelType w:val="hybridMultilevel"/>
    <w:lvl w:ilvl="0">
      <w:lvlJc w:val="left"/>
      <w:lvlText w:val="(%1)"/>
      <w:numFmt w:val="lowerLetter"/>
      <w:start w:val="2"/>
    </w:lvl>
  </w:abstractNum>
  <w:abstractNum w:abstractNumId="330">
    <w:nsid w:val="340BF64D"/>
    <w:multiLevelType w:val="hybridMultilevel"/>
    <w:lvl w:ilvl="0">
      <w:lvlJc w:val="left"/>
      <w:lvlText w:val="(%1)"/>
      <w:numFmt w:val="lowerLetter"/>
      <w:start w:val="2"/>
    </w:lvl>
  </w:abstractNum>
  <w:abstractNum w:abstractNumId="331">
    <w:nsid w:val="69454021"/>
    <w:multiLevelType w:val="hybridMultilevel"/>
    <w:lvl w:ilvl="0">
      <w:lvlJc w:val="left"/>
      <w:lvlText w:val="(%1)"/>
      <w:numFmt w:val="lowerLetter"/>
      <w:start w:val="1"/>
    </w:lvl>
  </w:abstractNum>
  <w:abstractNum w:abstractNumId="332">
    <w:nsid w:val="49F15C6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33">
    <w:nsid w:val="75F56228"/>
    <w:multiLevelType w:val="hybridMultilevel"/>
    <w:lvl w:ilvl="0">
      <w:lvlJc w:val="left"/>
      <w:lvlText w:val="%1"/>
      <w:numFmt w:val="lowerLetter"/>
      <w:start w:val="1"/>
    </w:lvl>
    <w:lvl w:ilvl="1">
      <w:lvlJc w:val="left"/>
      <w:lvlText w:val="(%2)"/>
      <w:numFmt w:val="lowerRoman"/>
      <w:start w:val="2"/>
    </w:lvl>
  </w:abstractNum>
  <w:abstractNum w:abstractNumId="334">
    <w:nsid w:val="1C618271"/>
    <w:multiLevelType w:val="hybridMultilevel"/>
    <w:lvl w:ilvl="0">
      <w:lvlJc w:val="left"/>
      <w:lvlText w:val="(%1)"/>
      <w:numFmt w:val="lowerLetter"/>
      <w:start w:val="2"/>
    </w:lvl>
    <w:lvl w:ilvl="1">
      <w:lvlJc w:val="left"/>
      <w:lvlText w:val="%2"/>
      <w:numFmt w:val="lowerRoman"/>
      <w:start w:val="1"/>
    </w:lvl>
  </w:abstractNum>
  <w:abstractNum w:abstractNumId="335">
    <w:nsid w:val="6505F02E"/>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336">
    <w:nsid w:val="2FE5D025"/>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337">
    <w:nsid w:val="30E1B1C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338">
    <w:nsid w:val="C7A9237"/>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6"/>
    </w:lvl>
  </w:abstractNum>
  <w:abstractNum w:abstractNumId="339">
    <w:nsid w:val="676B3580"/>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40">
    <w:nsid w:val="3193C8F9"/>
    <w:multiLevelType w:val="hybridMultilevel"/>
    <w:lvl w:ilvl="0">
      <w:lvlJc w:val="left"/>
      <w:lvlText w:val="%1."/>
      <w:numFmt w:val="decimal"/>
      <w:start w:val="5"/>
    </w:lvl>
  </w:abstractNum>
  <w:abstractNum w:abstractNumId="341">
    <w:nsid w:val="5FA6C6DC"/>
    <w:multiLevelType w:val="hybridMultilevel"/>
    <w:lvl w:ilvl="0">
      <w:lvlJc w:val="left"/>
      <w:lvlText w:val="%1."/>
      <w:numFmt w:val="decimal"/>
      <w:start w:val="8"/>
    </w:lvl>
  </w:abstractNum>
  <w:abstractNum w:abstractNumId="342">
    <w:nsid w:val="77933F62"/>
    <w:multiLevelType w:val="hybridMultilevel"/>
    <w:lvl w:ilvl="0">
      <w:lvlJc w:val="left"/>
      <w:lvlText w:val="%1."/>
      <w:numFmt w:val="decimal"/>
      <w:start w:val="1"/>
    </w:lvl>
  </w:abstractNum>
  <w:abstractNum w:abstractNumId="343">
    <w:nsid w:val="6CB4EE9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44">
    <w:nsid w:val="6A6D56D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45">
    <w:nsid w:val="5B727F1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6">
    <w:nsid w:val="514E5CB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7">
    <w:nsid w:val="4210D41E"/>
    <w:multiLevelType w:val="hybridMultilevel"/>
    <w:lvl w:ilvl="0">
      <w:lvlJc w:val="left"/>
      <w:lvlText w:val="(%1)"/>
      <w:numFmt w:val="lowerLetter"/>
      <w:start w:val="3"/>
    </w:lvl>
  </w:abstractNum>
  <w:abstractNum w:abstractNumId="348">
    <w:nsid w:val="4FF4CC6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49">
    <w:nsid w:val="404EAF4A"/>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2"/>
    </w:lvl>
  </w:abstractNum>
  <w:abstractNum w:abstractNumId="350">
    <w:nsid w:val="4A16874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51">
    <w:nsid w:val="55FEE0D1"/>
    <w:multiLevelType w:val="hybridMultilevel"/>
    <w:lvl w:ilvl="0">
      <w:lvlJc w:val="left"/>
      <w:lvlText w:val="(%1)"/>
      <w:numFmt w:val="lowerLetter"/>
      <w:start w:val="2"/>
    </w:lvl>
  </w:abstractNum>
  <w:abstractNum w:abstractNumId="352">
    <w:nsid w:val="3C5E07C"/>
    <w:multiLevelType w:val="hybridMultilevel"/>
    <w:lvl w:ilvl="0">
      <w:lvlJc w:val="left"/>
      <w:lvlText w:val="(%1)"/>
      <w:numFmt w:val="lowerLetter"/>
      <w:start w:val="9"/>
    </w:lvl>
  </w:abstractNum>
  <w:abstractNum w:abstractNumId="353">
    <w:nsid w:val="60C2D273"/>
    <w:multiLevelType w:val="hybridMultilevel"/>
    <w:lvl w:ilvl="0">
      <w:lvlJc w:val="left"/>
      <w:lvlText w:val="%1"/>
      <w:numFmt w:val="decimal"/>
      <w:start w:val="1"/>
    </w:lvl>
    <w:lvl w:ilvl="1">
      <w:lvlJc w:val="left"/>
      <w:lvlText w:val="(%2)"/>
      <w:numFmt w:val="lowerLetter"/>
      <w:start w:val="18"/>
    </w:lvl>
  </w:abstractNum>
  <w:abstractNum w:abstractNumId="354">
    <w:nsid w:val="4CC32F1F"/>
    <w:multiLevelType w:val="hybridMultilevel"/>
    <w:lvl w:ilvl="0">
      <w:lvlJc w:val="left"/>
      <w:lvlText w:val="%1."/>
      <w:numFmt w:val="decimal"/>
      <w:start w:val="7"/>
    </w:lvl>
    <w:lvl w:ilvl="1">
      <w:lvlJc w:val="left"/>
      <w:lvlText w:val="(%2)"/>
      <w:numFmt w:val="lowerLetter"/>
      <w:start w:val="1"/>
    </w:lvl>
  </w:abstractNum>
  <w:abstractNum w:abstractNumId="355">
    <w:nsid w:val="11CAC74A"/>
    <w:multiLevelType w:val="hybridMultilevel"/>
    <w:lvl w:ilvl="0">
      <w:lvlJc w:val="left"/>
      <w:lvlText w:val="(%1)"/>
      <w:numFmt w:val="lowerLetter"/>
      <w:start w:val="3"/>
    </w:lvl>
  </w:abstractNum>
  <w:abstractNum w:abstractNumId="356">
    <w:nsid w:val="126CADE9"/>
    <w:multiLevelType w:val="hybridMultilevel"/>
    <w:lvl w:ilvl="0">
      <w:lvlJc w:val="left"/>
      <w:lvlText w:val="%1"/>
      <w:numFmt w:val="decimal"/>
      <w:start w:val="1"/>
    </w:lvl>
    <w:lvl w:ilvl="1">
      <w:lvlJc w:val="left"/>
      <w:lvlText w:val="(%2)"/>
      <w:numFmt w:val="lowerLetter"/>
      <w:start w:val="6"/>
    </w:lvl>
  </w:abstractNum>
  <w:abstractNum w:abstractNumId="357">
    <w:nsid w:val="19132E7B"/>
    <w:multiLevelType w:val="hybridMultilevel"/>
    <w:lvl w:ilvl="0">
      <w:lvlJc w:val="left"/>
      <w:lvlText w:val="%1."/>
      <w:numFmt w:val="decimal"/>
      <w:start w:val="8"/>
    </w:lvl>
    <w:lvl w:ilvl="1">
      <w:lvlJc w:val="left"/>
      <w:lvlText w:val="%2"/>
      <w:numFmt w:val="lowerLetter"/>
      <w:start w:val="1"/>
    </w:lvl>
  </w:abstractNum>
  <w:abstractNum w:abstractNumId="358">
    <w:nsid w:val="63822DC0"/>
    <w:multiLevelType w:val="hybridMultilevel"/>
    <w:lvl w:ilvl="0">
      <w:lvlJc w:val="left"/>
      <w:lvlText w:val="%1."/>
      <w:numFmt w:val="decimal"/>
      <w:start w:val="10"/>
    </w:lvl>
    <w:lvl w:ilvl="1">
      <w:lvlJc w:val="left"/>
      <w:lvlText w:val="(%2)"/>
      <w:numFmt w:val="lowerLetter"/>
      <w:start w:val="1"/>
    </w:lvl>
  </w:abstractNum>
  <w:abstractNum w:abstractNumId="359">
    <w:nsid w:val="6C11685A"/>
    <w:multiLevelType w:val="hybridMultilevel"/>
    <w:lvl w:ilvl="0">
      <w:lvlJc w:val="left"/>
      <w:lvlText w:val="(%1)"/>
      <w:numFmt w:val="lowerLetter"/>
      <w:start w:val="8"/>
    </w:lvl>
  </w:abstractNum>
  <w:abstractNum w:abstractNumId="360">
    <w:nsid w:val="5E1EAE31"/>
    <w:multiLevelType w:val="hybridMultilevel"/>
    <w:lvl w:ilvl="0">
      <w:lvlJc w:val="left"/>
      <w:lvlText w:val="(%1)"/>
      <w:numFmt w:val="lowerLetter"/>
      <w:start w:val="13"/>
    </w:lvl>
  </w:abstractNum>
  <w:abstractNum w:abstractNumId="361">
    <w:nsid w:val="178E240D"/>
    <w:multiLevelType w:val="hybridMultilevel"/>
    <w:lvl w:ilvl="0">
      <w:lvlJc w:val="left"/>
      <w:lvlText w:val="%1."/>
      <w:numFmt w:val="decimal"/>
      <w:start w:val="11"/>
    </w:lvl>
  </w:abstractNum>
  <w:abstractNum w:abstractNumId="362">
    <w:nsid w:val="5556A87B"/>
    <w:multiLevelType w:val="hybridMultilevel"/>
    <w:lvl w:ilvl="0">
      <w:lvlJc w:val="left"/>
      <w:lvlText w:val="%1."/>
      <w:numFmt w:val="upperLetter"/>
      <w:start w:val="1"/>
    </w:lvl>
    <w:lvl w:ilvl="1">
      <w:lvlJc w:val="left"/>
      <w:lvlText w:val="☐"/>
      <w:numFmt w:val="bullet"/>
      <w:start w:val="1"/>
    </w:lvl>
  </w:abstractNum>
  <w:abstractNum w:abstractNumId="363">
    <w:nsid w:val="28100A9C"/>
    <w:multiLevelType w:val="hybridMultilevel"/>
    <w:lvl w:ilvl="0">
      <w:lvlJc w:val="left"/>
      <w:lvlText w:val="%1."/>
      <w:numFmt w:val="decimal"/>
      <w:start w:val="1"/>
    </w:lvl>
  </w:abstractNum>
  <w:abstractNum w:abstractNumId="364">
    <w:nsid w:val="D838636"/>
    <w:multiLevelType w:val="hybridMultilevel"/>
    <w:lvl w:ilvl="0">
      <w:lvlJc w:val="left"/>
      <w:lvlText w:val="%1."/>
      <w:numFmt w:val="upperLetter"/>
      <w:start w:val="2"/>
    </w:lvl>
    <w:lvl w:ilvl="1">
      <w:lvlJc w:val="left"/>
      <w:lvlText w:val="☐"/>
      <w:numFmt w:val="bullet"/>
      <w:start w:val="1"/>
    </w:lvl>
  </w:abstractNum>
  <w:abstractNum w:abstractNumId="365">
    <w:nsid w:val="71B82AED"/>
    <w:multiLevelType w:val="hybridMultilevel"/>
    <w:lvl w:ilvl="0">
      <w:lvlJc w:val="left"/>
      <w:lvlText w:val="%1."/>
      <w:numFmt w:val="decimal"/>
      <w:start w:val="1"/>
    </w:lvl>
  </w:abstractNum>
  <w:abstractNum w:abstractNumId="366">
    <w:nsid w:val="D15FACA"/>
    <w:multiLevelType w:val="hybridMultilevel"/>
    <w:lvl w:ilvl="0">
      <w:lvlJc w:val="left"/>
      <w:lvlText w:val="☐"/>
      <w:numFmt w:val="bullet"/>
      <w:start w:val="1"/>
    </w:lvl>
  </w:abstractNum>
  <w:abstractNum w:abstractNumId="367">
    <w:nsid w:val="3D69565B"/>
    <w:multiLevelType w:val="hybridMultilevel"/>
    <w:lvl w:ilvl="0">
      <w:lvlJc w:val="left"/>
      <w:lvlText w:val="%1"/>
      <w:numFmt w:val="lowerLetter"/>
      <w:start w:val="1"/>
    </w:lvl>
    <w:lvl w:ilvl="1">
      <w:lvlJc w:val="left"/>
      <w:lvlText w:val="%2."/>
      <w:numFmt w:val="decimal"/>
      <w:start w:val="1"/>
    </w:lvl>
  </w:abstractNum>
  <w:abstractNum w:abstractNumId="368">
    <w:nsid w:val="2299DCBC"/>
    <w:multiLevelType w:val="hybridMultilevel"/>
    <w:lvl w:ilvl="0">
      <w:lvlJc w:val="left"/>
      <w:lvlText w:val="(%1)"/>
      <w:numFmt w:val="lowerLetter"/>
      <w:start w:val="2"/>
    </w:lvl>
    <w:lvl w:ilvl="1">
      <w:lvlJc w:val="left"/>
      <w:lvlText w:val="%2."/>
      <w:numFmt w:val="decimal"/>
      <w:start w:val="3"/>
    </w:lvl>
  </w:abstractNum>
  <w:abstractNum w:abstractNumId="369">
    <w:nsid w:val="19908D02"/>
    <w:multiLevelType w:val="hybridMultilevel"/>
    <w:lvl w:ilvl="0">
      <w:lvlJc w:val="left"/>
      <w:lvlText w:val="%1."/>
      <w:numFmt w:val="decimal"/>
      <w:start w:val="4"/>
    </w:lvl>
    <w:lvl w:ilvl="1">
      <w:lvlJc w:val="left"/>
      <w:lvlText w:val="(%2)"/>
      <w:numFmt w:val="lowerLetter"/>
      <w:start w:val="1"/>
    </w:lvl>
  </w:abstractNum>
  <w:abstractNum w:abstractNumId="370">
    <w:nsid w:val="24D48BDB"/>
    <w:multiLevelType w:val="hybridMultilevel"/>
    <w:lvl w:ilvl="0">
      <w:lvlJc w:val="left"/>
      <w:lvlText w:val="(%1)"/>
      <w:numFmt w:val="lowerLetter"/>
      <w:start w:val="3"/>
    </w:lvl>
  </w:abstractNum>
  <w:abstractNum w:abstractNumId="371">
    <w:nsid w:val="542DA5B5"/>
    <w:multiLevelType w:val="hybridMultilevel"/>
    <w:lvl w:ilvl="0">
      <w:lvlJc w:val="left"/>
      <w:lvlText w:val="(%1)"/>
      <w:numFmt w:val="lowerLetter"/>
      <w:start w:val="8"/>
    </w:lvl>
  </w:abstractNum>
  <w:abstractNum w:abstractNumId="372">
    <w:nsid w:val="793753DE"/>
    <w:multiLevelType w:val="hybridMultilevel"/>
    <w:lvl w:ilvl="0">
      <w:lvlJc w:val="left"/>
      <w:lvlText w:val="%1."/>
      <w:numFmt w:val="decimal"/>
      <w:start w:val="1"/>
    </w:lvl>
  </w:abstractNum>
  <w:abstractNum w:abstractNumId="373">
    <w:nsid w:val="1C67CB3D"/>
    <w:multiLevelType w:val="hybridMultilevel"/>
    <w:lvl w:ilvl="0">
      <w:lvlJc w:val="left"/>
      <w:lvlText w:val="%1."/>
      <w:numFmt w:val="decimal"/>
      <w:start w:val="3"/>
    </w:lvl>
  </w:abstractNum>
  <w:abstractNum w:abstractNumId="374">
    <w:nsid w:val="40E29452"/>
    <w:multiLevelType w:val="hybridMultilevel"/>
    <w:lvl w:ilvl="0">
      <w:lvlJc w:val="left"/>
      <w:lvlText w:val="%1."/>
      <w:numFmt w:val="decimal"/>
      <w:start w:val="10"/>
    </w:lvl>
  </w:abstractNum>
  <w:abstractNum w:abstractNumId="375">
    <w:nsid w:val="63A4AAB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6">
    <w:nsid w:val="77DA4A5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77">
    <w:nsid w:val="1230F10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78">
    <w:nsid w:val="25B57ED4"/>
    <w:multiLevelType w:val="hybridMultilevel"/>
    <w:lvl w:ilvl="0">
      <w:lvlJc w:val="left"/>
      <w:lvlText w:val="%1"/>
      <w:numFmt w:val="decimal"/>
      <w:start w:val="1"/>
    </w:lvl>
    <w:lvl w:ilvl="1">
      <w:lvlJc w:val="left"/>
      <w:lvlText w:val="(%2)"/>
      <w:numFmt w:val="lowerLetter"/>
      <w:start w:val="2"/>
    </w:lvl>
  </w:abstractNum>
  <w:abstractNum w:abstractNumId="379">
    <w:nsid w:val="47CF16C4"/>
    <w:multiLevelType w:val="hybridMultilevel"/>
    <w:lvl w:ilvl="0">
      <w:lvlJc w:val="left"/>
      <w:lvlText w:val="%1."/>
      <w:numFmt w:val="decimal"/>
      <w:start w:val="6"/>
    </w:lvl>
    <w:lvl w:ilvl="1">
      <w:lvlJc w:val="left"/>
      <w:lvlText w:val="(%2)"/>
      <w:numFmt w:val="lowerLetter"/>
      <w:start w:val="1"/>
    </w:lvl>
  </w:abstractNum>
  <w:abstractNum w:abstractNumId="380">
    <w:nsid w:val="527FA04C"/>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81">
    <w:nsid w:val="6FCC0624"/>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82">
    <w:nsid w:val="1DCDF795"/>
    <w:multiLevelType w:val="hybridMultilevel"/>
    <w:lvl w:ilvl="0">
      <w:lvlJc w:val="left"/>
      <w:lvlText w:val="%1."/>
      <w:numFmt w:val="decimal"/>
      <w:start w:val="10"/>
    </w:lvl>
    <w:lvl w:ilvl="1">
      <w:lvlJc w:val="left"/>
      <w:lvlText w:val="(%2)"/>
      <w:numFmt w:val="lowerLetter"/>
      <w:start w:val="1"/>
    </w:lvl>
  </w:abstractNum>
  <w:abstractNum w:abstractNumId="383">
    <w:nsid w:val="564580C8"/>
    <w:multiLevelType w:val="hybridMultilevel"/>
    <w:lvl w:ilvl="0">
      <w:lvlJc w:val="left"/>
      <w:lvlText w:val="(%1)"/>
      <w:numFmt w:val="lowerRoman"/>
      <w:start w:val="4"/>
    </w:lvl>
  </w:abstractNum>
  <w:abstractNum w:abstractNumId="384">
    <w:nsid w:val="508ED897"/>
    <w:multiLevelType w:val="hybridMultilevel"/>
    <w:lvl w:ilvl="0">
      <w:lvlJc w:val="left"/>
      <w:lvlText w:val="(%1)"/>
      <w:numFmt w:val="lowerRoman"/>
      <w:start w:val="1"/>
    </w:lvl>
  </w:abstractNum>
  <w:abstractNum w:abstractNumId="385">
    <w:nsid w:val="6A9126B5"/>
    <w:multiLevelType w:val="hybridMultilevel"/>
    <w:lvl w:ilvl="0">
      <w:lvlJc w:val="left"/>
      <w:lvlText w:val="1"/>
      <w:numFmt w:val="bullet"/>
      <w:start w:val="1"/>
    </w:lvl>
  </w:abstractNum>
  <w:abstractNum w:abstractNumId="386">
    <w:nsid w:val="68104812"/>
    <w:multiLevelType w:val="hybridMultilevel"/>
    <w:lvl w:ilvl="0">
      <w:lvlJc w:val="left"/>
      <w:lvlText w:val="(%1)"/>
      <w:numFmt w:val="lowerLetter"/>
      <w:start w:val="1"/>
    </w:lvl>
    <w:lvl w:ilvl="1">
      <w:lvlJc w:val="left"/>
      <w:lvlText w:val="(%2)"/>
      <w:numFmt w:val="lowerLetter"/>
      <w:start w:val="9"/>
    </w:lvl>
  </w:abstractNum>
  <w:abstractNum w:abstractNumId="387">
    <w:nsid w:val="62FB8680"/>
    <w:multiLevelType w:val="hybridMultilevel"/>
    <w:lvl w:ilvl="0">
      <w:lvlJc w:val="left"/>
      <w:lvlText w:val="2"/>
      <w:numFmt w:val="bullet"/>
      <w:start w:val="1"/>
    </w:lvl>
  </w:abstractNum>
  <w:abstractNum w:abstractNumId="388">
    <w:nsid w:val="3A45530"/>
    <w:multiLevelType w:val="hybridMultilevel"/>
    <w:lvl w:ilvl="0">
      <w:lvlJc w:val="left"/>
      <w:lvlText w:val="%1"/>
      <w:numFmt w:val="lowerLetter"/>
      <w:start w:val="1"/>
    </w:lvl>
    <w:lvl w:ilvl="1">
      <w:lvlJc w:val="left"/>
      <w:lvlText w:val="(%2)"/>
      <w:numFmt w:val="lowerLetter"/>
      <w:start w:val="35"/>
    </w:lvl>
  </w:abstractNum>
  <w:abstractNum w:abstractNumId="389">
    <w:nsid w:val="4B9275D2"/>
    <w:multiLevelType w:val="hybridMultilevel"/>
    <w:lvl w:ilvl="0">
      <w:lvlJc w:val="left"/>
      <w:lvlText w:val="(%1)"/>
      <w:numFmt w:val="lowerLetter"/>
      <w:start w:val="2"/>
    </w:lvl>
    <w:lvl w:ilvl="1">
      <w:lvlJc w:val="left"/>
      <w:lvlText w:val="%2"/>
      <w:numFmt w:val="lowerLetter"/>
      <w:start w:val="1"/>
    </w:lvl>
  </w:abstractNum>
  <w:abstractNum w:abstractNumId="390">
    <w:nsid w:val="4F0CEEDB"/>
    <w:multiLevelType w:val="hybridMultilevel"/>
    <w:lvl w:ilvl="0">
      <w:lvlJc w:val="left"/>
      <w:lvlText w:val="(%1)"/>
      <w:numFmt w:val="lowerLetter"/>
      <w:start w:val="35"/>
    </w:lvl>
  </w:abstractNum>
  <w:abstractNum w:abstractNumId="391">
    <w:nsid w:val="61C30361"/>
    <w:multiLevelType w:val="hybridMultilevel"/>
    <w:lvl w:ilvl="0">
      <w:lvlJc w:val="left"/>
      <w:lvlText w:val="(%1)"/>
      <w:numFmt w:val="lowerLetter"/>
      <w:start w:val="25"/>
    </w:lvl>
  </w:abstractNum>
  <w:abstractNum w:abstractNumId="392">
    <w:nsid w:val="632099E0"/>
    <w:multiLevelType w:val="hybridMultilevel"/>
    <w:lvl w:ilvl="0">
      <w:lvlJc w:val="left"/>
      <w:lvlText w:val="(%1)"/>
      <w:numFmt w:val="lowerLetter"/>
      <w:start w:val="1"/>
    </w:lvl>
  </w:abstractNum>
  <w:abstractNum w:abstractNumId="393">
    <w:nsid w:val="24639756"/>
    <w:multiLevelType w:val="hybridMultilevel"/>
    <w:lvl w:ilvl="0">
      <w:lvlJc w:val="left"/>
      <w:lvlText w:val="(%1)"/>
      <w:numFmt w:val="decimal"/>
      <w:start w:val="90"/>
    </w:lvl>
  </w:abstractNum>
  <w:abstractNum w:abstractNumId="394">
    <w:nsid w:val="9D30DFD"/>
    <w:multiLevelType w:val="hybridMultilevel"/>
    <w:lvl w:ilvl="0">
      <w:lvlJc w:val="left"/>
      <w:lvlText w:val="(%1)"/>
      <w:numFmt w:val="upperLetter"/>
      <w:start w:val="2"/>
    </w:lvl>
  </w:abstractNum>
  <w:abstractNum w:abstractNumId="395">
    <w:nsid w:val="70A42016"/>
    <w:multiLevelType w:val="hybridMultilevel"/>
    <w:lvl w:ilvl="0">
      <w:lvlJc w:val="left"/>
      <w:lvlText w:val="(%1)"/>
      <w:numFmt w:val="upperLetter"/>
      <w:start w:val="2"/>
    </w:lvl>
  </w:abstractNum>
  <w:abstractNum w:abstractNumId="396">
    <w:nsid w:val="161BC243"/>
    <w:multiLevelType w:val="hybridMultilevel"/>
    <w:lvl w:ilvl="0">
      <w:lvlJc w:val="left"/>
      <w:lvlText w:val="%1."/>
      <w:numFmt w:val="decimal"/>
      <w:start w:val="1"/>
    </w:lvl>
  </w:abstractNum>
  <w:abstractNum w:abstractNumId="397">
    <w:nsid w:val="16E908C8"/>
    <w:multiLevelType w:val="hybridMultilevel"/>
    <w:lvl w:ilvl="0">
      <w:lvlJc w:val="left"/>
      <w:lvlText w:val="(%1)"/>
      <w:numFmt w:val="lowerLetter"/>
      <w:start w:val="1"/>
    </w:lvl>
  </w:abstractNum>
  <w:abstractNum w:abstractNumId="398">
    <w:nsid w:val="2E0D7671"/>
    <w:multiLevelType w:val="hybridMultilevel"/>
    <w:lvl w:ilvl="0">
      <w:lvlJc w:val="left"/>
      <w:lvlText w:val="%1"/>
      <w:numFmt w:val="upperLetter"/>
      <w:start w:val="1"/>
    </w:lvl>
    <w:lvl w:ilvl="1">
      <w:lvlJc w:val="left"/>
      <w:lvlText w:val="(%2)"/>
      <w:numFmt w:val="lowerLetter"/>
      <w:start w:val="2"/>
    </w:lvl>
  </w:abstractNum>
  <w:abstractNum w:abstractNumId="399">
    <w:nsid w:val="38B59EFF"/>
    <w:multiLevelType w:val="hybridMultilevel"/>
    <w:lvl w:ilvl="0">
      <w:lvlJc w:val="left"/>
      <w:lvlText w:val="%1."/>
      <w:numFmt w:val="upperLetter"/>
      <w:start w:val="2"/>
    </w:lvl>
    <w:lvl w:ilvl="1">
      <w:lvlJc w:val="left"/>
      <w:lvlText w:val="%2"/>
      <w:numFmt w:val="lowerLetter"/>
      <w:start w:val="1"/>
    </w:lvl>
  </w:abstractNum>
  <w:abstractNum w:abstractNumId="400">
    <w:nsid w:val="307995CA"/>
    <w:multiLevelType w:val="hybridMultilevel"/>
    <w:lvl w:ilvl="0">
      <w:lvlJc w:val="left"/>
      <w:lvlText w:val="%1."/>
      <w:numFmt w:val="decimal"/>
      <w:start w:val="1"/>
    </w:lvl>
  </w:abstractNum>
  <w:abstractNum w:abstractNumId="401">
    <w:nsid w:val="52E2024D"/>
    <w:multiLevelType w:val="hybridMultilevel"/>
    <w:lvl w:ilvl="0">
      <w:lvlJc w:val="left"/>
      <w:lvlText w:val="%1."/>
      <w:numFmt w:val="decimal"/>
      <w:start w:val="1"/>
    </w:lvl>
  </w:abstractNum>
  <w:abstractNum w:abstractNumId="402">
    <w:nsid w:val="CE344B5"/>
    <w:multiLevelType w:val="hybridMultilevel"/>
    <w:lvl w:ilvl="0">
      <w:lvlJc w:val="left"/>
      <w:lvlText w:val="%1"/>
      <w:numFmt w:val="lowerRoman"/>
      <w:start w:val="1"/>
    </w:lvl>
    <w:lvl w:ilvl="1">
      <w:lvlJc w:val="left"/>
      <w:lvlText w:val="%2."/>
      <w:numFmt w:val="decimal"/>
      <w:start w:val="4"/>
    </w:lvl>
  </w:abstractNum>
  <w:abstractNum w:abstractNumId="403">
    <w:nsid w:val="29B0E9A8"/>
    <w:multiLevelType w:val="hybridMultilevel"/>
    <w:lvl w:ilvl="0">
      <w:lvlJc w:val="left"/>
      <w:lvlText w:val="(%1)"/>
      <w:numFmt w:val="lowerRoman"/>
      <w:start w:val="2"/>
    </w:lvl>
    <w:lvl w:ilvl="1">
      <w:lvlJc w:val="left"/>
      <w:lvlText w:val="%2"/>
      <w:numFmt w:val="decimal"/>
      <w:start w:val="1"/>
    </w:lvl>
  </w:abstractNum>
  <w:abstractNum w:abstractNumId="404">
    <w:nsid w:val="6F49CD8A"/>
    <w:multiLevelType w:val="hybridMultilevel"/>
    <w:lvl w:ilvl="0">
      <w:lvlJc w:val="left"/>
      <w:lvlText w:val="%1"/>
      <w:numFmt w:val="lowerLetter"/>
      <w:start w:val="1"/>
    </w:lvl>
    <w:lvl w:ilvl="1">
      <w:lvlJc w:val="left"/>
      <w:lvlText w:val="%2."/>
      <w:numFmt w:val="decimal"/>
      <w:start w:val="1"/>
    </w:lvl>
  </w:abstractNum>
  <w:abstractNum w:abstractNumId="405">
    <w:nsid w:val="4DC5D907"/>
    <w:multiLevelType w:val="hybridMultilevel"/>
    <w:lvl w:ilvl="0">
      <w:lvlJc w:val="left"/>
      <w:lvlText w:val="(%1)"/>
      <w:numFmt w:val="lowerLetter"/>
      <w:start w:val="2"/>
    </w:lvl>
    <w:lvl w:ilvl="1">
      <w:lvlJc w:val="left"/>
      <w:lvlText w:val="%2."/>
      <w:numFmt w:val="decimal"/>
      <w:start w:val="2"/>
    </w:lvl>
  </w:abstractNum>
  <w:abstractNum w:abstractNumId="406">
    <w:nsid w:val="D55945E"/>
    <w:multiLevelType w:val="hybridMultilevel"/>
    <w:lvl w:ilvl="0">
      <w:lvlJc w:val="left"/>
      <w:lvlText w:val="%1."/>
      <w:numFmt w:val="decimal"/>
      <w:start w:val="1"/>
    </w:lvl>
  </w:abstractNum>
  <w:abstractNum w:abstractNumId="407">
    <w:nsid w:val="672417E1"/>
    <w:multiLevelType w:val="hybridMultilevel"/>
    <w:lvl w:ilvl="0">
      <w:lvlJc w:val="left"/>
      <w:lvlText w:val="%1."/>
      <w:numFmt w:val="decimal"/>
      <w:start w:val="1"/>
    </w:lvl>
  </w:abstractNum>
  <w:abstractNum w:abstractNumId="408">
    <w:nsid w:val="5FF6CA09"/>
    <w:multiLevelType w:val="hybridMultilevel"/>
    <w:lvl w:ilvl="0">
      <w:lvlJc w:val="left"/>
      <w:lvlText w:val="(%1)"/>
      <w:numFmt w:val="lowerLetter"/>
      <w:start w:val="1"/>
    </w:lvl>
  </w:abstractNum>
  <w:abstractNum w:abstractNumId="409">
    <w:nsid w:val="330B1333"/>
    <w:multiLevelType w:val="hybridMultilevel"/>
    <w:lvl w:ilvl="0">
      <w:lvlJc w:val="left"/>
      <w:lvlText w:val="(%1)"/>
      <w:numFmt w:val="decimal"/>
      <w:start w:val="1"/>
    </w:lvl>
  </w:abstractNum>
  <w:abstractNum w:abstractNumId="410">
    <w:nsid w:val="2EF32EA6"/>
    <w:multiLevelType w:val="hybridMultilevel"/>
    <w:lvl w:ilvl="0">
      <w:lvlJc w:val="left"/>
      <w:lvlText w:val="(%1)"/>
      <w:numFmt w:val="upperLetter"/>
      <w:start w:val="1"/>
    </w:lvl>
  </w:abstractNum>
  <w:abstractNum w:abstractNumId="411">
    <w:nsid w:val="32766A55"/>
    <w:multiLevelType w:val="hybridMultilevel"/>
    <w:lvl w:ilvl="0">
      <w:lvlJc w:val="left"/>
      <w:lvlText w:val="(%1)"/>
      <w:numFmt w:val="upperLetter"/>
      <w:start w:val="4"/>
    </w:lvl>
  </w:abstractNum>
  <w:abstractNum w:abstractNumId="412">
    <w:nsid w:val="22D71957"/>
    <w:multiLevelType w:val="hybridMultilevel"/>
    <w:lvl w:ilvl="0">
      <w:lvlJc w:val="left"/>
      <w:lvlText w:val="(%1)"/>
      <w:numFmt w:val="decimal"/>
      <w:start w:val="3"/>
    </w:lvl>
  </w:abstractNum>
  <w:abstractNum w:abstractNumId="413">
    <w:nsid w:val="4CC1263B"/>
    <w:multiLevelType w:val="hybridMultilevel"/>
    <w:lvl w:ilvl="0">
      <w:lvlJc w:val="left"/>
      <w:lvlText w:val="(%1)"/>
      <w:numFmt w:val="lowerLetter"/>
      <w:start w:val="2"/>
    </w:lvl>
  </w:abstractNum>
  <w:abstractNum w:abstractNumId="414">
    <w:nsid w:val="8BBEB1D"/>
    <w:multiLevelType w:val="hybridMultilevel"/>
    <w:lvl w:ilvl="0">
      <w:lvlJc w:val="left"/>
      <w:lvlText w:val="(%1)"/>
      <w:numFmt w:val="decimal"/>
      <w:start w:val="1"/>
    </w:lvl>
  </w:abstractNum>
  <w:abstractNum w:abstractNumId="415">
    <w:nsid w:val="7365F1EE"/>
    <w:multiLevelType w:val="hybridMultilevel"/>
    <w:lvl w:ilvl="0">
      <w:lvlJc w:val="left"/>
      <w:lvlText w:val="(%1)"/>
      <w:numFmt w:val="lowerLetter"/>
      <w:start w:val="9"/>
    </w:lvl>
    <w:lvl w:ilvl="1">
      <w:lvlJc w:val="left"/>
      <w:lvlText w:val="(%2)"/>
      <w:numFmt w:val="lowerLetter"/>
      <w:start w:val="3"/>
    </w:lvl>
  </w:abstractNum>
  <w:abstractNum w:abstractNumId="416">
    <w:nsid w:val="37524CF0"/>
    <w:multiLevelType w:val="hybridMultilevel"/>
    <w:lvl w:ilvl="0">
      <w:lvlJc w:val="left"/>
      <w:lvlText w:val="(%1)"/>
      <w:numFmt w:val="lowerLetter"/>
      <w:start w:val="1"/>
    </w:lvl>
  </w:abstractNum>
  <w:abstractNum w:abstractNumId="417">
    <w:nsid w:val="70CC332F"/>
    <w:multiLevelType w:val="hybridMultilevel"/>
    <w:lvl w:ilvl="0">
      <w:lvlJc w:val="left"/>
      <w:lvlText w:val="(%1)"/>
      <w:numFmt w:val="lowerLetter"/>
      <w:start w:val="1"/>
    </w:lvl>
  </w:abstractNum>
  <w:abstractNum w:abstractNumId="418">
    <w:nsid w:val="5661786E"/>
    <w:multiLevelType w:val="hybridMultilevel"/>
    <w:lvl w:ilvl="0">
      <w:lvlJc w:val="left"/>
      <w:lvlText w:val="(%1)"/>
      <w:numFmt w:val="lowerLetter"/>
      <w:start w:val="1"/>
    </w:lvl>
  </w:abstractNum>
  <w:abstractNum w:abstractNumId="419">
    <w:nsid w:val="3AF6A220"/>
    <w:multiLevelType w:val="hybridMultilevel"/>
    <w:lvl w:ilvl="0">
      <w:lvlJc w:val="left"/>
      <w:lvlText w:val="(%1)"/>
      <w:numFmt w:val="decimal"/>
      <w:start w:val="1"/>
    </w:lvl>
  </w:abstractNum>
  <w:abstractNum w:abstractNumId="420">
    <w:nsid w:val="3C5EA902"/>
    <w:multiLevelType w:val="hybridMultilevel"/>
    <w:lvl w:ilvl="0">
      <w:lvlJc w:val="left"/>
      <w:lvlText w:val="(%1)"/>
      <w:numFmt w:val="lowerLetter"/>
      <w:start w:val="1"/>
    </w:lvl>
  </w:abstractNum>
  <w:abstractNum w:abstractNumId="421">
    <w:nsid w:val="256E6749"/>
    <w:multiLevelType w:val="hybridMultilevel"/>
    <w:lvl w:ilvl="0">
      <w:lvlJc w:val="left"/>
      <w:lvlText w:val="(%1)"/>
      <w:numFmt w:val="lowerLetter"/>
      <w:start w:val="9"/>
    </w:lvl>
    <w:lvl w:ilvl="1">
      <w:lvlJc w:val="left"/>
      <w:lvlText w:val="(%2)"/>
      <w:numFmt w:val="lowerLetter"/>
      <w:start w:val="2"/>
    </w:lvl>
  </w:abstractNum>
  <w:abstractNum w:abstractNumId="422">
    <w:nsid w:val="1CB9A581"/>
    <w:multiLevelType w:val="hybridMultilevel"/>
    <w:lvl w:ilvl="0">
      <w:lvlJc w:val="left"/>
      <w:lvlText w:val="(%1)"/>
      <w:numFmt w:val="lowerLetter"/>
      <w:start w:val="1"/>
    </w:lvl>
  </w:abstractNum>
  <w:abstractNum w:abstractNumId="423">
    <w:nsid w:val="1F7F42E2"/>
    <w:multiLevelType w:val="hybridMultilevel"/>
    <w:lvl w:ilvl="0">
      <w:lvlJc w:val="left"/>
      <w:lvlText w:val="(%1)"/>
      <w:numFmt w:val="lowerLetter"/>
      <w:start w:val="1"/>
    </w:lvl>
  </w:abstractNum>
  <w:abstractNum w:abstractNumId="424">
    <w:nsid w:val="49D1FEA0"/>
    <w:multiLevelType w:val="hybridMultilevel"/>
    <w:lvl w:ilvl="0">
      <w:lvlJc w:val="left"/>
      <w:lvlText w:val="(%1)"/>
      <w:numFmt w:val="lowerLetter"/>
      <w:start w:val="2"/>
    </w:lvl>
  </w:abstractNum>
  <w:abstractNum w:abstractNumId="425">
    <w:nsid w:val="268CB37F"/>
    <w:multiLevelType w:val="hybridMultilevel"/>
    <w:lvl w:ilvl="0">
      <w:lvlJc w:val="left"/>
      <w:lvlText w:val="(%1)"/>
      <w:numFmt w:val="lowerLetter"/>
      <w:start w:val="1"/>
    </w:lvl>
  </w:abstractNum>
  <w:abstractNum w:abstractNumId="426">
    <w:nsid w:val="102362F8"/>
    <w:multiLevelType w:val="hybridMultilevel"/>
    <w:lvl w:ilvl="0">
      <w:lvlJc w:val="left"/>
      <w:lvlText w:val="(%1)"/>
      <w:numFmt w:val="lowerLetter"/>
      <w:start w:val="1"/>
    </w:lvl>
    <w:lvl w:ilvl="1">
      <w:lvlJc w:val="left"/>
      <w:lvlText w:val="(%2)"/>
      <w:numFmt w:val="lowerRoman"/>
      <w:start w:val="1"/>
    </w:lvl>
  </w:abstractNum>
  <w:abstractNum w:abstractNumId="427">
    <w:nsid w:val="5FEDC0E3"/>
    <w:multiLevelType w:val="hybridMultilevel"/>
    <w:lvl w:ilvl="0">
      <w:lvlJc w:val="left"/>
      <w:lvlText w:val="(%1)"/>
      <w:numFmt w:val="lowerLetter"/>
      <w:start w:val="3"/>
    </w:lvl>
  </w:abstractNum>
  <w:abstractNum w:abstractNumId="428">
    <w:nsid w:val="3D75BC47"/>
    <w:multiLevelType w:val="hybridMultilevel"/>
    <w:lvl w:ilvl="0">
      <w:lvlJc w:val="left"/>
      <w:lvlText w:val="(%1)"/>
      <w:numFmt w:val="lowerLetter"/>
      <w:start w:val="1"/>
    </w:lvl>
  </w:abstractNum>
  <w:abstractNum w:abstractNumId="429">
    <w:nsid w:val="3E30D969"/>
    <w:multiLevelType w:val="hybridMultilevel"/>
    <w:lvl w:ilvl="0">
      <w:lvlJc w:val="left"/>
      <w:lvlText w:val="(%1)"/>
      <w:numFmt w:val="lowerLetter"/>
      <w:start w:val="3"/>
    </w:lvl>
  </w:abstractNum>
  <w:abstractNum w:abstractNumId="430">
    <w:nsid w:val="18A35FE3"/>
    <w:multiLevelType w:val="hybridMultilevel"/>
    <w:lvl w:ilvl="0">
      <w:lvlJc w:val="left"/>
      <w:lvlText w:val="(%1)"/>
      <w:numFmt w:val="lowerLetter"/>
      <w:start w:val="1"/>
    </w:lvl>
  </w:abstractNum>
  <w:abstractNum w:abstractNumId="431">
    <w:nsid w:val="6DEF5211"/>
    <w:multiLevelType w:val="hybridMultilevel"/>
    <w:lvl w:ilvl="0">
      <w:lvlJc w:val="left"/>
      <w:lvlText w:val="(%1)"/>
      <w:numFmt w:val="lowerLetter"/>
      <w:start w:val="2"/>
    </w:lvl>
  </w:abstractNum>
  <w:abstractNum w:abstractNumId="432">
    <w:nsid w:val="1112DBB6"/>
    <w:multiLevelType w:val="hybridMultilevel"/>
    <w:lvl w:ilvl="0">
      <w:lvlJc w:val="left"/>
      <w:lvlText w:val="(%1)"/>
      <w:numFmt w:val="lowerLetter"/>
      <w:start w:val="3"/>
    </w:lvl>
    <w:lvl w:ilvl="1">
      <w:lvlJc w:val="left"/>
      <w:lvlText w:val="(%2)"/>
      <w:numFmt w:val="lowerRoman"/>
      <w:start w:val="1"/>
    </w:lvl>
  </w:abstractNum>
  <w:abstractNum w:abstractNumId="433">
    <w:nsid w:val="2586A498"/>
    <w:multiLevelType w:val="hybridMultilevel"/>
    <w:lvl w:ilvl="0">
      <w:lvlJc w:val="left"/>
      <w:lvlText w:val="(%1)"/>
      <w:numFmt w:val="lowerLetter"/>
      <w:start w:val="6"/>
    </w:lvl>
  </w:abstractNum>
  <w:abstractNum w:abstractNumId="434">
    <w:nsid w:val="17A03BB9"/>
    <w:multiLevelType w:val="hybridMultilevel"/>
    <w:lvl w:ilvl="0">
      <w:lvlJc w:val="left"/>
      <w:lvlText w:val="(%1)"/>
      <w:numFmt w:val="lowerLetter"/>
      <w:start w:val="1"/>
    </w:lvl>
  </w:abstractNum>
  <w:abstractNum w:abstractNumId="435">
    <w:nsid w:val="5CA941"/>
    <w:multiLevelType w:val="hybridMultilevel"/>
    <w:lvl w:ilvl="0">
      <w:lvlJc w:val="left"/>
      <w:lvlText w:val="%1"/>
      <w:numFmt w:val="lowerLetter"/>
      <w:start w:val="1"/>
    </w:lvl>
    <w:lvl w:ilvl="1">
      <w:lvlJc w:val="left"/>
      <w:lvlText w:val="(%2)"/>
      <w:numFmt w:val="lowerLetter"/>
      <w:start w:val="1"/>
    </w:lvl>
  </w:abstractNum>
  <w:abstractNum w:abstractNumId="436">
    <w:nsid w:val="734C7D9F"/>
    <w:multiLevelType w:val="hybridMultilevel"/>
    <w:lvl w:ilvl="0">
      <w:lvlJc w:val="left"/>
      <w:lvlText w:val="(%1)"/>
      <w:numFmt w:val="lowerLetter"/>
      <w:start w:val="9"/>
    </w:lvl>
    <w:lvl w:ilvl="1">
      <w:lvlJc w:val="left"/>
      <w:lvlText w:val="(%2)"/>
      <w:numFmt w:val="lowerLetter"/>
      <w:start w:val="3"/>
    </w:lvl>
  </w:abstractNum>
  <w:abstractNum w:abstractNumId="437">
    <w:nsid w:val="24F5D018"/>
    <w:multiLevelType w:val="hybridMultilevel"/>
    <w:lvl w:ilvl="0">
      <w:lvlJc w:val="left"/>
      <w:lvlText w:val="(%1)"/>
      <w:numFmt w:val="lowerLetter"/>
      <w:start w:val="1"/>
    </w:lvl>
  </w:abstractNum>
  <w:abstractNum w:abstractNumId="438">
    <w:nsid w:val="6780C122"/>
    <w:multiLevelType w:val="hybridMultilevel"/>
    <w:lvl w:ilvl="0">
      <w:lvlJc w:val="left"/>
      <w:lvlText w:val="(%1)"/>
      <w:numFmt w:val="lowerLetter"/>
      <w:start w:val="1"/>
    </w:lvl>
  </w:abstractNum>
  <w:abstractNum w:abstractNumId="439">
    <w:nsid w:val="534347A8"/>
    <w:multiLevelType w:val="hybridMultilevel"/>
    <w:lvl w:ilvl="0">
      <w:lvlJc w:val="left"/>
      <w:lvlText w:val="(%1)"/>
      <w:numFmt w:val="lowerLetter"/>
      <w:start w:val="2"/>
    </w:lvl>
  </w:abstractNum>
  <w:abstractNum w:abstractNumId="440">
    <w:nsid w:val="5800E34B"/>
    <w:multiLevelType w:val="hybridMultilevel"/>
    <w:lvl w:ilvl="0">
      <w:lvlJc w:val="left"/>
      <w:lvlText w:val="(%1)"/>
      <w:numFmt w:val="lowerLetter"/>
      <w:start w:val="1"/>
    </w:lvl>
  </w:abstractNum>
  <w:abstractNum w:abstractNumId="441">
    <w:nsid w:val="1673EFC8"/>
    <w:multiLevelType w:val="hybridMultilevel"/>
    <w:lvl w:ilvl="0">
      <w:lvlJc w:val="left"/>
      <w:lvlText w:val="(%1)"/>
      <w:numFmt w:val="lowerLetter"/>
      <w:start w:val="1"/>
    </w:lvl>
  </w:abstractNum>
  <w:abstractNum w:abstractNumId="442">
    <w:nsid w:val="5B9B1FD"/>
    <w:multiLevelType w:val="hybridMultilevel"/>
    <w:lvl w:ilvl="0">
      <w:lvlJc w:val="left"/>
      <w:lvlText w:val="(%1)"/>
      <w:numFmt w:val="lowerLetter"/>
      <w:start w:val="2"/>
    </w:lvl>
  </w:abstractNum>
  <w:abstractNum w:abstractNumId="443">
    <w:nsid w:val="7AD7FCA2"/>
    <w:multiLevelType w:val="hybridMultilevel"/>
    <w:lvl w:ilvl="0">
      <w:lvlJc w:val="left"/>
      <w:lvlText w:val="(%1)"/>
      <w:numFmt w:val="lowerLetter"/>
      <w:start w:val="1"/>
    </w:lvl>
    <w:lvl w:ilvl="1">
      <w:lvlJc w:val="left"/>
      <w:lvlText w:val="(%2)"/>
      <w:numFmt w:val="lowerRoman"/>
      <w:start w:val="1"/>
    </w:lvl>
  </w:abstractNum>
  <w:abstractNum w:abstractNumId="444">
    <w:nsid w:val="63351604"/>
    <w:multiLevelType w:val="hybridMultilevel"/>
    <w:lvl w:ilvl="0">
      <w:lvlJc w:val="left"/>
      <w:lvlText w:val="(%1)"/>
      <w:numFmt w:val="lowerLetter"/>
      <w:start w:val="1"/>
    </w:lvl>
  </w:abstractNum>
  <w:abstractNum w:abstractNumId="445">
    <w:nsid w:val="E759D1A"/>
    <w:multiLevelType w:val="hybridMultilevel"/>
    <w:lvl w:ilvl="0">
      <w:lvlJc w:val="left"/>
      <w:lvlText w:val="%1."/>
      <w:numFmt w:val="decimal"/>
      <w:start w:val="1"/>
    </w:lvl>
  </w:abstractNum>
  <w:abstractNum w:abstractNumId="446">
    <w:nsid w:val="6E3DEE90"/>
    <w:multiLevelType w:val="hybridMultilevel"/>
    <w:lvl w:ilvl="0">
      <w:lvlJc w:val="left"/>
      <w:lvlText w:val="(%1)"/>
      <w:numFmt w:val="lowerLetter"/>
      <w:start w:val="1"/>
    </w:lvl>
  </w:abstractNum>
  <w:abstractNum w:abstractNumId="447">
    <w:nsid w:val="1A8762F4"/>
    <w:multiLevelType w:val="hybridMultilevel"/>
    <w:lvl w:ilvl="0">
      <w:lvlJc w:val="left"/>
      <w:lvlText w:val="(%1)"/>
      <w:numFmt w:val="lowerLetter"/>
      <w:start w:val="1"/>
    </w:lvl>
  </w:abstractNum>
  <w:abstractNum w:abstractNumId="448">
    <w:nsid w:val="7F41D049"/>
    <w:multiLevelType w:val="hybridMultilevel"/>
    <w:lvl w:ilvl="0">
      <w:lvlJc w:val="left"/>
      <w:lvlText w:val="(%1)"/>
      <w:numFmt w:val="lowerLetter"/>
      <w:start w:val="1"/>
    </w:lvl>
  </w:abstractNum>
  <w:abstractNum w:abstractNumId="449">
    <w:nsid w:val="449F66FE"/>
    <w:multiLevelType w:val="hybridMultilevel"/>
    <w:lvl w:ilvl="0">
      <w:lvlJc w:val="left"/>
      <w:lvlText w:val="%1"/>
      <w:numFmt w:val="decimal"/>
      <w:start w:val="10"/>
    </w:lvl>
  </w:abstractNum>
  <w:abstractNum w:abstractNumId="450">
    <w:nsid w:val="557E0515"/>
    <w:multiLevelType w:val="hybridMultilevel"/>
    <w:lvl w:ilvl="0">
      <w:lvlJc w:val="left"/>
      <w:lvlText w:val="(%1)"/>
      <w:numFmt w:val="lowerLetter"/>
      <w:start w:val="1"/>
    </w:lvl>
  </w:abstractNum>
  <w:abstractNum w:abstractNumId="451">
    <w:nsid w:val="3BA0794B"/>
    <w:multiLevelType w:val="hybridMultilevel"/>
    <w:lvl w:ilvl="0">
      <w:lvlJc w:val="left"/>
      <w:lvlText w:val="(%1)"/>
      <w:numFmt w:val="lowerLetter"/>
      <w:start w:val="3"/>
    </w:lvl>
  </w:abstractNum>
  <w:abstractNum w:abstractNumId="452">
    <w:nsid w:val="6A0DCE48"/>
    <w:multiLevelType w:val="hybridMultilevel"/>
    <w:lvl w:ilvl="0">
      <w:lvlJc w:val="left"/>
      <w:lvlText w:val="%1"/>
      <w:numFmt w:val="decimal"/>
      <w:start w:val="1"/>
    </w:lvl>
    <w:lvl w:ilvl="1">
      <w:lvlJc w:val="left"/>
      <w:lvlText w:val="%2."/>
      <w:numFmt w:val="decimal"/>
      <w:start w:val="1"/>
    </w:lvl>
  </w:abstractNum>
  <w:abstractNum w:abstractNumId="453">
    <w:nsid w:val="7237AA96"/>
    <w:multiLevelType w:val="hybridMultilevel"/>
    <w:lvl w:ilvl="0">
      <w:lvlJc w:val="left"/>
      <w:lvlText w:val="%1."/>
      <w:numFmt w:val="decimal"/>
      <w:start w:val="2"/>
    </w:lvl>
    <w:lvl w:ilvl="1">
      <w:lvlJc w:val="left"/>
      <w:lvlText w:val="%2"/>
      <w:numFmt w:val="decimal"/>
      <w:start w:val="1"/>
    </w:lvl>
  </w:abstractNum>
  <w:abstractNum w:abstractNumId="454">
    <w:nsid w:val="5B1FBC2D"/>
    <w:multiLevelType w:val="hybridMultilevel"/>
    <w:lvl w:ilvl="0">
      <w:lvlJc w:val="left"/>
      <w:lvlText w:val="%1."/>
      <w:numFmt w:val="decimal"/>
      <w:start w:val="1"/>
    </w:lvl>
  </w:abstractNum>
  <w:abstractNum w:abstractNumId="455">
    <w:nsid w:val="33DFCCE8"/>
    <w:multiLevelType w:val="hybridMultilevel"/>
    <w:lvl w:ilvl="0">
      <w:lvlJc w:val="left"/>
      <w:lvlText w:val="%1."/>
      <w:numFmt w:val="decimal"/>
      <w:start w:val="4"/>
    </w:lvl>
  </w:abstractNum>
  <w:abstractNum w:abstractNumId="456">
    <w:nsid w:val="18C45E15"/>
    <w:multiLevelType w:val="hybridMultilevel"/>
    <w:lvl w:ilvl="0">
      <w:lvlJc w:val="left"/>
      <w:lvlText w:val="%1"/>
      <w:numFmt w:val="lowerLetter"/>
      <w:start w:val="1"/>
    </w:lvl>
    <w:lvl w:ilvl="1">
      <w:lvlJc w:val="left"/>
      <w:lvlText w:val="%2."/>
      <w:numFmt w:val="decimal"/>
      <w:start w:val="1"/>
    </w:lvl>
  </w:abstractNum>
  <w:abstractNum w:abstractNumId="457">
    <w:nsid w:val="6B431F25"/>
    <w:multiLevelType w:val="hybridMultilevel"/>
    <w:lvl w:ilvl="0">
      <w:lvlJc w:val="left"/>
      <w:lvlText w:val="(%1)"/>
      <w:numFmt w:val="lowerLetter"/>
      <w:start w:val="2"/>
    </w:lvl>
    <w:lvl w:ilvl="1">
      <w:lvlJc w:val="left"/>
      <w:lvlText w:val="%2"/>
      <w:numFmt w:val="decimal"/>
      <w:start w:val="1"/>
    </w:lvl>
  </w:abstractNum>
  <w:abstractNum w:abstractNumId="458">
    <w:nsid w:val="13CD8DCB"/>
    <w:multiLevelType w:val="hybridMultilevel"/>
    <w:lvl w:ilvl="0">
      <w:lvlJc w:val="left"/>
      <w:lvlText w:val="%1."/>
      <w:numFmt w:val="decimal"/>
      <w:start w:val="2"/>
    </w:lvl>
  </w:abstractNum>
  <w:abstractNum w:abstractNumId="459">
    <w:nsid w:val="563A1A5C"/>
    <w:multiLevelType w:val="hybridMultilevel"/>
    <w:lvl w:ilvl="0">
      <w:lvlJc w:val="left"/>
      <w:lvlText w:val="%1."/>
      <w:numFmt w:val="decimal"/>
      <w:start w:val="1"/>
    </w:lvl>
  </w:abstractNum>
  <w:abstractNum w:abstractNumId="460">
    <w:nsid w:val="2973F88F"/>
    <w:multiLevelType w:val="hybridMultilevel"/>
    <w:lvl w:ilvl="0">
      <w:lvlJc w:val="left"/>
      <w:lvlText w:val="%1."/>
      <w:numFmt w:val="decimal"/>
      <w:start w:val="1"/>
    </w:lvl>
  </w:abstractNum>
  <w:abstractNum w:abstractNumId="461">
    <w:nsid w:val="2C70EDAE"/>
    <w:multiLevelType w:val="hybridMultilevel"/>
    <w:lvl w:ilvl="0">
      <w:lvlJc w:val="left"/>
      <w:lvlText w:val="(%1)"/>
      <w:numFmt w:val="lowerLetter"/>
      <w:start w:val="1"/>
    </w:lvl>
  </w:abstractNum>
  <w:abstractNum w:abstractNumId="462">
    <w:nsid w:val="44296C6D"/>
    <w:multiLevelType w:val="hybridMultilevel"/>
    <w:lvl w:ilvl="0">
      <w:lvlJc w:val="left"/>
      <w:lvlText w:val="%1"/>
      <w:numFmt w:val="lowerRoman"/>
      <w:start w:val="1"/>
    </w:lvl>
    <w:lvl w:ilvl="1">
      <w:lvlJc w:val="left"/>
      <w:lvlText w:val="(%2)"/>
      <w:numFmt w:val="decimal"/>
      <w:start w:val="1"/>
    </w:lvl>
  </w:abstractNum>
  <w:abstractNum w:abstractNumId="463">
    <w:nsid w:val="3A86D445"/>
    <w:multiLevelType w:val="hybridMultilevel"/>
    <w:lvl w:ilvl="0">
      <w:lvlJc w:val="left"/>
      <w:lvlText w:val="(%1)"/>
      <w:numFmt w:val="lowerRoman"/>
      <w:start w:val="3"/>
    </w:lvl>
    <w:lvl w:ilvl="1">
      <w:lvlJc w:val="left"/>
      <w:lvlText w:val="%2"/>
      <w:numFmt w:val="decimal"/>
      <w:start w:val="1"/>
    </w:lvl>
  </w:abstractNum>
  <w:abstractNum w:abstractNumId="464">
    <w:nsid w:val="51F79246"/>
    <w:multiLevelType w:val="hybridMultilevel"/>
    <w:lvl w:ilvl="0">
      <w:lvlJc w:val="left"/>
      <w:lvlText w:val="(%1)"/>
      <w:numFmt w:val="upperLetter"/>
      <w:start w:val="1"/>
    </w:lvl>
  </w:abstractNum>
  <w:abstractNum w:abstractNumId="465">
    <w:nsid w:val="5BC9A827"/>
    <w:multiLevelType w:val="hybridMultilevel"/>
    <w:lvl w:ilvl="0">
      <w:lvlJc w:val="left"/>
      <w:lvlText w:val="(%1)"/>
      <w:numFmt w:val="lowerRoman"/>
      <w:start w:val="3"/>
    </w:lvl>
    <w:lvl w:ilvl="1">
      <w:lvlJc w:val="left"/>
      <w:lvlText w:val="(%2)"/>
      <w:numFmt w:val="upperLetter"/>
      <w:start w:val="4"/>
    </w:lvl>
  </w:abstractNum>
  <w:abstractNum w:abstractNumId="466">
    <w:nsid w:val="3AE37D86"/>
    <w:multiLevelType w:val="hybridMultilevel"/>
    <w:lvl w:ilvl="0">
      <w:lvlJc w:val="left"/>
      <w:lvlText w:val="(%1)"/>
      <w:numFmt w:val="decimal"/>
      <w:start w:val="3"/>
    </w:lvl>
  </w:abstractNum>
  <w:abstractNum w:abstractNumId="467">
    <w:nsid w:val="45440FE5"/>
    <w:multiLevelType w:val="hybridMultilevel"/>
    <w:lvl w:ilvl="0">
      <w:lvlJc w:val="left"/>
      <w:lvlText w:val="(%1)"/>
      <w:numFmt w:val="lowerLetter"/>
      <w:start w:val="2"/>
    </w:lvl>
  </w:abstractNum>
  <w:abstractNum w:abstractNumId="468">
    <w:nsid w:val="BF783F"/>
    <w:multiLevelType w:val="hybridMultilevel"/>
    <w:lvl w:ilvl="0">
      <w:lvlJc w:val="left"/>
      <w:lvlText w:val="(%1)"/>
      <w:numFmt w:val="decimal"/>
      <w:start w:val="1"/>
    </w:lvl>
  </w:abstractNum>
  <w:abstractNum w:abstractNumId="469">
    <w:nsid w:val="22643EA9"/>
    <w:multiLevelType w:val="hybridMultilevel"/>
    <w:lvl w:ilvl="0">
      <w:lvlJc w:val="left"/>
      <w:lvlText w:val="(%1)"/>
      <w:numFmt w:val="lowerRoman"/>
      <w:start w:val="1"/>
    </w:lvl>
  </w:abstractNum>
  <w:abstractNum w:abstractNumId="470">
    <w:nsid w:val="1887578D"/>
    <w:multiLevelType w:val="hybridMultilevel"/>
    <w:lvl w:ilvl="0">
      <w:lvlJc w:val="left"/>
      <w:lvlText w:val="(%1)"/>
      <w:numFmt w:val="lowerLetter"/>
      <w:start w:val="3"/>
    </w:lvl>
  </w:abstractNum>
  <w:abstractNum w:abstractNumId="471">
    <w:nsid w:val="58C05B8A"/>
    <w:multiLevelType w:val="hybridMultilevel"/>
    <w:lvl w:ilvl="0">
      <w:lvlJc w:val="left"/>
      <w:lvlText w:val="(%1)"/>
      <w:numFmt w:val="lowerLetter"/>
      <w:start w:val="1"/>
    </w:lvl>
  </w:abstractNum>
  <w:abstractNum w:abstractNumId="472">
    <w:nsid w:val="38D82E71"/>
    <w:multiLevelType w:val="hybridMultilevel"/>
    <w:lvl w:ilvl="0">
      <w:lvlJc w:val="left"/>
      <w:lvlText w:val="(%1)"/>
      <w:numFmt w:val="lowerLetter"/>
      <w:start w:val="5"/>
    </w:lvl>
  </w:abstractNum>
  <w:abstractNum w:abstractNumId="473">
    <w:nsid w:val="1E41098A"/>
    <w:multiLevelType w:val="hybridMultilevel"/>
    <w:lvl w:ilvl="0">
      <w:lvlJc w:val="left"/>
      <w:lvlText w:val="%1"/>
      <w:numFmt w:val="lowerRoman"/>
      <w:start w:val="1"/>
    </w:lvl>
    <w:lvl w:ilvl="1">
      <w:lvlJc w:val="left"/>
      <w:lvlText w:val="(%2)"/>
      <w:numFmt w:val="lowerLetter"/>
      <w:start w:val="1"/>
    </w:lvl>
  </w:abstractNum>
  <w:abstractNum w:abstractNumId="474">
    <w:nsid w:val="5398582C"/>
    <w:multiLevelType w:val="hybridMultilevel"/>
    <w:lvl w:ilvl="0">
      <w:lvlJc w:val="left"/>
      <w:lvlText w:val="(%1)"/>
      <w:numFmt w:val="lowerRoman"/>
      <w:start w:val="4"/>
    </w:lvl>
    <w:lvl w:ilvl="1">
      <w:lvlJc w:val="left"/>
      <w:lvlText w:val="(%2)"/>
      <w:numFmt w:val="lowerLetter"/>
      <w:start w:val="2"/>
    </w:lvl>
  </w:abstractNum>
  <w:abstractNum w:abstractNumId="475">
    <w:nsid w:val="1C0D4475"/>
    <w:multiLevelType w:val="hybridMultilevel"/>
    <w:lvl w:ilvl="0">
      <w:lvlJc w:val="left"/>
      <w:lvlText w:val="(%1)"/>
      <w:numFmt w:val="lowerRoman"/>
      <w:start w:val="1"/>
    </w:lvl>
  </w:abstractNum>
  <w:abstractNum w:abstractNumId="476">
    <w:nsid w:val="2CB6A6A4"/>
    <w:multiLevelType w:val="hybridMultilevel"/>
    <w:lvl w:ilvl="0">
      <w:lvlJc w:val="left"/>
      <w:lvlText w:val="(%1)"/>
      <w:numFmt w:val="lowerLetter"/>
      <w:start w:val="1"/>
    </w:lvl>
    <w:lvl w:ilvl="1">
      <w:lvlJc w:val="left"/>
      <w:lvlText w:val="(%2)"/>
      <w:numFmt w:val="decimal"/>
      <w:start w:val="1"/>
    </w:lvl>
  </w:abstractNum>
  <w:abstractNum w:abstractNumId="477">
    <w:nsid w:val="41D646BC"/>
    <w:multiLevelType w:val="hybridMultilevel"/>
    <w:lvl w:ilvl="0">
      <w:lvlJc w:val="left"/>
      <w:lvlText w:val="(%1)"/>
      <w:numFmt w:val="lowerLetter"/>
      <w:start w:val="1"/>
    </w:lvl>
  </w:abstractNum>
  <w:abstractNum w:abstractNumId="478">
    <w:nsid w:val="3694A76A"/>
    <w:multiLevelType w:val="hybridMultilevel"/>
    <w:lvl w:ilvl="0">
      <w:lvlJc w:val="left"/>
      <w:lvlText w:val="(%1)"/>
      <w:numFmt w:val="lowerLetter"/>
      <w:start w:val="9"/>
    </w:lvl>
    <w:lvl w:ilvl="1">
      <w:lvlJc w:val="left"/>
      <w:lvlText w:val="(%2)"/>
      <w:numFmt w:val="lowerLetter"/>
      <w:start w:val="2"/>
    </w:lvl>
  </w:abstractNum>
  <w:abstractNum w:abstractNumId="479">
    <w:nsid w:val="2BF876EE"/>
    <w:multiLevelType w:val="hybridMultilevel"/>
    <w:lvl w:ilvl="0">
      <w:lvlJc w:val="left"/>
      <w:lvlText w:val="(%1)"/>
      <w:numFmt w:val="lowerLetter"/>
      <w:start w:val="1"/>
    </w:lvl>
  </w:abstractNum>
  <w:abstractNum w:abstractNumId="480">
    <w:nsid w:val="675ADBA"/>
    <w:multiLevelType w:val="hybridMultilevel"/>
    <w:lvl w:ilvl="0">
      <w:lvlJc w:val="left"/>
      <w:lvlText w:val="(%1)"/>
      <w:numFmt w:val="lowerLetter"/>
      <w:start w:val="1"/>
    </w:lvl>
  </w:abstractNum>
  <w:abstractNum w:abstractNumId="481">
    <w:nsid w:val="C12AC7F"/>
    <w:multiLevelType w:val="hybridMultilevel"/>
    <w:lvl w:ilvl="0">
      <w:lvlJc w:val="left"/>
      <w:lvlText w:val="(%1)"/>
      <w:numFmt w:val="lowerLetter"/>
      <w:start w:val="1"/>
    </w:lvl>
  </w:abstractNum>
  <w:abstractNum w:abstractNumId="482">
    <w:nsid w:val="6798F039"/>
    <w:multiLevelType w:val="hybridMultilevel"/>
    <w:lvl w:ilvl="0">
      <w:lvlJc w:val="left"/>
      <w:lvlText w:val="(%1)"/>
      <w:numFmt w:val="lowerLetter"/>
      <w:start w:val="1"/>
    </w:lvl>
    <w:lvl w:ilvl="1">
      <w:lvlJc w:val="left"/>
      <w:lvlText w:val="(%2)"/>
      <w:numFmt w:val="lowerRoman"/>
      <w:start w:val="1"/>
    </w:lvl>
  </w:abstractNum>
  <w:abstractNum w:abstractNumId="483">
    <w:nsid w:val="70837C02"/>
    <w:multiLevelType w:val="hybridMultilevel"/>
    <w:lvl w:ilvl="0">
      <w:lvlJc w:val="left"/>
      <w:lvlText w:val="(%1)"/>
      <w:numFmt w:val="lowerLetter"/>
      <w:start w:val="3"/>
    </w:lvl>
  </w:abstractNum>
  <w:abstractNum w:abstractNumId="484">
    <w:nsid w:val="7E4A5715"/>
    <w:multiLevelType w:val="hybridMultilevel"/>
    <w:lvl w:ilvl="0">
      <w:lvlJc w:val="left"/>
      <w:lvlText w:val="%1"/>
      <w:numFmt w:val="lowerRoman"/>
      <w:start w:val="1"/>
    </w:lvl>
    <w:lvl w:ilvl="1">
      <w:lvlJc w:val="left"/>
      <w:lvlText w:val="(%2)"/>
      <w:numFmt w:val="lowerLetter"/>
      <w:start w:val="1"/>
    </w:lvl>
  </w:abstractNum>
  <w:abstractNum w:abstractNumId="485">
    <w:nsid w:val="42B8AC67"/>
    <w:multiLevelType w:val="hybridMultilevel"/>
    <w:lvl w:ilvl="0">
      <w:lvlJc w:val="left"/>
      <w:lvlText w:val="(%1)"/>
      <w:numFmt w:val="lowerRoman"/>
      <w:start w:val="2"/>
    </w:lvl>
    <w:lvl w:ilvl="1">
      <w:lvlJc w:val="left"/>
      <w:lvlText w:val="%2"/>
      <w:numFmt w:val="lowerLetter"/>
      <w:start w:val="1"/>
    </w:lvl>
  </w:abstractNum>
  <w:abstractNum w:abstractNumId="486">
    <w:nsid w:val="246348EA"/>
    <w:multiLevelType w:val="hybridMultilevel"/>
    <w:lvl w:ilvl="0">
      <w:lvlJc w:val="left"/>
      <w:lvlText w:val="1"/>
      <w:numFmt w:val="bullet"/>
      <w:start w:val="1"/>
    </w:lvl>
  </w:abstractNum>
  <w:abstractNum w:abstractNumId="487">
    <w:nsid w:val="170EB52B"/>
    <w:multiLevelType w:val="hybridMultilevel"/>
    <w:lvl w:ilvl="0">
      <w:lvlJc w:val="left"/>
      <w:lvlText w:val="(%1)"/>
      <w:numFmt w:val="lowerLetter"/>
      <w:start w:val="3"/>
    </w:lvl>
  </w:abstractNum>
  <w:abstractNum w:abstractNumId="488">
    <w:nsid w:val="2DFBCB8C"/>
    <w:multiLevelType w:val="hybridMultilevel"/>
    <w:lvl w:ilvl="0">
      <w:lvlJc w:val="left"/>
      <w:lvlText w:val="(%1)"/>
      <w:numFmt w:val="lowerLetter"/>
      <w:start w:val="1"/>
    </w:lvl>
  </w:abstractNum>
  <w:abstractNum w:abstractNumId="489">
    <w:nsid w:val="3830D6B6"/>
    <w:multiLevelType w:val="hybridMultilevel"/>
    <w:lvl w:ilvl="0">
      <w:lvlJc w:val="left"/>
      <w:lvlText w:val="(%1)"/>
      <w:numFmt w:val="lowerLetter"/>
      <w:start w:val="2"/>
    </w:lvl>
  </w:abstractNum>
  <w:abstractNum w:abstractNumId="490">
    <w:nsid w:val="6D48CF87"/>
    <w:multiLevelType w:val="hybridMultilevel"/>
    <w:lvl w:ilvl="0">
      <w:lvlJc w:val="left"/>
      <w:lvlText w:val="(%1)"/>
      <w:numFmt w:val="lowerLetter"/>
      <w:start w:val="3"/>
    </w:lvl>
    <w:lvl w:ilvl="1">
      <w:lvlJc w:val="left"/>
      <w:lvlText w:val="(%2)"/>
      <w:numFmt w:val="lowerRoman"/>
      <w:start w:val="1"/>
    </w:lvl>
  </w:abstractNum>
  <w:abstractNum w:abstractNumId="491">
    <w:nsid w:val="576FC41B"/>
    <w:multiLevelType w:val="hybridMultilevel"/>
    <w:lvl w:ilvl="0">
      <w:lvlJc w:val="left"/>
      <w:lvlText w:val="(%1)"/>
      <w:numFmt w:val="lowerLetter"/>
      <w:start w:val="6"/>
    </w:lvl>
  </w:abstractNum>
  <w:abstractNum w:abstractNumId="492">
    <w:nsid w:val="64A1C464"/>
    <w:multiLevelType w:val="hybridMultilevel"/>
    <w:lvl w:ilvl="0">
      <w:lvlJc w:val="left"/>
      <w:lvlText w:val="(%1)"/>
      <w:numFmt w:val="lowerLetter"/>
      <w:start w:val="1"/>
    </w:lvl>
  </w:abstractNum>
  <w:abstractNum w:abstractNumId="493">
    <w:nsid w:val="31723BF5"/>
    <w:multiLevelType w:val="hybridMultilevel"/>
    <w:lvl w:ilvl="0">
      <w:lvlJc w:val="left"/>
      <w:lvlText w:val="%1"/>
      <w:numFmt w:val="lowerLetter"/>
      <w:start w:val="1"/>
    </w:lvl>
    <w:lvl w:ilvl="1">
      <w:lvlJc w:val="left"/>
      <w:lvlText w:val="(%2)"/>
      <w:numFmt w:val="lowerLetter"/>
      <w:start w:val="1"/>
    </w:lvl>
  </w:abstractNum>
  <w:abstractNum w:abstractNumId="494">
    <w:nsid w:val="11F69861"/>
    <w:multiLevelType w:val="hybridMultilevel"/>
    <w:lvl w:ilvl="0">
      <w:lvlJc w:val="left"/>
      <w:lvlText w:val="(%1)"/>
      <w:numFmt w:val="lowerLetter"/>
      <w:start w:val="9"/>
    </w:lvl>
    <w:lvl w:ilvl="1">
      <w:lvlJc w:val="left"/>
      <w:lvlText w:val="(%2)"/>
      <w:numFmt w:val="lowerLetter"/>
      <w:start w:val="3"/>
    </w:lvl>
  </w:abstractNum>
  <w:abstractNum w:abstractNumId="495">
    <w:nsid w:val="369956AB"/>
    <w:multiLevelType w:val="hybridMultilevel"/>
    <w:lvl w:ilvl="0">
      <w:lvlJc w:val="left"/>
      <w:lvlText w:val="(%1)"/>
      <w:numFmt w:val="lowerLetter"/>
      <w:start w:val="1"/>
    </w:lvl>
  </w:abstractNum>
  <w:abstractNum w:abstractNumId="496">
    <w:nsid w:val="D3BE41C"/>
    <w:multiLevelType w:val="hybridMultilevel"/>
    <w:lvl w:ilvl="0">
      <w:lvlJc w:val="left"/>
      <w:lvlText w:val="(%1)"/>
      <w:numFmt w:val="lowerLetter"/>
      <w:start w:val="1"/>
    </w:lvl>
  </w:abstractNum>
  <w:abstractNum w:abstractNumId="497">
    <w:nsid w:val="4CDA15E7"/>
    <w:multiLevelType w:val="hybridMultilevel"/>
    <w:lvl w:ilvl="0">
      <w:lvlJc w:val="left"/>
      <w:lvlText w:val="(%1)"/>
      <w:numFmt w:val="lowerLetter"/>
      <w:start w:val="2"/>
    </w:lvl>
  </w:abstractNum>
  <w:abstractNum w:abstractNumId="498">
    <w:nsid w:val="7BDD6690"/>
    <w:multiLevelType w:val="hybridMultilevel"/>
    <w:lvl w:ilvl="0">
      <w:lvlJc w:val="left"/>
      <w:lvlText w:val="(%1)"/>
      <w:numFmt w:val="lowerLetter"/>
      <w:start w:val="1"/>
    </w:lvl>
  </w:abstractNum>
  <w:abstractNum w:abstractNumId="499">
    <w:nsid w:val="DFB5C5B"/>
    <w:multiLevelType w:val="hybridMultilevel"/>
    <w:lvl w:ilvl="0">
      <w:lvlJc w:val="left"/>
      <w:lvlText w:val="(%1)"/>
      <w:numFmt w:val="lowerLetter"/>
      <w:start w:val="1"/>
    </w:lvl>
  </w:abstractNum>
  <w:abstractNum w:abstractNumId="500">
    <w:nsid w:val="6F3E5490"/>
    <w:multiLevelType w:val="hybridMultilevel"/>
    <w:lvl w:ilvl="0">
      <w:lvlJc w:val="left"/>
      <w:lvlText w:val="(%1)"/>
      <w:numFmt w:val="lowerLetter"/>
      <w:start w:val="2"/>
    </w:lvl>
  </w:abstractNum>
  <w:abstractNum w:abstractNumId="501">
    <w:nsid w:val="1464BE1E"/>
    <w:multiLevelType w:val="hybridMultilevel"/>
    <w:lvl w:ilvl="0">
      <w:lvlJc w:val="left"/>
      <w:lvlText w:val="(%1)"/>
      <w:numFmt w:val="lowerLetter"/>
      <w:start w:val="1"/>
    </w:lvl>
    <w:lvl w:ilvl="1">
      <w:lvlJc w:val="left"/>
      <w:lvlText w:val="(%2)"/>
      <w:numFmt w:val="lowerRoman"/>
      <w:start w:val="1"/>
    </w:lvl>
  </w:abstractNum>
  <w:abstractNum w:abstractNumId="502">
    <w:nsid w:val="66BBB7E5"/>
    <w:multiLevelType w:val="hybridMultilevel"/>
    <w:lvl w:ilvl="0">
      <w:lvlJc w:val="left"/>
      <w:lvlText w:val="(%1)"/>
      <w:numFmt w:val="lowerLetter"/>
      <w:start w:val="1"/>
    </w:lvl>
  </w:abstractNum>
  <w:abstractNum w:abstractNumId="503">
    <w:nsid w:val="28168302"/>
    <w:multiLevelType w:val="hybridMultilevel"/>
    <w:lvl w:ilvl="0">
      <w:lvlJc w:val="left"/>
      <w:lvlText w:val="%1."/>
      <w:numFmt w:val="decimal"/>
      <w:start w:val="1"/>
    </w:lvl>
  </w:abstractNum>
  <w:abstractNum w:abstractNumId="504">
    <w:nsid w:val="32A5C7A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05">
    <w:nsid w:val="3A541011"/>
    <w:multiLevelType w:val="hybridMultilevel"/>
    <w:lvl w:ilvl="0">
      <w:lvlJc w:val="left"/>
      <w:lvlText w:val="%1."/>
      <w:numFmt w:val="lowerLetter"/>
      <w:start w:val="2"/>
    </w:lvl>
  </w:abstractNum>
  <w:abstractNum w:abstractNumId="506">
    <w:nsid w:val="4423C777"/>
    <w:multiLevelType w:val="hybridMultilevel"/>
    <w:lvl w:ilvl="0">
      <w:lvlJc w:val="left"/>
      <w:lvlText w:val="%1"/>
      <w:numFmt w:val="decimal"/>
      <w:start w:val="1"/>
    </w:lvl>
    <w:lvl w:ilvl="1">
      <w:lvlJc w:val="left"/>
      <w:lvlText w:val="%2."/>
      <w:numFmt w:val="lowerLetter"/>
      <w:start w:val="8"/>
    </w:lvl>
  </w:abstractNum>
  <w:abstractNum w:abstractNumId="507">
    <w:nsid w:val="5F5C6E4D"/>
    <w:multiLevelType w:val="hybridMultilevel"/>
    <w:lvl w:ilvl="0">
      <w:lvlJc w:val="left"/>
      <w:lvlText w:val="%1."/>
      <w:numFmt w:val="decimal"/>
      <w:start w:val="6"/>
    </w:lvl>
    <w:lvl w:ilvl="1">
      <w:lvlJc w:val="left"/>
      <w:lvlText w:val="%2."/>
      <w:numFmt w:val="lowerLetter"/>
      <w:start w:val="1"/>
    </w:lvl>
  </w:abstractNum>
  <w:abstractNum w:abstractNumId="508">
    <w:nsid w:val="7C2A56CD"/>
    <w:multiLevelType w:val="hybridMultilevel"/>
    <w:lvl w:ilvl="0">
      <w:lvlJc w:val="left"/>
      <w:lvlText w:val="(%1)"/>
      <w:numFmt w:val="lowerRoman"/>
      <w:start w:val="4"/>
    </w:lvl>
    <w:lvl w:ilvl="1">
      <w:lvlJc w:val="left"/>
      <w:lvlText w:val="%2."/>
      <w:numFmt w:val="lowerLetter"/>
      <w:start w:val="2"/>
    </w:lvl>
  </w:abstractNum>
  <w:abstractNum w:abstractNumId="509">
    <w:nsid w:val="7AB86EE1"/>
    <w:multiLevelType w:val="hybridMultilevel"/>
    <w:lvl w:ilvl="0">
      <w:lvlJc w:val="left"/>
      <w:lvlText w:val="%1."/>
      <w:numFmt w:val="lowerLetter"/>
      <w:start w:val="8"/>
    </w:lvl>
  </w:abstractNum>
  <w:abstractNum w:abstractNumId="510">
    <w:nsid w:val="B54E53B"/>
    <w:multiLevelType w:val="hybridMultilevel"/>
    <w:lvl w:ilvl="0">
      <w:lvlJc w:val="left"/>
      <w:lvlText w:val="%1"/>
      <w:numFmt w:val="decimal"/>
      <w:start w:val="1"/>
    </w:lvl>
    <w:lvl w:ilvl="1">
      <w:lvlJc w:val="left"/>
      <w:lvlText w:val="%2."/>
      <w:numFmt w:val="lowerLetter"/>
      <w:start w:val="17"/>
    </w:lvl>
  </w:abstractNum>
  <w:abstractNum w:abstractNumId="511">
    <w:nsid w:val="2A00487"/>
    <w:multiLevelType w:val="hybridMultilevel"/>
    <w:lvl w:ilvl="0">
      <w:lvlJc w:val="left"/>
      <w:lvlText w:val="%1."/>
      <w:numFmt w:val="decimal"/>
      <w:start w:val="7"/>
    </w:lvl>
    <w:lvl w:ilvl="1">
      <w:lvlJc w:val="left"/>
      <w:lvlText w:val="%2."/>
      <w:numFmt w:val="lowerLetter"/>
      <w:start w:val="1"/>
    </w:lvl>
  </w:abstractNum>
  <w:abstractNum w:abstractNumId="512">
    <w:nsid w:val="6CB1B60"/>
    <w:multiLevelType w:val="hybridMultilevel"/>
    <w:lvl w:ilvl="0">
      <w:lvlJc w:val="left"/>
      <w:lvlText w:val="%1."/>
      <w:numFmt w:val="lowerLetter"/>
      <w:start w:val="2"/>
    </w:lvl>
  </w:abstractNum>
  <w:abstractNum w:abstractNumId="513">
    <w:nsid w:val="72EDD574"/>
    <w:multiLevelType w:val="hybridMultilevel"/>
    <w:lvl w:ilvl="0">
      <w:lvlJc w:val="left"/>
      <w:lvlText w:val="%1."/>
      <w:numFmt w:val="lowerLetter"/>
      <w:start w:val="5"/>
    </w:lvl>
  </w:abstractNum>
  <w:abstractNum w:abstractNumId="514">
    <w:nsid w:val="7323808A"/>
    <w:multiLevelType w:val="hybridMultilevel"/>
    <w:lvl w:ilvl="0">
      <w:lvlJc w:val="left"/>
      <w:lvlText w:val="%1."/>
      <w:numFmt w:val="decimal"/>
      <w:start w:val="8"/>
    </w:lvl>
  </w:abstractNum>
  <w:abstractNum w:abstractNumId="515">
    <w:nsid w:val="5157276"/>
    <w:multiLevelType w:val="hybridMultilevel"/>
    <w:lvl w:ilvl="0">
      <w:lvlJc w:val="left"/>
      <w:lvlText w:val="%1"/>
      <w:numFmt w:val="decimal"/>
      <w:start w:val="1"/>
    </w:lvl>
    <w:lvl w:ilvl="1">
      <w:lvlJc w:val="left"/>
      <w:lvlText w:val="%2."/>
      <w:numFmt w:val="decimal"/>
      <w:start w:val="9"/>
    </w:lvl>
  </w:abstractNum>
  <w:abstractNum w:abstractNumId="516">
    <w:nsid w:val="35A681DB"/>
    <w:multiLevelType w:val="hybridMultilevel"/>
    <w:lvl w:ilvl="0">
      <w:lvlJc w:val="left"/>
      <w:lvlText w:val="%1."/>
      <w:numFmt w:val="decimal"/>
      <w:start w:val="10"/>
    </w:lvl>
    <w:lvl w:ilvl="1">
      <w:lvlJc w:val="left"/>
      <w:lvlText w:val="%2"/>
      <w:numFmt w:val="decimal"/>
      <w:start w:val="1"/>
    </w:lvl>
  </w:abstractNum>
  <w:abstractNum w:abstractNumId="517">
    <w:nsid w:val="1786C974"/>
    <w:multiLevelType w:val="hybridMultilevel"/>
    <w:lvl w:ilvl="0">
      <w:lvlJc w:val="left"/>
      <w:lvlText w:val="%1."/>
      <w:numFmt w:val="lowerLetter"/>
      <w:start w:val="1"/>
    </w:lvl>
  </w:abstractNum>
  <w:abstractNum w:abstractNumId="518">
    <w:nsid w:val="1C2427A1"/>
    <w:multiLevelType w:val="hybridMultilevel"/>
    <w:lvl w:ilvl="0">
      <w:lvlJc w:val="left"/>
      <w:lvlText w:val="%1."/>
      <w:numFmt w:val="lowerLetter"/>
      <w:start w:val="7"/>
    </w:lvl>
  </w:abstractNum>
  <w:abstractNum w:abstractNumId="519">
    <w:nsid w:val="63A24D68"/>
    <w:multiLevelType w:val="hybridMultilevel"/>
    <w:lvl w:ilvl="0">
      <w:lvlJc w:val="left"/>
      <w:lvlText w:val="&amp;"/>
      <w:numFmt w:val="bullet"/>
      <w:start w:val="1"/>
    </w:lvl>
    <w:lvl w:ilvl="1">
      <w:lvlJc w:val="left"/>
      <w:lvlText w:val="%2"/>
      <w:numFmt w:val="decimal"/>
      <w:start w:val="1"/>
    </w:lvl>
    <w:lvl w:ilvl="2">
      <w:lvlJc w:val="left"/>
      <w:lvlText w:val="%3."/>
      <w:numFmt w:val="lowerLetter"/>
      <w:start w:val="13"/>
    </w:lvl>
  </w:abstractNum>
  <w:abstractNum w:abstractNumId="520">
    <w:nsid w:val="4FB7A02A"/>
    <w:multiLevelType w:val="hybridMultilevel"/>
    <w:lvl w:ilvl="0">
      <w:lvlJc w:val="left"/>
      <w:lvlText w:val="&amp;"/>
      <w:numFmt w:val="bullet"/>
      <w:start w:val="1"/>
    </w:lvl>
    <w:lvl w:ilvl="1">
      <w:lvlJc w:val="left"/>
      <w:lvlText w:val="%2."/>
      <w:numFmt w:val="decimal"/>
      <w:start w:val="11"/>
    </w:lvl>
    <w:lvl w:ilvl="2">
      <w:lvlJc w:val="left"/>
      <w:lvlText w:val="%3"/>
      <w:numFmt w:val="lowerLetter"/>
      <w:start w:val="1"/>
    </w:lvl>
  </w:abstractNum>
  <w:abstractNum w:abstractNumId="521">
    <w:nsid w:val="96CF728"/>
    <w:multiLevelType w:val="hybridMultilevel"/>
    <w:lvl w:ilvl="0">
      <w:lvlJc w:val="left"/>
      <w:lvlText w:val="%1."/>
      <w:numFmt w:val="upperLetter"/>
      <w:start w:val="1"/>
    </w:lvl>
    <w:lvl w:ilvl="1">
      <w:lvlJc w:val="left"/>
      <w:lvlText w:val="£"/>
      <w:numFmt w:val="bullet"/>
      <w:start w:val="1"/>
    </w:lvl>
  </w:abstractNum>
  <w:abstractNum w:abstractNumId="522">
    <w:nsid w:val="3B121183"/>
    <w:multiLevelType w:val="hybridMultilevel"/>
    <w:lvl w:ilvl="0">
      <w:lvlJc w:val="left"/>
      <w:lvlText w:val="%1."/>
      <w:numFmt w:val="decimal"/>
      <w:start w:val="1"/>
    </w:lvl>
  </w:abstractNum>
  <w:abstractNum w:abstractNumId="523">
    <w:nsid w:val="3459648F"/>
    <w:multiLevelType w:val="hybridMultilevel"/>
    <w:lvl w:ilvl="0">
      <w:lvlJc w:val="left"/>
      <w:lvlText w:val="%1."/>
      <w:numFmt w:val="upperLetter"/>
      <w:start w:val="2"/>
    </w:lvl>
    <w:lvl w:ilvl="1">
      <w:lvlJc w:val="left"/>
      <w:lvlText w:val="£"/>
      <w:numFmt w:val="bullet"/>
      <w:start w:val="1"/>
    </w:lvl>
  </w:abstractNum>
  <w:abstractNum w:abstractNumId="524">
    <w:nsid w:val="3ADF331D"/>
    <w:multiLevelType w:val="hybridMultilevel"/>
    <w:lvl w:ilvl="0">
      <w:lvlJc w:val="left"/>
      <w:lvlText w:val="%1."/>
      <w:numFmt w:val="decimal"/>
      <w:start w:val="1"/>
    </w:lvl>
  </w:abstractNum>
  <w:abstractNum w:abstractNumId="525">
    <w:nsid w:val="4D08A9E4"/>
    <w:multiLevelType w:val="hybridMultilevel"/>
    <w:lvl w:ilvl="0">
      <w:lvlJc w:val="left"/>
      <w:lvlText w:val="£"/>
      <w:numFmt w:val="bullet"/>
      <w:start w:val="1"/>
    </w:lvl>
  </w:abstractNum>
  <w:abstractNum w:abstractNumId="526">
    <w:nsid w:val="6AF2BB3A"/>
    <w:multiLevelType w:val="hybridMultilevel"/>
    <w:lvl w:ilvl="0">
      <w:lvlJc w:val="left"/>
      <w:lvlText w:val="(%1)"/>
      <w:numFmt w:val="lowerLetter"/>
      <w:start w:val="1"/>
    </w:lvl>
    <w:lvl w:ilvl="1">
      <w:lvlJc w:val="left"/>
      <w:lvlText w:val="(%2)"/>
      <w:numFmt w:val="lowerLetter"/>
      <w:start w:val="1"/>
    </w:lvl>
  </w:abstractNum>
  <w:abstractNum w:abstractNumId="527">
    <w:nsid w:val="481B1739"/>
    <w:multiLevelType w:val="hybridMultilevel"/>
    <w:lvl w:ilvl="0">
      <w:lvlJc w:val="left"/>
      <w:lvlText w:val="(%1)"/>
      <w:numFmt w:val="lowerLetter"/>
      <w:start w:val="5"/>
    </w:lvl>
  </w:abstractNum>
  <w:abstractNum w:abstractNumId="528">
    <w:nsid w:val="19E2BFCC"/>
    <w:multiLevelType w:val="hybridMultilevel"/>
    <w:lvl w:ilvl="0">
      <w:lvlJc w:val="left"/>
      <w:lvlText w:val="*"/>
      <w:numFmt w:val="bullet"/>
      <w:start w:val="1"/>
    </w:lvl>
  </w:abstractNum>
  <w:abstractNum w:abstractNumId="529">
    <w:nsid w:val="66D021CA"/>
    <w:multiLevelType w:val="hybridMultilevel"/>
    <w:lvl w:ilvl="0">
      <w:lvlJc w:val="left"/>
      <w:lvlText w:val="**"/>
      <w:numFmt w:val="bullet"/>
      <w:start w:val="1"/>
    </w:lvl>
  </w:abstractNum>
  <w:abstractNum w:abstractNumId="530">
    <w:nsid w:val="56167394"/>
    <w:multiLevelType w:val="hybridMultilevel"/>
    <w:lvl w:ilvl="0">
      <w:lvlJc w:val="left"/>
      <w:lvlText w:val="***"/>
      <w:numFmt w:val="bullet"/>
      <w:start w:val="1"/>
    </w:lvl>
  </w:abstractNum>
  <w:abstractNum w:abstractNumId="531">
    <w:nsid w:val="921145C"/>
    <w:multiLevelType w:val="hybridMultilevel"/>
    <w:lvl w:ilvl="0">
      <w:lvlJc w:val="left"/>
      <w:lvlText w:val="†"/>
      <w:numFmt w:val="bullet"/>
      <w:start w:val="1"/>
    </w:lvl>
  </w:abstractNum>
  <w:abstractNum w:abstractNumId="532">
    <w:nsid w:val="7B34DFE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33">
    <w:nsid w:val="3CD22B7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lowerRoman"/>
      <w:start w:val="3"/>
    </w:lvl>
  </w:abstractNum>
  <w:abstractNum w:abstractNumId="534">
    <w:nsid w:val="3137975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lvl w:ilvl="3">
      <w:lvlJc w:val="left"/>
      <w:lvlText w:val="%4"/>
      <w:numFmt w:val="lowerRoman"/>
      <w:start w:val="1"/>
    </w:lvl>
  </w:abstractNum>
  <w:abstractNum w:abstractNumId="535">
    <w:nsid w:val="2DDAA791"/>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lvl w:ilvl="3">
      <w:lvlJc w:val="left"/>
      <w:lvlText w:val="%4"/>
      <w:numFmt w:val="lowerRoman"/>
      <w:start w:val="1"/>
    </w:lvl>
  </w:abstractNum>
  <w:abstractNum w:abstractNumId="536">
    <w:nsid w:val="77263B8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53" Type="http://schemas.openxmlformats.org/officeDocument/2006/relationships/image" Target="media/image639.png"/><Relationship Id="rId654" Type="http://schemas.openxmlformats.org/officeDocument/2006/relationships/image" Target="media/image640.png"/><Relationship Id="rId655" Type="http://schemas.openxmlformats.org/officeDocument/2006/relationships/image" Target="media/image641.png"/><Relationship Id="rId656" Type="http://schemas.openxmlformats.org/officeDocument/2006/relationships/image" Target="media/image642.png"/><Relationship Id="rId646" Type="http://schemas.openxmlformats.org/officeDocument/2006/relationships/hyperlink" Target="http://www.sec.gov/Archives/edgar/data/1816736/000121390020022350/ea125578ex3-1_fsdevelop.htm" TargetMode="External"/><Relationship Id="rId647" Type="http://schemas.openxmlformats.org/officeDocument/2006/relationships/hyperlink" Target="http://www.sec.gov/Archives/edgar/data/1816736/000121390020020902/fs12020a1ex3-4_fsdevelopmnt.htm" TargetMode="External"/><Relationship Id="rId648" Type="http://schemas.openxmlformats.org/officeDocument/2006/relationships/hyperlink" Target="http://www.sec.gov/Archives/edgar/data/1816736/000121390020032122/ea128463ex10-3_fsdevelopment.htm" TargetMode="External"/><Relationship Id="rId649" Type="http://schemas.openxmlformats.org/officeDocument/2006/relationships/hyperlink" Target="http://www.sec.gov/Archives/edgar/data/1816736/000121390020034347/fs42020ex10-5_geminifsdev.htm" TargetMode="External"/><Relationship Id="rId650" Type="http://schemas.openxmlformats.org/officeDocument/2006/relationships/hyperlink" Target="http://www.sec.gov/Archives/edgar/data/1816736/000121390020041408/fs42020a1ex10-7_gemini.htm" TargetMode="External"/><Relationship Id="rId651" Type="http://schemas.openxmlformats.org/officeDocument/2006/relationships/hyperlink" Target="http://www.sec.gov/Archives/edgar/data/1816736/000121390021001516/fs42021a3ex23-1_fsdevelop.htm" TargetMode="External"/><Relationship Id="rId652" Type="http://schemas.openxmlformats.org/officeDocument/2006/relationships/hyperlink" Target="http://www.sec.gov/Archives/edgar/data/1816736/000121390020034347/fs42020_geminifsdevcorp.htm#T1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2021-01-15T06:23:04Z</dcterms:created>
  <dcterms:modified xsi:type="dcterms:W3CDTF">2021-01-15T06:23:04Z</dcterms:modified>
</cp:coreProperties>
</file>