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June 11, 2025, Disc Medicine, Inc. (the “Company”) held its 2025 Annual Meeting of Stockholders (the “Annual Meeting”). At the Annual Meeting, the Company’s stockholders considered and voted on the four proposals set forth below, each of which is described in greater detail in the Company’s Definitive Proxy Statement on Schedule 14A, which was filed with the Securities and Exchange Commission on April 24, 2025 (the "Proxy Statement"). The final voting results are set forth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II Director Nominees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stockholders of the Company elected Georges Gemayel, Ph.D., Mark Chin, M.S., M.B.A. and Liam Ratcliffe, M.D., Ph.D. as Class II directors of the Company, for a three-year term ending at the annual meeting of stockholders to be held in 2028 and until their successors have been duly elected and qualified, or until their earlier death, resignation or removal. The results of the stockholders’ vote with respect to the election of the Class II directors were as follows:</w:t>
      </w:r>
    </w:p>
    <w:p>
      <w:pPr>
        <w:spacing w:after="0" w:line="288"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6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For</w:t>
            </w:r>
          </w:p>
        </w:tc>
        <w:tc>
          <w:tcPr>
            <w:tcW w:w="660" w:type="dxa"/>
            <w:vAlign w:val="bottom"/>
          </w:tcPr>
          <w:p>
            <w:pPr>
              <w:spacing w:after="0"/>
              <w:rPr>
                <w:sz w:val="20"/>
                <w:szCs w:val="20"/>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Votes Withheld</w:t>
            </w:r>
          </w:p>
        </w:tc>
        <w:tc>
          <w:tcPr>
            <w:tcW w:w="6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0"/>
        </w:trPr>
        <w:tc>
          <w:tcPr>
            <w:tcW w:w="20" w:type="dxa"/>
            <w:vAlign w:val="bottom"/>
          </w:tcPr>
          <w:p>
            <w:pPr>
              <w:spacing w:after="0"/>
              <w:rPr>
                <w:sz w:val="18"/>
                <w:szCs w:val="18"/>
                <w:color w:val="auto"/>
              </w:rPr>
            </w:pPr>
          </w:p>
        </w:tc>
        <w:tc>
          <w:tcPr>
            <w:tcW w:w="2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6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30,122,499</w:t>
            </w:r>
          </w:p>
        </w:tc>
        <w:tc>
          <w:tcPr>
            <w:tcW w:w="66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920,582</w:t>
            </w:r>
          </w:p>
        </w:tc>
        <w:tc>
          <w:tcPr>
            <w:tcW w:w="66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1,076,876</w:t>
            </w: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Mark Chin, M.S., M.B.A.</w:t>
            </w:r>
          </w:p>
        </w:tc>
        <w:tc>
          <w:tcPr>
            <w:tcW w:w="21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8"/>
              </w:rPr>
              <w:t>30,847,995</w:t>
            </w:r>
          </w:p>
        </w:tc>
        <w:tc>
          <w:tcPr>
            <w:tcW w:w="2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195,086</w:t>
            </w:r>
          </w:p>
        </w:tc>
        <w:tc>
          <w:tcPr>
            <w:tcW w:w="26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1,076,876</w:t>
            </w:r>
          </w:p>
        </w:tc>
      </w:tr>
      <w:tr>
        <w:trPr>
          <w:trHeight w:val="216"/>
        </w:trPr>
        <w:tc>
          <w:tcPr>
            <w:tcW w:w="20" w:type="dxa"/>
            <w:vAlign w:val="bottom"/>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Liam Ratcliffe, M.D., Ph.D.</w:t>
            </w:r>
          </w:p>
        </w:tc>
        <w:tc>
          <w:tcPr>
            <w:tcW w:w="212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8"/>
              </w:rPr>
              <w:t>26,803,620</w:t>
            </w:r>
          </w:p>
        </w:tc>
        <w:tc>
          <w:tcPr>
            <w:tcW w:w="224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9"/>
              </w:rPr>
              <w:t>4,239,461</w:t>
            </w:r>
          </w:p>
        </w:tc>
        <w:tc>
          <w:tcPr>
            <w:tcW w:w="260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9"/>
              </w:rPr>
              <w:t>1,076,876</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Approval, on a Non-Binding, Advisory Basis, of the Compensation Paid to the Company's Named Executive Officers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approved, on a non-binding, advisory basis, the compensation paid to the Company's named executive officers as described in the Proxy Statement. The results of the stockholders’ vote with respect to the approval, on a non-binding, advisory basis, of the compensation paid to the Company's named executive officers were as follows:</w:t>
      </w:r>
    </w:p>
    <w:p>
      <w:pPr>
        <w:spacing w:after="0" w:line="284"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For</w:t>
            </w:r>
          </w:p>
        </w:tc>
        <w:tc>
          <w:tcPr>
            <w:tcW w:w="6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Votes Against</w:t>
            </w:r>
          </w:p>
        </w:tc>
        <w:tc>
          <w:tcPr>
            <w:tcW w:w="6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56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12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30,801,342</w:t>
            </w:r>
          </w:p>
        </w:tc>
        <w:tc>
          <w:tcPr>
            <w:tcW w:w="22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235,453</w:t>
            </w:r>
          </w:p>
        </w:tc>
        <w:tc>
          <w:tcPr>
            <w:tcW w:w="18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6,286</w:t>
            </w:r>
          </w:p>
        </w:tc>
        <w:tc>
          <w:tcPr>
            <w:tcW w:w="22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1,076,876</w:t>
            </w:r>
          </w:p>
        </w:tc>
      </w:tr>
    </w:tbl>
    <w:p>
      <w:pPr>
        <w:spacing w:after="0" w:line="200" w:lineRule="exact"/>
        <w:rPr>
          <w:sz w:val="20"/>
          <w:szCs w:val="20"/>
          <w:color w:val="auto"/>
        </w:rPr>
      </w:pP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3 - Recommendation, by a Non-Binding Advisory Vote, of the Frequency of Future Advisory Votes on the Compensation Paid to the Company's Named Executive Officers</w:t>
      </w:r>
    </w:p>
    <w:p>
      <w:pPr>
        <w:spacing w:after="0" w:line="5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recommended, on a non-binding, advisory basis, that future advisory votes to approve the compensation paid to the Company's named executive officers be held every year. The results of the stockholders’ vote with respect to the recommendation, on a non-binding, advisory basis, of the frequency of future advisory votes on the compensation paid to the Company's named executive officers were as follows:</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Every One Year</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Every Two Years</w:t>
            </w:r>
          </w:p>
        </w:tc>
        <w:tc>
          <w:tcPr>
            <w:tcW w:w="3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Every Three Years</w:t>
            </w:r>
          </w:p>
        </w:tc>
        <w:tc>
          <w:tcPr>
            <w:tcW w:w="3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3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16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30,860,482</w:t>
            </w:r>
          </w:p>
        </w:tc>
        <w:tc>
          <w:tcPr>
            <w:tcW w:w="200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424</w:t>
            </w:r>
          </w:p>
        </w:tc>
        <w:tc>
          <w:tcPr>
            <w:tcW w:w="21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176,183</w:t>
            </w:r>
          </w:p>
        </w:tc>
        <w:tc>
          <w:tcPr>
            <w:tcW w:w="13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5,992</w:t>
            </w:r>
          </w:p>
        </w:tc>
        <w:tc>
          <w:tcPr>
            <w:tcW w:w="212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1,076,876</w:t>
            </w: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After taking into consideration the foregoing voting results and the board of directors' prior recommendation in favor of holding future advisory stockholder votes on the compensation of the Company’s named executive officers every year, the board of directors has determined that the Company will hold advisory stockholder votes on the compensation of the Company’s named executive officers every year, until the earlier of (i) the next required advisory stockholder vote on the frequency of an advisory vote on the compensation of the Company’s named executive officers, which is currently expected to be held at the Company's 2031 annual meeting of stockholders; or (ii) such date that the board of directors decides to hold the next advisory stockholder vote on the frequency of an advisory vote on the compensation of the Company’s named executive officers.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 – Ratification of Appointment of the Company’s Independent Registered Public Accounting Firm</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appointment of Ernst &amp; Young LLP as the Company’s independent registered public accounting firm for the fiscal year ending December 31, 2025. The results of the stockholders’ vote with respect to such ratification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9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Votes Against</w:t>
            </w:r>
          </w:p>
        </w:tc>
        <w:tc>
          <w:tcPr>
            <w:tcW w:w="88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c>
          <w:tcPr>
            <w:tcW w:w="1800" w:type="dxa"/>
            <w:vAlign w:val="bottom"/>
          </w:tcPr>
          <w:p>
            <w:pPr>
              <w:spacing w:after="0"/>
              <w:rPr>
                <w:sz w:val="20"/>
                <w:szCs w:val="20"/>
                <w:color w:val="auto"/>
              </w:rPr>
            </w:pPr>
          </w:p>
        </w:tc>
      </w:tr>
      <w:tr>
        <w:trPr>
          <w:trHeight w:val="210"/>
        </w:trPr>
        <w:tc>
          <w:tcPr>
            <w:tcW w:w="1820" w:type="dxa"/>
            <w:vAlign w:val="bottom"/>
          </w:tcPr>
          <w:p>
            <w:pPr>
              <w:spacing w:after="0"/>
              <w:rPr>
                <w:sz w:val="18"/>
                <w:szCs w:val="18"/>
                <w:color w:val="auto"/>
              </w:rPr>
            </w:pPr>
          </w:p>
        </w:tc>
        <w:tc>
          <w:tcPr>
            <w:tcW w:w="176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32,117,099</w:t>
            </w:r>
          </w:p>
        </w:tc>
        <w:tc>
          <w:tcPr>
            <w:tcW w:w="320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2,370</w:t>
            </w:r>
          </w:p>
        </w:tc>
        <w:tc>
          <w:tcPr>
            <w:tcW w:w="26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488</w:t>
            </w:r>
          </w:p>
        </w:tc>
        <w:tc>
          <w:tcPr>
            <w:tcW w:w="1800" w:type="dxa"/>
            <w:vAlign w:val="bottom"/>
          </w:tcPr>
          <w:p>
            <w:pPr>
              <w:spacing w:after="0"/>
              <w:rPr>
                <w:sz w:val="18"/>
                <w:szCs w:val="18"/>
                <w:color w:val="auto"/>
              </w:rPr>
            </w:pPr>
          </w:p>
        </w:tc>
      </w:tr>
      <w:tr>
        <w:trPr>
          <w:trHeight w:val="1195"/>
        </w:trPr>
        <w:tc>
          <w:tcPr>
            <w:tcW w:w="18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13, 2025</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2025-06-13T16:10:13Z</dcterms:created>
  <dcterms:modified xsi:type="dcterms:W3CDTF">2025-06-13T16:10:13Z</dcterms:modified>
</cp:coreProperties>
</file>