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SCHEDULE 13D</w:t>
      </w:r>
    </w:p>
    <w:p>
      <w:pPr>
        <w:spacing w:after="0" w:line="2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5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254604 101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Advisors LLC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GP VI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Capital GP VIII LLC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OrbiMed Genesis GP LLC</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601 Lexington Avenue, 54th Floor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Receive Notices and Communications)</w:t>
      </w:r>
    </w:p>
    <w:p>
      <w:pPr>
        <w:spacing w:after="0" w:line="28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93"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93"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§240.13d-7(b)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86" w:lineRule="exact"/>
        <w:rPr>
          <w:sz w:val="24"/>
          <w:szCs w:val="24"/>
          <w:color w:val="auto"/>
        </w:rPr>
      </w:pPr>
    </w:p>
    <w:p>
      <w:pPr>
        <w:ind w:left="260" w:hanging="252"/>
        <w:spacing w:after="0" w:line="282" w:lineRule="auto"/>
        <w:tabs>
          <w:tab w:leader="none" w:pos="2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1" w:name="page2"/>
    <w:bookmarkEnd w:id="1"/>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216027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Advisors LLC</w:t>
            </w: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1,785,571</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1,785,571</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1,785,571</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firstLine="8"/>
        <w:spacing w:after="0" w:line="261" w:lineRule="auto"/>
        <w:tabs>
          <w:tab w:leader="none" w:pos="115"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29,639,885 shares of common stock outstanding of Disc Medicine, Inc. (the “Issuer”), as set forth in the Issuer’s 424(b)(5) Prospectus filed with the Securities and Exchange Commission on June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16027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GP VI LLC</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260" w:type="dxa"/>
            <w:vAlign w:val="bottom"/>
            <w:gridSpan w:val="3"/>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608,611</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608,611</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608,611</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firstLine="8"/>
        <w:spacing w:after="0" w:line="261" w:lineRule="auto"/>
        <w:tabs>
          <w:tab w:leader="none" w:pos="11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29,639,885 shares of common stock outstanding of Disc Medicine, Inc. (the “Issuer”), as set forth in the Issuer’s 424(b)(5) Prospectus filed with the Securities and Exchange Commission on June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3" w:name="page4"/>
    <w:bookmarkEnd w:id="3"/>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216027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OrbiMed Capital GP VIII LLC</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8260" w:type="dxa"/>
            <w:vAlign w:val="bottom"/>
            <w:gridSpan w:val="3"/>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941,569</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941,569</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941,569</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firstLine="8"/>
        <w:spacing w:after="0" w:line="261" w:lineRule="auto"/>
        <w:tabs>
          <w:tab w:leader="none" w:pos="11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29,639,885 shares of common stock outstanding of Disc Medicine, Inc. (the “Issuer”), as set forth in the Issuer’s 424(b)(5) Prospectus filed with the Securities and Exchange Commission on June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 w:name="page5"/>
    <w:bookmarkEnd w:id="4"/>
    <w:p>
      <w:pPr>
        <w:ind w:left="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216027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0270" cy="308610"/>
                    </a:xfrm>
                    <a:prstGeom prst="rect">
                      <a:avLst/>
                    </a:prstGeom>
                    <a:noFill/>
                  </pic:spPr>
                </pic:pic>
              </a:graphicData>
            </a:graphic>
          </wp:anchor>
        </w:drawing>
        <w:t>CUSIP No. 254604 101</w:t>
      </w:r>
    </w:p>
    <w:p>
      <w:pPr>
        <w:spacing w:after="0" w:line="38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00" w:type="dxa"/>
            <w:vAlign w:val="bottom"/>
            <w:tcBorders>
              <w:top w:val="single" w:sz="8" w:color="auto"/>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w:t>
            </w:r>
          </w:p>
        </w:tc>
        <w:tc>
          <w:tcPr>
            <w:tcW w:w="220" w:type="dxa"/>
            <w:vAlign w:val="bottom"/>
            <w:tcBorders>
              <w:top w:val="single" w:sz="8" w:color="auto"/>
              <w:right w:val="single" w:sz="8" w:color="auto"/>
            </w:tcBorders>
          </w:tcPr>
          <w:p>
            <w:pPr>
              <w:spacing w:after="0"/>
              <w:rPr>
                <w:sz w:val="23"/>
                <w:szCs w:val="23"/>
                <w:color w:val="auto"/>
              </w:rPr>
            </w:pPr>
          </w:p>
        </w:tc>
        <w:tc>
          <w:tcPr>
            <w:tcW w:w="82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22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OrbiMed Genesis GP LLC</w:t>
            </w: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2020" w:type="dxa"/>
            <w:vAlign w:val="bottom"/>
            <w:gridSpan w:val="2"/>
            <w:vMerge w:val="continue"/>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8260" w:type="dxa"/>
            <w:vAlign w:val="bottom"/>
            <w:tcBorders>
              <w:bottom w:val="single" w:sz="8" w:color="auto"/>
            </w:tcBorders>
            <w:gridSpan w:val="3"/>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2</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vMerge w:val="continue"/>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68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68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500" w:type="dxa"/>
            <w:vAlign w:val="bottom"/>
            <w:tcBorders>
              <w:left w:val="single" w:sz="8" w:color="auto"/>
            </w:tcBorders>
          </w:tcPr>
          <w:p>
            <w:pPr>
              <w:jc w:val="center"/>
              <w:ind w:left="97"/>
              <w:spacing w:after="0"/>
              <w:rPr>
                <w:sz w:val="20"/>
                <w:szCs w:val="20"/>
                <w:color w:val="auto"/>
              </w:rPr>
            </w:pPr>
            <w:r>
              <w:rPr>
                <w:rFonts w:ascii="Times New Roman" w:cs="Times New Roman" w:eastAsia="Times New Roman" w:hAnsi="Times New Roman"/>
                <w:sz w:val="25"/>
                <w:szCs w:val="25"/>
                <w:color w:val="auto"/>
                <w:w w:val="95"/>
              </w:rPr>
              <w:t>3</w:t>
            </w:r>
          </w:p>
        </w:tc>
        <w:tc>
          <w:tcPr>
            <w:tcW w:w="220" w:type="dxa"/>
            <w:vAlign w:val="bottom"/>
            <w:tcBorders>
              <w:right w:val="single" w:sz="8" w:color="auto"/>
            </w:tcBorders>
          </w:tcPr>
          <w:p>
            <w:pPr>
              <w:spacing w:after="0"/>
              <w:rPr>
                <w:sz w:val="24"/>
                <w:szCs w:val="24"/>
                <w:color w:val="auto"/>
              </w:rPr>
            </w:pPr>
          </w:p>
        </w:tc>
        <w:tc>
          <w:tcPr>
            <w:tcW w:w="1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68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AF</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5</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26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6</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tcPr>
          <w:p>
            <w:pPr>
              <w:spacing w:after="0"/>
              <w:rPr>
                <w:sz w:val="20"/>
                <w:szCs w:val="20"/>
                <w:color w:val="auto"/>
              </w:rPr>
            </w:pPr>
          </w:p>
        </w:tc>
        <w:tc>
          <w:tcPr>
            <w:tcW w:w="1560" w:type="dxa"/>
            <w:vAlign w:val="bottom"/>
            <w:tcBorders>
              <w:right w:val="single" w:sz="8" w:color="auto"/>
            </w:tcBorders>
            <w:gridSpan w:val="2"/>
            <w:vMerge w:val="restart"/>
          </w:tcPr>
          <w:p>
            <w:pPr>
              <w:jc w:val="center"/>
              <w:ind w:right="390"/>
              <w:spacing w:after="0"/>
              <w:rPr>
                <w:sz w:val="20"/>
                <w:szCs w:val="20"/>
                <w:color w:val="auto"/>
              </w:rPr>
            </w:pPr>
            <w:r>
              <w:rPr>
                <w:rFonts w:ascii="Times New Roman" w:cs="Times New Roman" w:eastAsia="Times New Roman" w:hAnsi="Times New Roman"/>
                <w:sz w:val="18"/>
                <w:szCs w:val="18"/>
                <w:color w:val="auto"/>
                <w:w w:val="99"/>
              </w:rPr>
              <w:t>NUMBER OF</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7</w:t>
            </w: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500" w:type="dxa"/>
            <w:vAlign w:val="bottom"/>
            <w:tcBorders>
              <w:left w:val="single" w:sz="8" w:color="auto"/>
            </w:tcBorders>
          </w:tcPr>
          <w:p>
            <w:pPr>
              <w:spacing w:after="0"/>
              <w:rPr>
                <w:sz w:val="15"/>
                <w:szCs w:val="15"/>
                <w:color w:val="auto"/>
              </w:rPr>
            </w:pPr>
          </w:p>
        </w:tc>
        <w:tc>
          <w:tcPr>
            <w:tcW w:w="1560" w:type="dxa"/>
            <w:vAlign w:val="bottom"/>
            <w:tcBorders>
              <w:right w:val="single" w:sz="8" w:color="auto"/>
            </w:tcBorders>
            <w:gridSpan w:val="2"/>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SHARES</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06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68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5"/>
                <w:szCs w:val="25"/>
                <w:color w:val="auto"/>
                <w:w w:val="95"/>
              </w:rPr>
              <w:t>8</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tcBorders>
              <w:left w:val="single" w:sz="8" w:color="auto"/>
              <w:right w:val="single" w:sz="8" w:color="auto"/>
            </w:tcBorders>
            <w:gridSpan w:val="3"/>
            <w:vMerge w:val="continue"/>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235,391</w:t>
            </w:r>
          </w:p>
        </w:tc>
        <w:tc>
          <w:tcPr>
            <w:tcW w:w="22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0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6240" w:type="dxa"/>
            <w:vAlign w:val="bottom"/>
            <w:tcBorders>
              <w:bottom w:val="single" w:sz="8" w:color="auto"/>
            </w:tcBorders>
            <w:vMerge w:val="continue"/>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right w:val="single" w:sz="8" w:color="auto"/>
            </w:tcBorders>
          </w:tcPr>
          <w:p>
            <w:pPr>
              <w:jc w:val="center"/>
              <w:ind w:right="630"/>
              <w:spacing w:after="0" w:line="202"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w w:val="95"/>
              </w:rPr>
              <w:t>9</w:t>
            </w:r>
          </w:p>
        </w:tc>
        <w:tc>
          <w:tcPr>
            <w:tcW w:w="62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gridSpan w:val="2"/>
          </w:tcPr>
          <w:p>
            <w:pPr>
              <w:jc w:val="center"/>
              <w:ind w:right="390"/>
              <w:spacing w:after="0"/>
              <w:rPr>
                <w:sz w:val="20"/>
                <w:szCs w:val="20"/>
                <w:color w:val="auto"/>
              </w:rPr>
            </w:pPr>
            <w:r>
              <w:rPr>
                <w:rFonts w:ascii="Times New Roman" w:cs="Times New Roman" w:eastAsia="Times New Roman" w:hAnsi="Times New Roman"/>
                <w:sz w:val="18"/>
                <w:szCs w:val="18"/>
                <w:color w:val="auto"/>
                <w:w w:val="98"/>
              </w:rPr>
              <w:t>REPORTING</w:t>
            </w:r>
          </w:p>
        </w:tc>
        <w:tc>
          <w:tcPr>
            <w:tcW w:w="680" w:type="dxa"/>
            <w:vAlign w:val="bottom"/>
            <w:tcBorders>
              <w:right w:val="single" w:sz="8" w:color="auto"/>
            </w:tcBorders>
            <w:vMerge w:val="continue"/>
          </w:tcPr>
          <w:p>
            <w:pPr>
              <w:spacing w:after="0"/>
              <w:rPr>
                <w:sz w:val="18"/>
                <w:szCs w:val="18"/>
                <w:color w:val="auto"/>
              </w:rPr>
            </w:pPr>
          </w:p>
        </w:tc>
        <w:tc>
          <w:tcPr>
            <w:tcW w:w="6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0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right w:val="single" w:sz="8" w:color="auto"/>
            </w:tcBorders>
            <w:vMerge w:val="restart"/>
          </w:tcPr>
          <w:p>
            <w:pPr>
              <w:jc w:val="center"/>
              <w:ind w:right="590"/>
              <w:spacing w:after="0" w:line="198" w:lineRule="exact"/>
              <w:rPr>
                <w:sz w:val="20"/>
                <w:szCs w:val="20"/>
                <w:color w:val="auto"/>
              </w:rPr>
            </w:pPr>
            <w:r>
              <w:rPr>
                <w:rFonts w:ascii="Times New Roman" w:cs="Times New Roman" w:eastAsia="Times New Roman" w:hAnsi="Times New Roman"/>
                <w:sz w:val="18"/>
                <w:szCs w:val="18"/>
                <w:color w:val="auto"/>
                <w:w w:val="95"/>
              </w:rPr>
              <w:t>PERSON</w:t>
            </w:r>
          </w:p>
        </w:tc>
        <w:tc>
          <w:tcPr>
            <w:tcW w:w="680" w:type="dxa"/>
            <w:vAlign w:val="bottom"/>
            <w:tcBorders>
              <w:bottom w:val="single" w:sz="8" w:color="auto"/>
              <w:right w:val="single" w:sz="8" w:color="auto"/>
            </w:tcBorders>
          </w:tcPr>
          <w:p>
            <w:pPr>
              <w:spacing w:after="0"/>
              <w:rPr>
                <w:sz w:val="8"/>
                <w:szCs w:val="8"/>
                <w:color w:val="auto"/>
              </w:rPr>
            </w:pPr>
          </w:p>
        </w:tc>
        <w:tc>
          <w:tcPr>
            <w:tcW w:w="6240" w:type="dxa"/>
            <w:vAlign w:val="bottom"/>
            <w:tcBorders>
              <w:bottom w:val="single" w:sz="8" w:color="auto"/>
            </w:tcBorders>
          </w:tcPr>
          <w:p>
            <w:pPr>
              <w:spacing w:after="0"/>
              <w:rPr>
                <w:sz w:val="8"/>
                <w:szCs w:val="8"/>
                <w:color w:val="auto"/>
              </w:rPr>
            </w:pPr>
          </w:p>
        </w:tc>
        <w:tc>
          <w:tcPr>
            <w:tcW w:w="22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500" w:type="dxa"/>
            <w:vAlign w:val="bottom"/>
            <w:tcBorders>
              <w:left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00" w:type="dxa"/>
            <w:vAlign w:val="bottom"/>
            <w:tcBorders>
              <w:lef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7"/>
              </w:rPr>
              <w:t>WITH</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color w:val="auto"/>
              </w:rPr>
              <w:t>10</w:t>
            </w:r>
          </w:p>
        </w:tc>
        <w:tc>
          <w:tcPr>
            <w:tcW w:w="6240" w:type="dxa"/>
            <w:vAlign w:val="bottom"/>
            <w:vMerge w:val="continue"/>
          </w:tcPr>
          <w:p>
            <w:pPr>
              <w:spacing w:after="0"/>
              <w:rPr>
                <w:sz w:val="14"/>
                <w:szCs w:val="14"/>
                <w:color w:val="auto"/>
              </w:rPr>
            </w:pPr>
          </w:p>
        </w:tc>
        <w:tc>
          <w:tcPr>
            <w:tcW w:w="2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6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235,391</w:t>
            </w: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11</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235,391</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12</w:t>
            </w:r>
          </w:p>
        </w:tc>
        <w:tc>
          <w:tcPr>
            <w:tcW w:w="220" w:type="dxa"/>
            <w:vAlign w:val="bottom"/>
            <w:tcBorders>
              <w:right w:val="single" w:sz="8" w:color="auto"/>
            </w:tcBorders>
          </w:tcPr>
          <w:p>
            <w:pPr>
              <w:spacing w:after="0"/>
              <w:rPr>
                <w:sz w:val="20"/>
                <w:szCs w:val="20"/>
                <w:color w:val="auto"/>
              </w:rPr>
            </w:pPr>
          </w:p>
        </w:tc>
        <w:tc>
          <w:tcPr>
            <w:tcW w:w="8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 (See Instructions)</w:t>
            </w:r>
          </w:p>
        </w:tc>
        <w:tc>
          <w:tcPr>
            <w:tcW w:w="2260" w:type="dxa"/>
            <w:vAlign w:val="bottom"/>
            <w:tcBorders>
              <w:right w:val="single" w:sz="8" w:color="auto"/>
            </w:tcBorders>
          </w:tcPr>
          <w:p>
            <w:pPr>
              <w:ind w:left="188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vMerge w:val="continue"/>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8260" w:type="dxa"/>
            <w:vAlign w:val="bottom"/>
            <w:gridSpan w:val="3"/>
            <w:vMerge w:val="continue"/>
          </w:tcPr>
          <w:p>
            <w:pPr>
              <w:spacing w:after="0"/>
              <w:rPr>
                <w:sz w:val="9"/>
                <w:szCs w:val="9"/>
                <w:color w:val="auto"/>
              </w:rPr>
            </w:pPr>
          </w:p>
        </w:tc>
        <w:tc>
          <w:tcPr>
            <w:tcW w:w="22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500" w:type="dxa"/>
            <w:vAlign w:val="bottom"/>
            <w:tcBorders>
              <w:left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240" w:type="dxa"/>
            <w:vAlign w:val="bottom"/>
            <w:tcBorders>
              <w:bottom w:val="single" w:sz="8" w:color="auto"/>
            </w:tcBorders>
          </w:tcPr>
          <w:p>
            <w:pPr>
              <w:spacing w:after="0"/>
              <w:rPr>
                <w:sz w:val="3"/>
                <w:szCs w:val="3"/>
                <w:color w:val="auto"/>
              </w:rPr>
            </w:pPr>
          </w:p>
        </w:tc>
        <w:tc>
          <w:tcPr>
            <w:tcW w:w="22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13</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0.8%*</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500" w:type="dxa"/>
            <w:vAlign w:val="bottom"/>
            <w:tcBorders>
              <w:left w:val="single" w:sz="8" w:color="auto"/>
            </w:tcBorders>
            <w:vMerge w:val="restart"/>
          </w:tcPr>
          <w:p>
            <w:pPr>
              <w:jc w:val="center"/>
              <w:ind w:left="97"/>
              <w:spacing w:after="0"/>
              <w:rPr>
                <w:sz w:val="20"/>
                <w:szCs w:val="20"/>
                <w:color w:val="auto"/>
              </w:rPr>
            </w:pPr>
            <w:r>
              <w:rPr>
                <w:rFonts w:ascii="Times New Roman" w:cs="Times New Roman" w:eastAsia="Times New Roman" w:hAnsi="Times New Roman"/>
                <w:sz w:val="25"/>
                <w:szCs w:val="25"/>
                <w:color w:val="auto"/>
                <w:w w:val="95"/>
              </w:rPr>
              <w:t>14</w:t>
            </w:r>
          </w:p>
        </w:tc>
        <w:tc>
          <w:tcPr>
            <w:tcW w:w="220" w:type="dxa"/>
            <w:vAlign w:val="bottom"/>
            <w:tcBorders>
              <w:right w:val="single" w:sz="8" w:color="auto"/>
            </w:tcBorders>
          </w:tcPr>
          <w:p>
            <w:pPr>
              <w:spacing w:after="0"/>
              <w:rPr>
                <w:sz w:val="20"/>
                <w:szCs w:val="20"/>
                <w:color w:val="auto"/>
              </w:rPr>
            </w:pPr>
          </w:p>
        </w:tc>
        <w:tc>
          <w:tcPr>
            <w:tcW w:w="8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68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500" w:type="dxa"/>
            <w:vAlign w:val="bottom"/>
            <w:tcBorders>
              <w:left w:val="single" w:sz="8" w:color="auto"/>
            </w:tcBorders>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3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2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firstLine="8"/>
        <w:spacing w:after="0" w:line="261" w:lineRule="auto"/>
        <w:tabs>
          <w:tab w:leader="none" w:pos="115"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percentage is calculated based upon 29,639,885 shares of common stock outstanding of Disc Medicine, Inc. (the “Issuer”), as set forth in the Issuer’s 424(b)(5) Prospectus filed with the Securities and Exchange Commission on June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Amendment No. 4 (“</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to Schedule 13D supplements and amends the Statement on Schedule 13D of OrbiMed Advisors LLC and OrbiMed Capital GP VI LLC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originally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February 22, 2022, as amended by Amendment No. 1 filed with the SEC on January 3, 2023, Amendment No. 2 filed with the SEC on June 21, 2023 and Amendment No. 3 filed with the SEC on December 15, 2023. This Amendment No. 4 relates to the common stock, par value $0.0001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Disc Medicine, Inc., a corporation organized under the laws of Delaware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with its principal executive offices located at 321 Arsenal Street, Suite 101, Watertown, Massachusetts 02472. The Shares are listed on the NASDAQ Global Market under the ticker symbol “IRON”. Information given in response to each item shall be deemed incorporated by reference in all other items, as applicable.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17, 2024, the issuer completed an underwritten public offering of 4,944,000 Shares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As a result of the Offering, the percentage of outstanding Shares that the Reporting Persons may be deemed to beneficially own was reduced by more than one percent of the Issuer’s Shares outstanding since the filing of Amendment No.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firstLine="656"/>
        <w:spacing w:after="0" w:line="282" w:lineRule="auto"/>
        <w:tabs>
          <w:tab w:leader="none" w:pos="9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4 is being filed by OrbiMed Advisors LLC (“</w:t>
      </w:r>
      <w:r>
        <w:rPr>
          <w:rFonts w:ascii="Times New Roman" w:cs="Times New Roman" w:eastAsia="Times New Roman" w:hAnsi="Times New Roman"/>
          <w:sz w:val="18"/>
          <w:szCs w:val="18"/>
          <w:u w:val="single" w:color="auto"/>
          <w:color w:val="auto"/>
        </w:rPr>
        <w:t>OrbiMed Advisors</w:t>
      </w:r>
      <w:r>
        <w:rPr>
          <w:rFonts w:ascii="Times New Roman" w:cs="Times New Roman" w:eastAsia="Times New Roman" w:hAnsi="Times New Roman"/>
          <w:sz w:val="18"/>
          <w:szCs w:val="18"/>
          <w:color w:val="auto"/>
        </w:rPr>
        <w:t>”), OrbiMed Capital GP VI LLC (“</w:t>
      </w:r>
      <w:r>
        <w:rPr>
          <w:rFonts w:ascii="Times New Roman" w:cs="Times New Roman" w:eastAsia="Times New Roman" w:hAnsi="Times New Roman"/>
          <w:sz w:val="18"/>
          <w:szCs w:val="18"/>
          <w:u w:val="single" w:color="auto"/>
          <w:color w:val="auto"/>
        </w:rPr>
        <w:t>GP VI</w:t>
      </w:r>
      <w:r>
        <w:rPr>
          <w:rFonts w:ascii="Times New Roman" w:cs="Times New Roman" w:eastAsia="Times New Roman" w:hAnsi="Times New Roman"/>
          <w:sz w:val="18"/>
          <w:szCs w:val="18"/>
          <w:color w:val="auto"/>
        </w:rPr>
        <w:t>”), OrbiMed Capital GP VIII LLC (“</w:t>
      </w:r>
      <w:r>
        <w:rPr>
          <w:rFonts w:ascii="Times New Roman" w:cs="Times New Roman" w:eastAsia="Times New Roman" w:hAnsi="Times New Roman"/>
          <w:sz w:val="18"/>
          <w:szCs w:val="18"/>
          <w:u w:val="single" w:color="auto"/>
          <w:color w:val="auto"/>
        </w:rPr>
        <w:t>GP VIII</w:t>
      </w:r>
      <w:r>
        <w:rPr>
          <w:rFonts w:ascii="Times New Roman" w:cs="Times New Roman" w:eastAsia="Times New Roman" w:hAnsi="Times New Roman"/>
          <w:sz w:val="18"/>
          <w:szCs w:val="18"/>
          <w:color w:val="auto"/>
        </w:rPr>
        <w:t>”), and OrbiMed Genesis GP LLC (“</w:t>
      </w:r>
      <w:r>
        <w:rPr>
          <w:rFonts w:ascii="Times New Roman" w:cs="Times New Roman" w:eastAsia="Times New Roman" w:hAnsi="Times New Roman"/>
          <w:sz w:val="18"/>
          <w:szCs w:val="18"/>
          <w:u w:val="single" w:color="auto"/>
          <w:color w:val="auto"/>
        </w:rPr>
        <w:t>OrbiMed Genesis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GP VI, a limited liability company organized under the laws of Delaware, is the general partner of a limited partnership as more particularly described in Item 6 below. GP VI has its principal offices at 601 Lexington Avenue, 54th Floor, New York, New York 10022.</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GP VIII, a limited liability company organized under the laws of Delaware, is the general partner of a limited partnership as more particularly described in Item 6 below. GP VIII has its principal offices at 601 Lexington Avenue, 54th Floor, New York, New York 10022.</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OrbiMed Genesis, a limited liability company organized under the laws of Delaware, is the general partner of a limited partnership as more particularly described in Item 6 below. OrbiMed Genesis has its principal offices at 601 Lexington Avenue, 54th Floor, New York, New York 10022.</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directors and executive officers of OrbiMed Advisors, GP VI, GP VIII, and OrbiMed Genesis are set forth on Schedules I, II, III, and IV, respectively, attached hereto. Schedules I through IV set forth the following information with respect to each such person:</w:t>
      </w:r>
    </w:p>
    <w:p>
      <w:pPr>
        <w:spacing w:after="0" w:line="162" w:lineRule="exact"/>
        <w:rPr>
          <w:sz w:val="20"/>
          <w:szCs w:val="20"/>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address;</w:t>
      </w:r>
    </w:p>
    <w:p>
      <w:pPr>
        <w:spacing w:after="0" w:line="225" w:lineRule="exact"/>
        <w:rPr>
          <w:rFonts w:ascii="Times New Roman" w:cs="Times New Roman" w:eastAsia="Times New Roman" w:hAnsi="Times New Roman"/>
          <w:sz w:val="18"/>
          <w:szCs w:val="18"/>
          <w:color w:val="auto"/>
        </w:rPr>
      </w:pPr>
    </w:p>
    <w:p>
      <w:pPr>
        <w:ind w:right="20" w:firstLine="656"/>
        <w:spacing w:after="0" w:line="282" w:lineRule="auto"/>
        <w:tabs>
          <w:tab w:leader="none" w:pos="13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principal occupation of employment and the name, principal business and address of any corporation or other organization in which such employment is conducted; and</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sz w:val="20"/>
          <w:szCs w:val="20"/>
          <w:color w:val="auto"/>
        </w:rPr>
      </w:pPr>
    </w:p>
    <w:p>
      <w:pPr>
        <w:jc w:val="both"/>
        <w:ind w:firstLine="656"/>
        <w:spacing w:after="0" w:line="261" w:lineRule="auto"/>
        <w:tabs>
          <w:tab w:leader="none" w:pos="9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(e) During the last five years, neither the Reporting Persons nor any person named in Schedules I through IV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On June 17, 2024, OrbiMed Advisors and GP VI, pursuant to their authority under the limited partnership agreement OPI VI, as more particularly referred to in Item 6 below, caused OrbiMed Private Investments VI, LP (“</w:t>
      </w:r>
      <w:r>
        <w:rPr>
          <w:rFonts w:ascii="Times New Roman" w:cs="Times New Roman" w:eastAsia="Times New Roman" w:hAnsi="Times New Roman"/>
          <w:sz w:val="18"/>
          <w:szCs w:val="18"/>
          <w:u w:val="single" w:color="auto"/>
          <w:color w:val="auto"/>
        </w:rPr>
        <w:t>OPI VI</w:t>
      </w:r>
      <w:r>
        <w:rPr>
          <w:rFonts w:ascii="Times New Roman" w:cs="Times New Roman" w:eastAsia="Times New Roman" w:hAnsi="Times New Roman"/>
          <w:sz w:val="18"/>
          <w:szCs w:val="18"/>
          <w:color w:val="auto"/>
        </w:rPr>
        <w:t>”) to purchase 28,404 Shares in the Offering.</w:t>
      </w:r>
    </w:p>
    <w:p>
      <w:pPr>
        <w:spacing w:after="0" w:line="162"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On June 17, 2024, OrbiMed Advisors and GP VIII, pursuant to their authority under the limited partnership agreement of OrbiMed Private Investments VIII, LP (“</w:t>
      </w:r>
      <w:r>
        <w:rPr>
          <w:rFonts w:ascii="Times New Roman" w:cs="Times New Roman" w:eastAsia="Times New Roman" w:hAnsi="Times New Roman"/>
          <w:sz w:val="18"/>
          <w:szCs w:val="18"/>
          <w:u w:val="single" w:color="auto"/>
          <w:color w:val="auto"/>
        </w:rPr>
        <w:t>OPI VIII</w:t>
      </w:r>
      <w:r>
        <w:rPr>
          <w:rFonts w:ascii="Times New Roman" w:cs="Times New Roman" w:eastAsia="Times New Roman" w:hAnsi="Times New Roman"/>
          <w:sz w:val="18"/>
          <w:szCs w:val="18"/>
          <w:color w:val="auto"/>
        </w:rPr>
        <w:t>”), as more particularly referred to in Item 6 below, caused OPI VIII to purchase 43,944 Shares in the Offering.</w:t>
      </w:r>
    </w:p>
    <w:p>
      <w:pPr>
        <w:spacing w:after="0" w:line="162"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On June 17, 2024, OrbiMed Advisors and OrbiMed Genesis, pursuant to their authority under the limited partnership agreement of OrbiMed Genesis Master Fund, L.P. (“</w:t>
      </w:r>
      <w:r>
        <w:rPr>
          <w:rFonts w:ascii="Times New Roman" w:cs="Times New Roman" w:eastAsia="Times New Roman" w:hAnsi="Times New Roman"/>
          <w:sz w:val="18"/>
          <w:szCs w:val="18"/>
          <w:u w:val="single" w:color="auto"/>
          <w:color w:val="auto"/>
        </w:rPr>
        <w:t>Genesis</w:t>
      </w:r>
      <w:r>
        <w:rPr>
          <w:rFonts w:ascii="Times New Roman" w:cs="Times New Roman" w:eastAsia="Times New Roman" w:hAnsi="Times New Roman"/>
          <w:sz w:val="18"/>
          <w:szCs w:val="18"/>
          <w:color w:val="auto"/>
        </w:rPr>
        <w:t>”), caused Genesis to purchase 10,986 Shares in the Offering.</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source of funds for such purchases was the working capital of OPI VI, OPI VIII, and Genesis.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firstLine="656"/>
        <w:spacing w:after="0" w:line="282" w:lineRule="auto"/>
        <w:tabs>
          <w:tab w:leader="none" w:pos="90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following disclosure is based upon 29,639,885 Shares outstanding of the Issuer, as set forth in the Issuer’s 424(b)(5) Prospectus filed with the SEC on June 14, 2024.</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filing, OPI VI, a limited partnership organized under the laws of Delaware, holds 608,611 Shares, constituting approximately 2.1% of the issued and outstanding Shares. GP VI is the general partner of OPI VI, pursuant to the terms of the limited partnership agreement of OPI VI, and OrbiMed Advisors is the managing member of GP VI, pursuant to the terms of the limited liability company agreement of GP VI. As a result, OrbiMed Advisors and GP VI share power to direct the vote and disposition of the Shares held by OPI VI and may be deemed directly or indirectly, including by reason of their mutual affiliation, to be the beneficial owners of the Shares held by OPI VI. OrbiMed Advisors exercises this investment and voting power through a management committee comprised of Carl L. Gordon, Sven H. Borho, and W. Carter Neild, each of whom disclaims beneficial ownership of the Shares held by OPI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GP VI, pursuant to their authority under the limited partnership agreement of OPI VI, caused OPI VI to enter into the agreements referred to in Item 6 below.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filing, OPI VIII, a limited partnership organized under the laws of Delaware, holds 941,569 Shares, constituting approximately 3.2% of the issued and outstanding Shares. GP VIII is the general partner of OPI VIII, pursuant to the terms of the limited partnership agreement of OPI VIII, and OrbiMed Advisors is the managing member of GP VIII, pursuant to the terms of the limited liability company agreement of GP VIII. As a result, OrbiMed Advisors and GP VIII share power to direct the vote and disposition of the Shares held by OPI VIII and may be deemed directly or indirectly, including by reason of their mutual affiliation, to be the beneficial owners of the Shares held by OPI VIII. OrbiMed Advisors exercises this investment and voting power through a management committee comprised of Carl L. Gordon, Sven H. Borho, and W. Carter Neild, each of whom disclaims beneficial ownership of the Shares held by OPI VIII.</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GP VIII, pursuant to their authority under the limited partnership agreement of OPI VIII, caused OPI VIII to enter into the agreements referred to in Item 6 below.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date of this filing, Genesis, a limited partnership organized under the laws of the Cayman Islands, holds 235,391 Shares, constituting approximately 0.8%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OrbiMed Advisors and OrbiMed Genesis, pursuant to their authority under the limited partnership agreement of Genesis, caused Genesis to enter into the agreements referred to in Item 6 below.</w:t>
      </w:r>
    </w:p>
    <w:p>
      <w:pPr>
        <w:spacing w:after="0" w:line="162"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Item 3, the Reporting Persons have not effected any transactions during the past sixty (60) days in any Shares.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relationships between the Reporting Persons described in Items 2 and 5 above, GP VI is the general partner of OPI VI, pursuant to the terms of the limited partnership agreement of OPI VI. Pursuant to this agreement and relationship, GP VI has discretionary investment management authority with respect to the assets of OPI VI. Such authority includes the power to vote and otherwise dispose of securities held by OPI VI. The number of outstanding Shares of the Issuer attributable to OPI VI is 608,611 Shares. GP VI, pursuant to its authority under the limited partnership agreement of OPI VI, may be considered to hold indirectly 608,611 Shares.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relationships between the Reporting Persons described in Items 2 and 5 above, GP VIII is the general partner of OPI VIII, pursuant to the terms of the limited partnership agreement of OPI VIII. Pursuant to this agreement and relationship, GP VIII has discretionary investment management authority with respect to the assets of OPI VIII. Such authority includes the power to vote and otherwise dispose of securities held by OPI VIII. The number of outstanding Shares of the Issuer attributable to OPI VIII is 941,569 Shares. GP VIII, pursuant to its authority under the limited partnership agreement of OPI VIII, may be considered to hold indirectly 941,569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235,391 Shares. OrbiMed Genesis, pursuant to its authority under the limited partnership agreement of Genesis, may be considered to hold indirectly 235,391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OrbiMed Advisors is the managing member of GP VI, GP VIII, and OrbiMed Genesis, pursuant to the terms of the limited liability company agreements of GP VI, GP VIII, and OrbiMed Genesis. Pursuant to these agreements and relationships, OrbiMed Advisors and GP VI have discretionary investment management authority with respect to the assets of OPI VI, OrbiMed Advisors and GP VIII have discretionary investment management authority with respect to the assets of OPI VIII, and OrbiMed Advisors and OrbiMed Genesis have discretionary investment management authority with respect to the assets of Genesis. Such authority includes the power of GP VI to vote and otherwise dispose of securities held by OPI VI, GP VIII to vote and otherwise dispose of the securities held by OPI VIII, and OrbiMed Genesis to vote and otherwise dispose of the securities held by Genesis. The number of outstanding Shares attributable to OPI VI is 608,611 Shares, the number of outstanding Shares attributable to OPI VIII is 941,569 Shares, and the number of outstanding Shares attributable to Genesis is 235,391 Shares. OrbiMed Advisors, pursuant to its authority under the terms of the limited liability company agreements of GP VI, GP VIII, and OrbiMed Genesis may also be considered to hold indirectly 1,785,571 Shares.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Mona Ashiya (“</w:t>
      </w:r>
      <w:r>
        <w:rPr>
          <w:rFonts w:ascii="Times New Roman" w:cs="Times New Roman" w:eastAsia="Times New Roman" w:hAnsi="Times New Roman"/>
          <w:sz w:val="18"/>
          <w:szCs w:val="18"/>
          <w:u w:val="single" w:color="auto"/>
          <w:color w:val="auto"/>
        </w:rPr>
        <w:t>Ashiya</w:t>
      </w:r>
      <w:r>
        <w:rPr>
          <w:rFonts w:ascii="Times New Roman" w:cs="Times New Roman" w:eastAsia="Times New Roman" w:hAnsi="Times New Roman"/>
          <w:sz w:val="18"/>
          <w:szCs w:val="18"/>
          <w:color w:val="auto"/>
        </w:rPr>
        <w:t>”), an employee of OrbiMed Advisors, is a member of the Board of Directors of the Issuer and, accordingly, OrbiMed Advisors, GP VI, and GP VIII may have the ability to affect and influence control of the Issuer. From time to time, Ashiya may receive stock options or other awards of equity-based compensation pursuant to the Issuer’s compensation arrangements for non-employee directors. Pursuant to an agreement with OrbiMed Advisors, GP VI, and GP VIII, Ashiya is obligated to transfer any securities issued under any such stock options or other awards, or the economic benefit thereof, to OrbiMed Advisors, GP VI and GP VIII, which will in turn ensure that such securities or economic benefits are provided to OPI VI and OPI VIII.</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313" w:lineRule="exact"/>
        <w:rPr>
          <w:sz w:val="20"/>
          <w:szCs w:val="20"/>
          <w:color w:val="auto"/>
        </w:rPr>
      </w:pPr>
    </w:p>
    <w:p>
      <w:pPr>
        <w:ind w:left="120"/>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460" w:right="120" w:hanging="1344"/>
        <w:spacing w:after="0" w:line="282" w:lineRule="auto"/>
        <w:tabs>
          <w:tab w:leader="none" w:pos="1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GP VI LLC, OrbiMed Capital GP VIII LLC, and 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945515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June 20, 2024</w:t>
            </w:r>
          </w:p>
        </w:tc>
        <w:tc>
          <w:tcPr>
            <w:tcW w:w="754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6"/>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3"/>
        </w:trPr>
        <w:tc>
          <w:tcPr>
            <w:tcW w:w="37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37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3700" w:type="dxa"/>
            <w:vAlign w:val="bottom"/>
          </w:tcPr>
          <w:p>
            <w:pPr>
              <w:spacing w:after="0"/>
              <w:rPr>
                <w:sz w:val="24"/>
                <w:szCs w:val="24"/>
                <w:color w:val="auto"/>
              </w:rPr>
            </w:pPr>
          </w:p>
        </w:tc>
        <w:tc>
          <w:tcPr>
            <w:tcW w:w="754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ORBIMED CAPITAL GP VI LLC</w:t>
            </w:r>
          </w:p>
        </w:tc>
      </w:tr>
      <w:tr>
        <w:trPr>
          <w:trHeight w:val="486"/>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5"/>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4"/>
        </w:trPr>
        <w:tc>
          <w:tcPr>
            <w:tcW w:w="37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37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486"/>
        </w:trPr>
        <w:tc>
          <w:tcPr>
            <w:tcW w:w="3700" w:type="dxa"/>
            <w:vAlign w:val="bottom"/>
          </w:tcPr>
          <w:p>
            <w:pPr>
              <w:spacing w:after="0"/>
              <w:rPr>
                <w:sz w:val="24"/>
                <w:szCs w:val="24"/>
                <w:color w:val="auto"/>
              </w:rPr>
            </w:pPr>
          </w:p>
        </w:tc>
        <w:tc>
          <w:tcPr>
            <w:tcW w:w="754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ORBIMED CAPITAL GP VIII LLC</w:t>
            </w:r>
          </w:p>
        </w:tc>
      </w:tr>
      <w:tr>
        <w:trPr>
          <w:trHeight w:val="486"/>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6"/>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3"/>
        </w:trPr>
        <w:tc>
          <w:tcPr>
            <w:tcW w:w="37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37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486"/>
        </w:trPr>
        <w:tc>
          <w:tcPr>
            <w:tcW w:w="3700" w:type="dxa"/>
            <w:vAlign w:val="bottom"/>
          </w:tcPr>
          <w:p>
            <w:pPr>
              <w:spacing w:after="0"/>
              <w:rPr>
                <w:sz w:val="24"/>
                <w:szCs w:val="24"/>
                <w:color w:val="auto"/>
              </w:rPr>
            </w:pPr>
          </w:p>
        </w:tc>
        <w:tc>
          <w:tcPr>
            <w:tcW w:w="7540" w:type="dxa"/>
            <w:vAlign w:val="bottom"/>
            <w:gridSpan w:val="3"/>
          </w:tcPr>
          <w:p>
            <w:pPr>
              <w:ind w:left="2160"/>
              <w:spacing w:after="0"/>
              <w:rPr>
                <w:sz w:val="20"/>
                <w:szCs w:val="20"/>
                <w:color w:val="auto"/>
              </w:rPr>
            </w:pPr>
            <w:r>
              <w:rPr>
                <w:rFonts w:ascii="Times New Roman" w:cs="Times New Roman" w:eastAsia="Times New Roman" w:hAnsi="Times New Roman"/>
                <w:sz w:val="18"/>
                <w:szCs w:val="18"/>
                <w:color w:val="auto"/>
              </w:rPr>
              <w:t>ORBIMED GENESIS GP LLC</w:t>
            </w:r>
          </w:p>
        </w:tc>
      </w:tr>
      <w:tr>
        <w:trPr>
          <w:trHeight w:val="486"/>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5"/>
        </w:trPr>
        <w:tc>
          <w:tcPr>
            <w:tcW w:w="3700" w:type="dxa"/>
            <w:vAlign w:val="bottom"/>
          </w:tcPr>
          <w:p>
            <w:pPr>
              <w:spacing w:after="0"/>
              <w:rPr>
                <w:sz w:val="24"/>
                <w:szCs w:val="24"/>
                <w:color w:val="auto"/>
              </w:rPr>
            </w:pP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500" w:type="dxa"/>
            <w:vAlign w:val="bottom"/>
          </w:tcPr>
          <w:p>
            <w:pPr>
              <w:spacing w:after="0"/>
              <w:rPr>
                <w:sz w:val="24"/>
                <w:szCs w:val="24"/>
                <w:color w:val="auto"/>
              </w:rPr>
            </w:pPr>
          </w:p>
        </w:tc>
      </w:tr>
      <w:tr>
        <w:trPr>
          <w:trHeight w:val="264"/>
        </w:trPr>
        <w:tc>
          <w:tcPr>
            <w:tcW w:w="37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37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587"/>
        </w:trPr>
        <w:tc>
          <w:tcPr>
            <w:tcW w:w="37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Times New Roman" w:cs="Times New Roman" w:eastAsia="Times New Roman" w:hAnsi="Times New Roman"/>
          <w:sz w:val="14"/>
          <w:szCs w:val="14"/>
          <w:color w:val="auto"/>
        </w:rPr>
        <w:t>th</w:t>
      </w:r>
      <w:r>
        <w:rPr>
          <w:rFonts w:ascii="Times New Roman" w:cs="Times New Roman" w:eastAsia="Times New Roman" w:hAnsi="Times New Roman"/>
          <w:sz w:val="18"/>
          <w:szCs w:val="18"/>
          <w:color w:val="auto"/>
        </w:rPr>
        <w:t xml:space="preserve"> Floor, New York, NY 10022.</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2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with Reporting Person</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0"/>
        </w:trPr>
        <w:tc>
          <w:tcPr>
            <w:tcW w:w="4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6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 L. Gordon</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Sven H. Borho</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German and Swedish Citizen</w:t>
            </w: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Carter Neild</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C. Hsu</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Scotland Stevens</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P. Bonita</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A. Thompson</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S. Rizzo</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Member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441"/>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Trey Block</w:t>
            </w:r>
          </w:p>
        </w:tc>
        <w:tc>
          <w:tcPr>
            <w:tcW w:w="456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Chief Financial Officer</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w:t>
            </w:r>
          </w:p>
        </w:tc>
      </w:tr>
      <w:tr>
        <w:trPr>
          <w:trHeight w:val="776"/>
        </w:trPr>
        <w:tc>
          <w:tcPr>
            <w:tcW w:w="4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Capital GP VI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4305935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Capital GP VIII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4168775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business and operations of OrbiMed Genesis GP LLC are managed by the executive officers and directors of its managing member, OrbiMed Advisors LLC, set forth in Schedule I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173990</wp:posOffset>
            </wp:positionV>
            <wp:extent cx="7132320" cy="668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340" w:lineRule="exact"/>
        <w:rPr>
          <w:sz w:val="20"/>
          <w:szCs w:val="20"/>
          <w:color w:val="auto"/>
        </w:rPr>
      </w:pPr>
    </w:p>
    <w:p>
      <w:pPr>
        <w:ind w:left="4"/>
        <w:spacing w:after="0"/>
        <w:tabs>
          <w:tab w:leader="none" w:pos="1324"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2" w:lineRule="exact"/>
        <w:rPr>
          <w:sz w:val="20"/>
          <w:szCs w:val="20"/>
          <w:color w:val="auto"/>
        </w:rPr>
      </w:pPr>
    </w:p>
    <w:p>
      <w:pPr>
        <w:ind w:left="1344" w:hanging="1344"/>
        <w:spacing w:after="0" w:line="282" w:lineRule="auto"/>
        <w:tabs>
          <w:tab w:leader="none" w:pos="13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Filing Agreement among OrbiMed Advisors LLC, OrbiMed Capital GP VI LLC, OrbiMed Capital GP VIII LLC, and OrbiMed Genesis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6406515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4"/>
          </w:cols>
          <w:pgMar w:left="436" w:top="819" w:right="45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undersigned hereby agree that Amendment No. 4 to the Statement on Schedule 13D, dated June 17, 2024, with respect to the common stock of Disc Medicine, Inc. is filed on behalf of each of us pursuant to and in accordance with the provisions of Rule 13d-1(k) under the Securities Exchange Act of 1934, as amended. Each of the undersigned agrees to be responsible for the timely filing of this Statement, and for the completeness and accuracy of the information concerning itself contained therein. This Agreement may be executed in any number of counterparts, all of which taken together shall constitute one and the same instrument.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executed this Agreement as of the 20th day of June 2024.</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ORBIMED ADVISORS LLC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17"/>
                <w:szCs w:val="17"/>
                <w:color w:val="auto"/>
              </w:rPr>
            </w:pPr>
          </w:p>
        </w:tc>
      </w:tr>
      <w:tr>
        <w:trPr>
          <w:trHeight w:val="263"/>
        </w:trPr>
        <w:tc>
          <w:tcPr>
            <w:tcW w:w="620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620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w:t>
            </w:r>
          </w:p>
        </w:tc>
      </w:tr>
      <w:tr>
        <w:trPr>
          <w:trHeight w:val="486"/>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CAPITAL GP VI LLC</w:t>
            </w:r>
          </w:p>
        </w:tc>
      </w:tr>
      <w:tr>
        <w:trPr>
          <w:trHeight w:val="48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5"/>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64"/>
        </w:trPr>
        <w:tc>
          <w:tcPr>
            <w:tcW w:w="620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620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486"/>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CAPITAL GP VIII LLC</w:t>
            </w:r>
          </w:p>
        </w:tc>
      </w:tr>
      <w:tr>
        <w:trPr>
          <w:trHeight w:val="48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5"/>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64"/>
        </w:trPr>
        <w:tc>
          <w:tcPr>
            <w:tcW w:w="620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620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486"/>
        </w:trPr>
        <w:tc>
          <w:tcPr>
            <w:tcW w:w="11240" w:type="dxa"/>
            <w:vAlign w:val="bottom"/>
            <w:gridSpan w:val="3"/>
          </w:tcPr>
          <w:p>
            <w:pPr>
              <w:ind w:left="5640"/>
              <w:spacing w:after="0"/>
              <w:rPr>
                <w:sz w:val="20"/>
                <w:szCs w:val="20"/>
                <w:color w:val="auto"/>
              </w:rPr>
            </w:pPr>
            <w:r>
              <w:rPr>
                <w:rFonts w:ascii="Times New Roman" w:cs="Times New Roman" w:eastAsia="Times New Roman" w:hAnsi="Times New Roman"/>
                <w:sz w:val="18"/>
                <w:szCs w:val="18"/>
                <w:color w:val="auto"/>
              </w:rPr>
              <w:t>ORBIMED GENESIS GP LLC</w:t>
            </w:r>
          </w:p>
        </w:tc>
      </w:tr>
      <w:tr>
        <w:trPr>
          <w:trHeight w:val="48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ORBIMED ADVISORS LLC, its managing member</w:t>
            </w:r>
          </w:p>
        </w:tc>
      </w:tr>
      <w:tr>
        <w:trPr>
          <w:trHeight w:val="445"/>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Carl L. Gordon</w:t>
            </w:r>
          </w:p>
        </w:tc>
        <w:tc>
          <w:tcPr>
            <w:tcW w:w="3720" w:type="dxa"/>
            <w:vAlign w:val="bottom"/>
          </w:tcPr>
          <w:p>
            <w:pPr>
              <w:spacing w:after="0"/>
              <w:rPr>
                <w:sz w:val="24"/>
                <w:szCs w:val="24"/>
                <w:color w:val="auto"/>
              </w:rPr>
            </w:pPr>
          </w:p>
        </w:tc>
      </w:tr>
      <w:tr>
        <w:trPr>
          <w:trHeight w:val="264"/>
        </w:trPr>
        <w:tc>
          <w:tcPr>
            <w:tcW w:w="620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Carl L. Gordon</w:t>
            </w:r>
          </w:p>
        </w:tc>
      </w:tr>
      <w:tr>
        <w:trPr>
          <w:trHeight w:val="243"/>
        </w:trPr>
        <w:tc>
          <w:tcPr>
            <w:tcW w:w="620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Member of OrbiMed Advisors LLC</w:t>
            </w:r>
          </w:p>
        </w:tc>
      </w:tr>
      <w:tr>
        <w:trPr>
          <w:trHeight w:val="331"/>
        </w:trPr>
        <w:tc>
          <w:tcPr>
            <w:tcW w:w="6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lowerLetter"/>
      <w:start w:val="4"/>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2024-06-20T16:19:01Z</dcterms:created>
  <dcterms:modified xsi:type="dcterms:W3CDTF">2024-06-20T16:19:01Z</dcterms:modified>
</cp:coreProperties>
</file>