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April 12, 2021</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GEMINI THERAPEUTICS, INC.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4420" w:type="dxa"/>
            <w:vAlign w:val="bottom"/>
            <w:gridSpan w:val="3"/>
          </w:tcPr>
          <w:p>
            <w:pPr>
              <w:jc w:val="center"/>
              <w:ind w:right="800"/>
              <w:spacing w:after="0"/>
              <w:rPr>
                <w:sz w:val="20"/>
                <w:szCs w:val="20"/>
                <w:color w:val="auto"/>
              </w:rPr>
            </w:pPr>
            <w:r>
              <w:rPr>
                <w:rFonts w:ascii="Arial" w:cs="Arial" w:eastAsia="Arial" w:hAnsi="Arial"/>
                <w:sz w:val="18"/>
                <w:szCs w:val="18"/>
                <w:b w:val="1"/>
                <w:bCs w:val="1"/>
                <w:color w:val="auto"/>
                <w:w w:val="93"/>
              </w:rPr>
              <w:t>Delaware</w:t>
            </w:r>
          </w:p>
        </w:tc>
        <w:tc>
          <w:tcPr>
            <w:tcW w:w="3020" w:type="dxa"/>
            <w:vAlign w:val="bottom"/>
            <w:gridSpan w:val="3"/>
          </w:tcPr>
          <w:p>
            <w:pPr>
              <w:jc w:val="right"/>
              <w:ind w:right="1420"/>
              <w:spacing w:after="0"/>
              <w:rPr>
                <w:sz w:val="20"/>
                <w:szCs w:val="20"/>
                <w:color w:val="auto"/>
              </w:rPr>
            </w:pPr>
            <w:r>
              <w:rPr>
                <w:rFonts w:ascii="Arial" w:cs="Arial" w:eastAsia="Arial" w:hAnsi="Arial"/>
                <w:sz w:val="18"/>
                <w:szCs w:val="18"/>
                <w:b w:val="1"/>
                <w:bCs w:val="1"/>
                <w:color w:val="auto"/>
              </w:rPr>
              <w:t>001-39438</w:t>
            </w: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91"/>
              </w:rPr>
              <w:t>85-1612845</w:t>
            </w:r>
          </w:p>
        </w:tc>
      </w:tr>
      <w:tr>
        <w:trPr>
          <w:trHeight w:val="202"/>
        </w:trPr>
        <w:tc>
          <w:tcPr>
            <w:tcW w:w="362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2"/>
              </w:rPr>
              <w:t>(State or other jurisdiction</w:t>
            </w:r>
          </w:p>
        </w:tc>
        <w:tc>
          <w:tcPr>
            <w:tcW w:w="220" w:type="dxa"/>
            <w:vAlign w:val="bottom"/>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3020" w:type="dxa"/>
            <w:vAlign w:val="bottom"/>
            <w:tcBorders>
              <w:top w:val="single" w:sz="8" w:color="auto"/>
            </w:tcBorders>
            <w:gridSpan w:val="3"/>
          </w:tcPr>
          <w:p>
            <w:pPr>
              <w:jc w:val="center"/>
              <w:ind w:right="580"/>
              <w:spacing w:after="0" w:line="201" w:lineRule="exact"/>
              <w:rPr>
                <w:sz w:val="20"/>
                <w:szCs w:val="20"/>
                <w:color w:val="auto"/>
              </w:rPr>
            </w:pPr>
            <w:r>
              <w:rPr>
                <w:rFonts w:ascii="Arial" w:cs="Arial" w:eastAsia="Arial" w:hAnsi="Arial"/>
                <w:sz w:val="18"/>
                <w:szCs w:val="18"/>
                <w:color w:val="auto"/>
                <w:w w:val="93"/>
              </w:rPr>
              <w:t>(Commission File Number)</w:t>
            </w:r>
          </w:p>
        </w:tc>
        <w:tc>
          <w:tcPr>
            <w:tcW w:w="200" w:type="dxa"/>
            <w:vAlign w:val="bottom"/>
          </w:tcPr>
          <w:p>
            <w:pPr>
              <w:spacing w:after="0"/>
              <w:rPr>
                <w:sz w:val="17"/>
                <w:szCs w:val="17"/>
                <w:color w:val="auto"/>
              </w:rPr>
            </w:pPr>
          </w:p>
        </w:tc>
        <w:tc>
          <w:tcPr>
            <w:tcW w:w="36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3"/>
              </w:rPr>
              <w:t>(I.R.S. Employer</w:t>
            </w:r>
          </w:p>
        </w:tc>
      </w:tr>
      <w:tr>
        <w:trPr>
          <w:trHeight w:val="230"/>
        </w:trPr>
        <w:tc>
          <w:tcPr>
            <w:tcW w:w="4420" w:type="dxa"/>
            <w:vAlign w:val="bottom"/>
            <w:gridSpan w:val="3"/>
          </w:tcPr>
          <w:p>
            <w:pPr>
              <w:jc w:val="center"/>
              <w:ind w:right="800"/>
              <w:spacing w:after="0"/>
              <w:rPr>
                <w:sz w:val="20"/>
                <w:szCs w:val="20"/>
                <w:color w:val="auto"/>
              </w:rPr>
            </w:pPr>
            <w:r>
              <w:rPr>
                <w:rFonts w:ascii="Arial" w:cs="Arial" w:eastAsia="Arial" w:hAnsi="Arial"/>
                <w:sz w:val="18"/>
                <w:szCs w:val="18"/>
                <w:color w:val="auto"/>
                <w:w w:val="93"/>
              </w:rPr>
              <w:t>of incorporation)</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454"/>
        </w:trPr>
        <w:tc>
          <w:tcPr>
            <w:tcW w:w="4420" w:type="dxa"/>
            <w:vAlign w:val="bottom"/>
            <w:gridSpan w:val="3"/>
          </w:tcPr>
          <w:p>
            <w:pPr>
              <w:jc w:val="center"/>
              <w:ind w:left="1010"/>
              <w:spacing w:after="0"/>
              <w:rPr>
                <w:sz w:val="20"/>
                <w:szCs w:val="20"/>
                <w:color w:val="auto"/>
              </w:rPr>
            </w:pPr>
            <w:r>
              <w:rPr>
                <w:rFonts w:ascii="Arial" w:cs="Arial" w:eastAsia="Arial" w:hAnsi="Arial"/>
                <w:sz w:val="18"/>
                <w:szCs w:val="18"/>
                <w:b w:val="1"/>
                <w:bCs w:val="1"/>
                <w:color w:val="auto"/>
                <w:w w:val="90"/>
              </w:rPr>
              <w:t>300 One Kendall Square, 3</w:t>
            </w:r>
            <w:r>
              <w:rPr>
                <w:rFonts w:ascii="Arial" w:cs="Arial" w:eastAsia="Arial" w:hAnsi="Arial"/>
                <w:sz w:val="29"/>
                <w:szCs w:val="29"/>
                <w:b w:val="1"/>
                <w:bCs w:val="1"/>
                <w:color w:val="auto"/>
                <w:w w:val="90"/>
                <w:vertAlign w:val="superscript"/>
              </w:rPr>
              <w:t>rd</w:t>
            </w:r>
            <w:r>
              <w:rPr>
                <w:rFonts w:ascii="Arial" w:cs="Arial" w:eastAsia="Arial" w:hAnsi="Arial"/>
                <w:sz w:val="18"/>
                <w:szCs w:val="18"/>
                <w:b w:val="1"/>
                <w:bCs w:val="1"/>
                <w:color w:val="auto"/>
                <w:w w:val="90"/>
              </w:rPr>
              <w:t xml:space="preserve"> Floor</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41"/>
        </w:trPr>
        <w:tc>
          <w:tcPr>
            <w:tcW w:w="4420" w:type="dxa"/>
            <w:vAlign w:val="bottom"/>
            <w:tcBorders>
              <w:bottom w:val="single" w:sz="8" w:color="auto"/>
            </w:tcBorders>
            <w:gridSpan w:val="3"/>
          </w:tcPr>
          <w:p>
            <w:pPr>
              <w:jc w:val="center"/>
              <w:ind w:left="1030"/>
              <w:spacing w:after="0"/>
              <w:rPr>
                <w:sz w:val="20"/>
                <w:szCs w:val="20"/>
                <w:color w:val="auto"/>
              </w:rPr>
            </w:pPr>
            <w:r>
              <w:rPr>
                <w:rFonts w:ascii="Arial" w:cs="Arial" w:eastAsia="Arial" w:hAnsi="Arial"/>
                <w:sz w:val="18"/>
                <w:szCs w:val="18"/>
                <w:b w:val="1"/>
                <w:bCs w:val="1"/>
                <w:color w:val="auto"/>
                <w:w w:val="95"/>
              </w:rPr>
              <w:t>Cambridge, MA</w:t>
            </w:r>
          </w:p>
        </w:tc>
        <w:tc>
          <w:tcPr>
            <w:tcW w:w="11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600" w:type="dxa"/>
            <w:vAlign w:val="bottom"/>
            <w:tcBorders>
              <w:bottom w:val="single" w:sz="8" w:color="auto"/>
            </w:tcBorders>
          </w:tcPr>
          <w:p>
            <w:pPr>
              <w:jc w:val="right"/>
              <w:ind w:right="2430"/>
              <w:spacing w:after="0"/>
              <w:rPr>
                <w:sz w:val="20"/>
                <w:szCs w:val="20"/>
                <w:color w:val="auto"/>
              </w:rPr>
            </w:pPr>
            <w:r>
              <w:rPr>
                <w:rFonts w:ascii="Arial" w:cs="Arial" w:eastAsia="Arial" w:hAnsi="Arial"/>
                <w:sz w:val="18"/>
                <w:szCs w:val="18"/>
                <w:b w:val="1"/>
                <w:bCs w:val="1"/>
                <w:color w:val="auto"/>
              </w:rPr>
              <w:t>02139</w:t>
            </w:r>
          </w:p>
        </w:tc>
      </w:tr>
      <w:tr>
        <w:trPr>
          <w:trHeight w:val="230"/>
        </w:trPr>
        <w:tc>
          <w:tcPr>
            <w:tcW w:w="4420" w:type="dxa"/>
            <w:vAlign w:val="bottom"/>
            <w:gridSpan w:val="3"/>
          </w:tcPr>
          <w:p>
            <w:pPr>
              <w:jc w:val="center"/>
              <w:ind w:left="1010"/>
              <w:spacing w:after="0"/>
              <w:rPr>
                <w:sz w:val="20"/>
                <w:szCs w:val="20"/>
                <w:color w:val="auto"/>
              </w:rPr>
            </w:pPr>
            <w:r>
              <w:rPr>
                <w:rFonts w:ascii="Arial" w:cs="Arial" w:eastAsia="Arial" w:hAnsi="Arial"/>
                <w:sz w:val="18"/>
                <w:szCs w:val="18"/>
                <w:color w:val="auto"/>
                <w:w w:val="92"/>
              </w:rPr>
              <w:t>(Address of principal executive offices)</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ind w:right="1790"/>
              <w:spacing w:after="0"/>
              <w:rPr>
                <w:sz w:val="20"/>
                <w:szCs w:val="20"/>
                <w:color w:val="auto"/>
              </w:rPr>
            </w:pPr>
            <w:r>
              <w:rPr>
                <w:rFonts w:ascii="Arial" w:cs="Arial" w:eastAsia="Arial" w:hAnsi="Arial"/>
                <w:sz w:val="18"/>
                <w:szCs w:val="18"/>
                <w:color w:val="auto"/>
                <w:w w:val="94"/>
              </w:rPr>
              <w:t>(Zip Code)</w:t>
            </w:r>
          </w:p>
        </w:tc>
      </w:tr>
    </w:tbl>
    <w:p>
      <w:pPr>
        <w:spacing w:after="0" w:line="18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(617) 401-4400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jc w:val="both"/>
        <w:ind w:firstLine="324"/>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170" w:lineRule="exact"/>
        <w:rPr>
          <w:sz w:val="24"/>
          <w:szCs w:val="24"/>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 pursuant to Rule 425 under the Securities Act (17 CFR 230.425)</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right="2480" w:hanging="8"/>
        <w:spacing w:after="0" w:line="498" w:lineRule="auto"/>
        <w:tabs>
          <w:tab w:leader="none" w:pos="66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Pre-commencements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44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Title of each class</w:t>
            </w:r>
          </w:p>
        </w:tc>
        <w:tc>
          <w:tcPr>
            <w:tcW w:w="25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Trading Symbols</w:t>
            </w:r>
          </w:p>
        </w:tc>
        <w:tc>
          <w:tcPr>
            <w:tcW w:w="426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16"/>
        </w:trPr>
        <w:tc>
          <w:tcPr>
            <w:tcW w:w="42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0"/>
              </w:rPr>
              <w:t>Common stock, par value $0.0001 per share</w:t>
            </w:r>
          </w:p>
        </w:tc>
        <w:tc>
          <w:tcPr>
            <w:tcW w:w="120" w:type="dxa"/>
            <w:vAlign w:val="bottom"/>
            <w:tcBorders>
              <w:top w:val="single" w:sz="8" w:color="CCEEFF"/>
            </w:tcBorders>
            <w:shd w:val="clear" w:color="auto" w:fill="CCEEFF"/>
          </w:tcPr>
          <w:p>
            <w:pPr>
              <w:spacing w:after="0"/>
              <w:rPr>
                <w:sz w:val="18"/>
                <w:szCs w:val="18"/>
                <w:color w:val="auto"/>
              </w:rPr>
            </w:pPr>
          </w:p>
        </w:tc>
        <w:tc>
          <w:tcPr>
            <w:tcW w:w="24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rPr>
              <w:t>GMTX</w:t>
            </w:r>
          </w:p>
        </w:tc>
        <w:tc>
          <w:tcPr>
            <w:tcW w:w="120" w:type="dxa"/>
            <w:vAlign w:val="bottom"/>
            <w:tcBorders>
              <w:top w:val="single" w:sz="8" w:color="CCEEFF"/>
            </w:tcBorders>
            <w:shd w:val="clear" w:color="auto" w:fill="CCEEFF"/>
          </w:tcPr>
          <w:p>
            <w:pPr>
              <w:spacing w:after="0"/>
              <w:rPr>
                <w:sz w:val="18"/>
                <w:szCs w:val="18"/>
                <w:color w:val="auto"/>
              </w:rPr>
            </w:pPr>
          </w:p>
        </w:tc>
        <w:tc>
          <w:tcPr>
            <w:tcW w:w="42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3"/>
              </w:rPr>
              <w:t>The Nasdaq Global Market</w:t>
            </w:r>
          </w:p>
        </w:tc>
      </w:tr>
    </w:tbl>
    <w:p>
      <w:pPr>
        <w:spacing w:after="0" w:line="202" w:lineRule="exact"/>
        <w:rPr>
          <w:sz w:val="24"/>
          <w:szCs w:val="24"/>
          <w:color w:val="auto"/>
        </w:rPr>
      </w:pPr>
    </w:p>
    <w:p>
      <w:pPr>
        <w:ind w:left="340" w:right="20" w:hanging="332"/>
        <w:spacing w:after="0" w:line="277" w:lineRule="auto"/>
        <w:tabs>
          <w:tab w:leader="none" w:pos="3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4"/>
          <w:szCs w:val="24"/>
          <w:color w:val="auto"/>
        </w:rPr>
      </w:pPr>
    </w:p>
    <w:p>
      <w:pPr>
        <w:ind w:left="340" w:hanging="332"/>
        <w:spacing w:after="0" w:line="277" w:lineRule="auto"/>
        <w:tabs>
          <w:tab w:leader="none" w:pos="34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588645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 w:name="page2"/>
    <w:bookmarkEnd w:id="1"/>
    <w:p>
      <w:pPr>
        <w:jc w:val="both"/>
        <w:ind w:left="1300" w:hanging="1295"/>
        <w:spacing w:after="0" w:line="282" w:lineRule="auto"/>
        <w:tabs>
          <w:tab w:leader="none" w:pos="128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April 12, 2021, Gemini Therapeutics, Inc. (the “Company”) announced that Samuel Barone, M.D. has been appointed to serve as the Company’s chief medical officer, effective immediately. Dr. Barone is succeeding Marc E. Uknis, M.D., F.A.C.S., who had departed the Chief Medical Officer position on April 11, 2021. Dr. Uknis will receive severance consistent with that described in his Employment Agreement with the Company and will continue to contribute to the Company in an advisory role for a period of time during the transition.</w:t>
      </w:r>
    </w:p>
    <w:p>
      <w:pPr>
        <w:spacing w:after="0" w:line="18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Dr. Barone joins the Company after most recently serving as co-Founder, Manager and Chief Medical Officer of Halodine, LLC, a company spun out of Veloce BioPharma. Prior to his role at Halodine, he held the role of Chief Medical Officer of Veloce BioPharma. Dr. Barone previously served as Senior Vice President at Adverum Biotechnologies (formerly Avalanche Biotechnologies). While at Avalanche Biotechnologies, Dr. Barone served as Chief Medical Officer. Before joining Avalanche Biotechnologies, Dr. Barone served as a Medical Officer in the Office of Cellular, Tissue and Gene Therapies at the U.S. Food and Drug Administration (FDA). Dr. Barone earned his B.S. in biology from Boston College and his M.D. from the Pennsylvania State University College of Medicine. After obtaining his medical degree, Dr. Barone served as a flight surgeon in the United States Air Force serving active duty at Andrews Air Force Base and at bases in Korea, Afghanistan, and Iraq for which he received several military honors. Following his military service, Dr. Barone completed a residency in ophthalmology at the New York Eye and Ear Infirmary, where he served as Chief Resident, as well as a medical and surgical retina fellowship at the University of California, San Diego.</w:t>
      </w:r>
    </w:p>
    <w:p>
      <w:pPr>
        <w:spacing w:after="0" w:line="18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his employment, the Company entered into an employment agreement, dated March 24, 2021 (the “Employment Agreement”) which sets forth certain terms of Dr. Barone’s employment. There are no other arrangements or understandings between Dr. Barone and any other persons pursuant to which he was selected as the Company’s chief medical officer.</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Pursuant to the Employment Agreement, Dr. Barone serves as the Company’s Chief Medical Officer. The employment of Dr. Barone is “at will” and the agreement endures until terminated by either party.</w:t>
      </w:r>
    </w:p>
    <w:p>
      <w:pPr>
        <w:spacing w:after="0" w:line="17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Dr. Barone’s current annual base salary is $425,000, which is subject to periodic review and adjustment. Under the terms of the Employment Agreement, Dr. Barone is eligible to participate in any annual bonus programs as may be established from time to time by our board of directors or compensation committee. Under such bonus programs, Dr. Barone is eligible to receive an annual bonus targeted at 40% of his annual base salary. Dr. Barone is also entitled to an initial stock option grant of 255,212 shares from the Company’s 2021 Inducement Plan, as approved by the Company’s Compensation Committee on April 12, 2021, which shall vest and become exercisable 25% of the shares vesting on the one-year anniversary of the Vesting Start Date, and the remainder vesting ratably on a quarterly basis over the follow 12 quarters, subject to continued employment. Further, pursuant to the Employment Agreement, Dr. Barone is also entitled to a signing bonus of $100,000 on the Company’s first regular payroll date following March 24, 2021.</w:t>
      </w:r>
    </w:p>
    <w:p>
      <w:pPr>
        <w:spacing w:after="0" w:line="16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the event Dr. Barone’s employment is terminated without “cause” (as such term is defined in his Employment Agreement) or he resigns for “good reason” (as such term is defined in his Employment Agreement), subject to his execution and non-revocation of a separation agreement and general release of claims in our favor, Dr. Barone is entitled to the following: (a) continuation of base salary for nine months, which we refer to as the Salary Continuation Period, (b) a pro rata portion of the Target Bonus (as such term is defined in his Employment Agreement); and (c) monthly COBRA premiums paid by us until the earlier of: (i) the end of the Salary Continuation Period; (ii) the date Dr. Barone becomes eligible for health insurance through another employer, or (iii) the cessation of Dr. Barone’s continuation rights under COBRA.</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jc w:val="both"/>
        <w:spacing w:after="0" w:line="291" w:lineRule="auto"/>
        <w:rPr>
          <w:sz w:val="20"/>
          <w:szCs w:val="20"/>
          <w:color w:val="auto"/>
        </w:rPr>
      </w:pPr>
      <w:r>
        <w:rPr>
          <w:rFonts w:ascii="Arial" w:cs="Arial" w:eastAsia="Arial" w:hAnsi="Arial"/>
          <w:sz w:val="16"/>
          <w:szCs w:val="16"/>
          <w:color w:val="auto"/>
        </w:rPr>
        <w:t>In the event Dr. Barone’s employment is terminated without cause or he resigns for good reason, in either event within the twelve month period immediate following a Change in Control (as such term is defined in his Employment Agreement), subject to his execution and non-revocation of a separation agreement, including a general release of claims in our favor, Dr. Barone is entitled to (a) a lump sum in cash equal to the sum of one times the sum of (i) Dr. Barone’s then current Base Salary plus (ii) Dr. Barone’s Target Bonus for the then-current year; (b) any then outstanding time-based equity awards shall accelerate and become fully vested as of the later of (i) the date of termination or (ii) the effective date of the separation agreement and release; and (c) monthly COBRA premiums paid by us until the earlier of: (i) the twelve (12) month anniversary of the date of termination; (ii) the date Dr. Barone becomes eligible for health insurance through another employer, or (iii) the cessation of Dr. Barone’s continuation rights under COBRA.</w:t>
      </w:r>
    </w:p>
    <w:p>
      <w:pPr>
        <w:spacing w:after="0" w:line="16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Dr. Barone has agreed to refrain from disclosing our confidential information during or at any time following his employment with us and from competing with us or soliciting our employees or customers during his employment and for twelve months following termination of his employment.</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The Company will file a copy of Dr. Barone’s Employment Agreement with its quarterly report on 10-Q for the period ended March 31,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Dr. Barone does not have any family relationships with any of the Company’s directors or executive officers.</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April 12, 2021, the Company issued a press release concerning the departure of Marc E. Uknis, M.D., F.A.C.S. and the appointment of Samuel Barone, M.D. as the Company’s Chief Medical Officer, effective immediately.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 copy of the related press release is being filed as Exhibit 99.1 to this Form 8-K and is incorporated herein by reference in its entirety.</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information contained in this Item 8.01 of this Current Report on Form 8-K (including Exhibit 99.1) is furnished pursuant to Item 8.01 of Form 8-K and shall not be deemed “filed” for purposes of Section 18 of the Securities Exchange Act of 1934, as amended (the “</w:t>
      </w:r>
      <w:r>
        <w:rPr>
          <w:rFonts w:ascii="Arial" w:cs="Arial" w:eastAsia="Arial" w:hAnsi="Arial"/>
          <w:sz w:val="18"/>
          <w:szCs w:val="18"/>
          <w:u w:val="single" w:color="auto"/>
          <w:color w:val="auto"/>
        </w:rPr>
        <w:t>Exchange Act</w:t>
      </w:r>
      <w:r>
        <w:rPr>
          <w:rFonts w:ascii="Arial" w:cs="Arial" w:eastAsia="Arial" w:hAnsi="Arial"/>
          <w:sz w:val="18"/>
          <w:szCs w:val="18"/>
          <w:color w:val="auto"/>
        </w:rPr>
        <w:t>”), or otherwise subject to the liabilities of that section, nor shall it be deemed to be incorporated by reference in any filing under the Securities Act of 1933, as amended, or under the Exchange Act, whether made before or after the date hereof, except as may be expressly set forth by specific reference in such filing to this Item 8.01 of this Current Report on Form 8-K.</w:t>
      </w:r>
    </w:p>
    <w:p>
      <w:pPr>
        <w:spacing w:after="0" w:line="18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25" w:lineRule="exact"/>
        <w:rPr>
          <w:sz w:val="20"/>
          <w:szCs w:val="20"/>
          <w:color w:val="auto"/>
        </w:rPr>
      </w:pPr>
    </w:p>
    <w:p>
      <w:pPr>
        <w:spacing w:after="0"/>
        <w:tabs>
          <w:tab w:leader="none" w:pos="90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5">
        <w:r>
          <w:rPr>
            <w:rFonts w:ascii="Arial" w:cs="Arial" w:eastAsia="Arial" w:hAnsi="Arial"/>
            <w:sz w:val="16"/>
            <w:szCs w:val="16"/>
            <w:u w:val="single" w:color="auto"/>
            <w:color w:val="0000EE"/>
          </w:rPr>
          <w:t>The Company’s Press Release, dated April 12,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Gemini Therapeutics, Inc.</w:t>
      </w:r>
    </w:p>
    <w:p>
      <w:pPr>
        <w:spacing w:after="0" w:line="229" w:lineRule="exact"/>
        <w:rPr>
          <w:sz w:val="20"/>
          <w:szCs w:val="20"/>
          <w:color w:val="auto"/>
        </w:rPr>
      </w:pPr>
    </w:p>
    <w:p>
      <w:pPr>
        <w:ind w:left="6760"/>
        <w:spacing w:after="0"/>
        <w:tabs>
          <w:tab w:leader="none" w:pos="7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Jason Meyenburg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9428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Name: Jason Meyenburg</w:t>
      </w:r>
    </w:p>
    <w:p>
      <w:pPr>
        <w:spacing w:after="0" w:line="23"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Title: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April 14, 2021</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2979420</wp:posOffset>
            </wp:positionH>
            <wp:positionV relativeFrom="paragraph">
              <wp:posOffset>154305</wp:posOffset>
            </wp:positionV>
            <wp:extent cx="1191260" cy="7797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191260" cy="779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Gemini Therapeutics Appoints Samuel Barone, M.D., as Chief Medical Officer</w:t>
      </w:r>
    </w:p>
    <w:p>
      <w:pPr>
        <w:spacing w:after="0" w:line="22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CAMBRIDGE, Mass. – April 12, 2021 </w:t>
      </w:r>
      <w:r>
        <w:rPr>
          <w:rFonts w:ascii="Arial" w:cs="Arial" w:eastAsia="Arial" w:hAnsi="Arial"/>
          <w:sz w:val="18"/>
          <w:szCs w:val="18"/>
          <w:color w:val="auto"/>
        </w:rPr>
        <w:t>– Gemini Therapeutics, Inc. (Nasdaq: GMTX), a clinical stage precision medicine company developing</w:t>
      </w:r>
      <w:r>
        <w:rPr>
          <w:rFonts w:ascii="Arial" w:cs="Arial" w:eastAsia="Arial" w:hAnsi="Arial"/>
          <w:sz w:val="18"/>
          <w:szCs w:val="18"/>
          <w:b w:val="1"/>
          <w:bCs w:val="1"/>
          <w:color w:val="auto"/>
        </w:rPr>
        <w:t xml:space="preserve"> </w:t>
      </w:r>
      <w:r>
        <w:rPr>
          <w:rFonts w:ascii="Arial" w:cs="Arial" w:eastAsia="Arial" w:hAnsi="Arial"/>
          <w:sz w:val="18"/>
          <w:szCs w:val="18"/>
          <w:color w:val="auto"/>
        </w:rPr>
        <w:t>innovative treatments for genetically defined age-related macular degeneration (AMD) and linked ocular disorders, today announced the appointment of Samuel Barone, M.D., as Gemini’s Chief Medical Officer, effective immediately.</w:t>
      </w:r>
    </w:p>
    <w:p>
      <w:pPr>
        <w:spacing w:after="0" w:line="1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thrilled to welcome Sam to Gemini as Chief Medical Officer, where he will bring his expertise as a board-certified ophthalmologist specializing in the treatment of retinal and macular diseases,” said Jason Meyenburg, Chief Executive Officer of Gemini Therapeutics. “As we continue to advance our clinical pipeline, we will benefit tremendously from his two-plus decades of clinical and development experience, as well as his deep understanding of the regulatory landscape, and skills as a vitreoretinal surgeon.”</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Dr. Barone joins Gemini Therapeutics after most recently serving as co-Founder, Manager and Chief Medical Officer of Halodine, LLC, a company spun out of Veloce BioPharma. Prior, he held the role of Chief Medical Officer of Veloce BioPharma. Dr. Barone previously served as Senior Vice President at Adverum Biotechnologies (formerly Avalanche Biotechnologies). While at Avalanche Biotechnologies, Dr. Barone served as Chief Medical Officer. Before joining Avalanche Biotechnologies, Dr. Barone served as a Medical Officer in the Office of Cellular, Tissue and Gene Therapies at the U.S. Food and Drug Administration (FDA).</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Dr. Barone received his B.S. in biology from Boston College and his M.D. from the Pennsylvania State University College of Medicine. After obtaining his medical degree, Dr. Barone served as a flight surgeon in the United States Air Force serving active duty at Andrews Air Force Base and at bases in Korea, Afghanistan, and Iraq for which he received several military honors. Following his military service, Dr. Barone completed a residency in ophthalmology at the New York Eye and Ear Infirmary, where he served as Chief Resident, as well as a medical and surgical retina fellowship at the University of California, San Diego.</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Dr. Barone is succeeding Marc E. Uknis, M.D., F.A.C.S., who will be pursuing other opportunities. Marc will continue to contribute to Gemini in an advisory role. “We extend our gratitude to Dr. Uknis for the pivotal role he played in advancing GEM103 into clinical development and helping transform Gemini into a publicly traded precision medicine company with a promising clinical pipeline,” continued Mr. Meyenburg.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Gemini Therapeutics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Gemini Therapeutics is a clinical stage precision medicine company developing novel therapeutic compounds to treat genetically defined age-related macular degeneration (AMD). Gemini’s lead candidate, GEM103, is a recombinant form of the human complement factor H protein (CFH), designed to address both complement hyperactivity and restore retinal health in patients with AMD. GEM103 is currently in a Phase 2a trial in dry AMD patients with a CFH risk variant. The company has generated a rich pipeline including recombinant proteins, gene therapies, and monoclonal antibodies.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3182620</wp:posOffset>
            </wp:positionH>
            <wp:positionV relativeFrom="page">
              <wp:posOffset>586105</wp:posOffset>
            </wp:positionV>
            <wp:extent cx="1191260" cy="7797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1191260" cy="779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For more information, visit www.geminitherapeutics.com.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Gemini’s Forward-Looking Statements</w:t>
      </w:r>
    </w:p>
    <w:p>
      <w:pPr>
        <w:spacing w:after="0" w:line="229"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Certain statements in this press release and the information incorporated herein by reference may constitute “forward-looking statements” for purposes of the federal securities laws. Our forward-looking statements include, but are not limited to, statements regarding our or our management team’s expectations, hopes, beliefs, intentions or strategies regarding the future, including those relating to the success, cost and timing of our product development activities and clinical trials, including our estimates regarding when data will be reported from ongoing clinical trials and the timing to commence future clinical trials, the potential attributes and benefits of our product candidates, including GEM103, our ability to obtain and maintain regulatory approval for our product candidates, our projected cash runway and our ability to obtain funding for our operations when needed. Forward-looking statements include statements relating to our management team’s expectations, hopes, beliefs, intentions or strategies regarding the future. In addition, any statements that refer to projections, forecasts or other characterizations of future events or circumstances, including any underlying assumptions, are forward-looking statements. The words “anticipate,” “believe,” “contemplate,” “continue,” “could,” “estimate,” “expect,” “intends,” “may,” “might,” “plan,” “possible,” “potential,” “predict,” “project,” “should,” “will,” “would” and similar expressions may identify forward-looking statements, but the absence of these words does not mean that a statement is not forward-looking. These forward-looking statements are based on current expectations and beliefs concerning future developments and their potential effects.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under the heading “Risk Factors” in the final proxy/prospectus for our recently completed business combination, and those that are included in any of our future filings with the SEC. Should one or more of these risks or uncertainties materialize, or should any of our assumptions prove incorrect, actual results may vary in material respects from those projected in these forward-looking statements. Some of these risks and uncertainties may in the future be amplified by the COVID-19 pandemic and there may be additional risks that we consider immaterial, or which are unknown. It is not possible to predict or identify all such risks. Our forward-looking statements only speak as of the date they are made, and we do not undertake any obligation to update or revise any forward-looking statements, whether as a result of new information, future events or otherwise, except as may be required under applicable securities laws.</w:t>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Argot Partners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Sherri Spear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212-600-1902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gemini@argotpartners.com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Argot Partners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Joshua Mansbach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212-600-1902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gemini@argotpartners.com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2021-04-14T16:24:15Z</dcterms:created>
  <dcterms:modified xsi:type="dcterms:W3CDTF">2021-04-14T16:24:15Z</dcterms:modified>
</cp:coreProperties>
</file>