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2026, Disc Medicine, Inc. announced its financial results for the fourth quarter and fiscal year ended December 31, 2025 and provided a corporate update. A copy of the press release in connection with the announcement is being furnished as Exhibit 99.1 to this Current Report on Form 8-K.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Disc Medicine, Inc. on February 26, 2026, furnished herewith.</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1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00" w:type="dxa"/>
            <w:vAlign w:val="bottom"/>
          </w:tcPr>
          <w:p>
            <w:pPr>
              <w:spacing w:after="0"/>
              <w:rPr>
                <w:sz w:val="20"/>
                <w:szCs w:val="20"/>
                <w:color w:val="auto"/>
              </w:rPr>
            </w:pP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2026</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9169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Disc Medicine Reports Fourth Quarter and Full Year 2025 Financial Results and Provides Business Update</w:t>
      </w:r>
    </w:p>
    <w:p>
      <w:pPr>
        <w:spacing w:after="0" w:line="217" w:lineRule="exact"/>
        <w:rPr>
          <w:sz w:val="20"/>
          <w:szCs w:val="20"/>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a traditional approval path for bitopertin in erythropoietic protoporphyria (EPP); Phase 3 APOLLO study is expected to complete enrollment in March 2026 with topline data expected in Q4 2026</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data from Phase 2 study of DISC-0974 in patients with anemia of myelofibrosis (MF) presented at the American Society of Hematology (ASH) conference demonstrating meaningful overall anemia responses across all patient subgroups, regardless of baseline transfusion status or concomitant JAK inhibitor therapy use</w:t>
      </w:r>
    </w:p>
    <w:p>
      <w:pPr>
        <w:spacing w:after="0" w:line="65"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Progressing ongoing Phase 2 study of DISC-3405 in polycythemia vera (PV) and initiated a Phase 1b study of DISC-3405 in sickle cell disease (SCD) in Q4 2025, with data from both studies expected in 2H 2026</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Q4 with approximately $791 million in cash, cash equivalents, and marketable securities, providing runway into 2029</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February 26, 2026 – Disc Medicine, Inc. (NASDAQ:IRON), a clinical-stage biopharmaceutical company focused on the discovery, development, and commercialization of novel treatments for patients suffering from serious hematologic diseases, today reported financial results for the fourth quarter and full year ended December 31, 2025, and provided a review of recent program and corporate developments.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confident in the bitopertin program and the Phase 3 APOLLO study. We are fully committed to working closely with the FDA to position bitopertin for approval following the completion of APOLLO at the end of the year,” said John Quisel, J.D., Ph.D., Chief Executive Officer and President of Disc. “At the same time, our broader pipeline continues to deliver meaningful momentum. DISC-0974 generated powerful data in MF anemia that further reinforces its potential to transform the treatment landscape and we look forward to providing additional updates later this year. We are also excited about DISC-3405 with first in-patient data in both polycythemia vera and sickle cell disease expected later this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Complete Response Letter (CRL) from the US Food and Drug Administration (FDA) in February 2026 related to sufficiency of evidence of association between percent change in PPIX and sunlight exposure-based endpoints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Phase 3 APOLLO clinical trial of bitopertin in adults and adolescents with EPP, with topline data expected Q4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APOLLO, expect to submit a response to the CRL and receive an FDA decision by mid-2027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21"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data from Phase 2 RALLY-MF trial of DISC-0974 in patients with anemia of myelofibrosis (MF) presented at ASH Annual Meeting in December</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oPositive, durable benefits on hemoglobin and transfusion burden in anemia of MF across a broad range of patients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Demonstrated efficacy regardless of concomitant JAK inhibitor use, setting up for utilization across all anemic MF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study in patients with inflammatory bowel disease (IBD) and anemia initiated in Q1 2026 with initial data expected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ongoing Phase 2 study in patients with polycythemia vera with initial data expected in 2H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1b study in sickle cell disease in Q4 2025 with initial data expected in 2H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2025 Financial Results: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$791.2 million as of December 31, 2025, compared to $489.9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2024. The increase was largely due to net proceeds of $454.4 million from underwritten offerings in January and October 2025, partially offset by cash utilized in operating activities. We expect that our existing cash, cash equivalents, and marketable securities as of December 31, 2025 will be sufficient to fund operational plans into 2029.</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$170.6 million for the full year ended December 31,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$96.7 million for the full year ended December 31, 2024. The increase in R&amp;D expenses was primarily driven by the progression of Disc's portfolio, including bitopertin's clinical studies and drug manufacturing, the advancement of the DISC-0974 program, and increased headcount, as well as $23.0 million in payments related to the achievement of development milestones.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$65.4 million for the full year ended December 31,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$33.0 million for the full year ended December 31, 2024. The increase in SG&amp;A expenses was primarily due to increased headcount including establishing infrastructure to support potential commercialization.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$212.2 million for the full year ended December 31, 2025, as compared to $109.4 million for the full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traditional approval, the potential for the APOLLO clinical trial to serve as the basis for any such approval, and the timing of any such approval, if granted; anticipated discussions with regulatory agencies;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wp:posOffset>
            </wp:positionV>
            <wp:extent cx="2991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170,640</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96,671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65,382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33,049</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129,720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120" w:type="dxa"/>
            <w:vAlign w:val="bottom"/>
          </w:tcPr>
          <w:p>
            <w:pPr>
              <w:spacing w:after="0"/>
              <w:rPr>
                <w:sz w:val="18"/>
                <w:szCs w:val="18"/>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(129,720)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(91,125)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2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316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(212,184)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(109,357)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(76,429)</w:t>
            </w:r>
          </w:p>
        </w:tc>
      </w:tr>
      <w:tr>
        <w:trPr>
          <w:trHeight w:val="20"/>
        </w:trPr>
        <w:tc>
          <w:tcPr>
            <w:tcW w:w="3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3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(3.96)</w:t>
            </w: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(3.42)</w:t>
            </w:r>
          </w:p>
        </w:tc>
      </w:tr>
      <w:tr>
        <w:trPr>
          <w:trHeight w:val="197"/>
        </w:trPr>
        <w:tc>
          <w:tcPr>
            <w:tcW w:w="640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35,295,663</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27,606,022</w:t>
            </w: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22,315,877</w:t>
            </w:r>
          </w:p>
        </w:tc>
        <w:tc>
          <w:tcPr>
            <w:tcW w:w="120" w:type="dxa"/>
            <w:vAlign w:val="bottom"/>
            <w:tcBorders>
              <w:top w:val="single" w:sz="8" w:color="CFF0FC"/>
            </w:tcBorders>
          </w:tcPr>
          <w:p>
            <w:pPr>
              <w:spacing w:after="0"/>
              <w:rPr>
                <w:sz w:val="17"/>
                <w:szCs w:val="17"/>
                <w:color w:val="auto"/>
              </w:rPr>
            </w:pPr>
          </w:p>
        </w:tc>
      </w:tr>
      <w:tr>
        <w:trPr>
          <w:trHeight w:val="20"/>
        </w:trPr>
        <w:tc>
          <w:tcPr>
            <w:tcW w:w="3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3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DISC MEDICINE, INC.</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7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3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9"/>
        </w:trPr>
        <w:tc>
          <w:tcPr>
            <w:tcW w:w="3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3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791,152</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489,881</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2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2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-3754120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-3754120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-3754120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-3188335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-3188335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-3188335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-2879725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-2862580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-2879725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-2862580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-2862580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-1319530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-1036320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2026-02-26T07:44:12Z</dcterms:created>
  <dcterms:modified xsi:type="dcterms:W3CDTF">2026-02-26T07:44:12Z</dcterms:modified>
</cp:coreProperties>
</file>