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Lauder Scott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GEMINI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300 ONE KENDALL SQUARE,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Gemini Therapeutics, Inc. /DE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GMTX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60"/>
            <w:col w:w="3280" w:space="5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14.21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272,615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272,615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272,615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-2552065</wp:posOffset>
            </wp:positionV>
            <wp:extent cx="7034530" cy="2689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68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and become exercisable over a period of four years from the Vesting Start Date, February 23, 2021 with 25% vesting on the one year anniversary of the Vesting Start Date, and the remainder vesting over a period of 36 months thereafter, provided that as of each such date the Grantee remains in a business relationship with the Company.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Jason Meyenburg,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3157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2021-02-25T16:21:38Z</dcterms:created>
  <dcterms:modified xsi:type="dcterms:W3CDTF">2021-02-25T16:21:38Z</dcterms:modified>
</cp:coreProperties>
</file>