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603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0318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789"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Savage William Jacob</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Disc Medicine,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53"/>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87" w:lineRule="exact"/>
        <w:rPr>
          <w:sz w:val="24"/>
          <w:szCs w:val="24"/>
          <w:color w:val="auto"/>
        </w:rPr>
      </w:pPr>
    </w:p>
    <w:p>
      <w:pPr>
        <w:sectPr>
          <w:pgSz w:w="11900" w:h="16838" w:orient="portrait"/>
          <w:cols w:equalWidth="0" w:num="3">
            <w:col w:w="3180" w:space="720"/>
            <w:col w:w="3107" w:space="720"/>
            <w:col w:w="3353"/>
          </w:cols>
          <w:pgMar w:left="460" w:top="216" w:right="359" w:bottom="789"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02/03/2025</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0000FF"/>
                <w:w w:val="99"/>
              </w:rPr>
              <w:t>4,233</w:t>
            </w:r>
          </w:p>
        </w:tc>
        <w:tc>
          <w:tcPr>
            <w:tcW w:w="100" w:type="dxa"/>
            <w:vAlign w:val="bottom"/>
          </w:tcPr>
          <w:p>
            <w:pPr>
              <w:spacing w:after="0"/>
              <w:rPr>
                <w:sz w:val="22"/>
                <w:szCs w:val="22"/>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60" w:type="dxa"/>
            <w:vAlign w:val="bottom"/>
          </w:tcPr>
          <w:p>
            <w:pPr>
              <w:spacing w:after="0"/>
              <w:rPr>
                <w:sz w:val="22"/>
                <w:szCs w:val="22"/>
                <w:color w:val="auto"/>
              </w:rPr>
            </w:pP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44,638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02/03/2025</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0000FF"/>
                <w:w w:val="99"/>
              </w:rPr>
              <w:t>1,498</w:t>
            </w:r>
          </w:p>
        </w:tc>
        <w:tc>
          <w:tcPr>
            <w:tcW w:w="100" w:type="dxa"/>
            <w:vAlign w:val="bottom"/>
          </w:tcPr>
          <w:p>
            <w:pPr>
              <w:spacing w:after="0"/>
              <w:rPr>
                <w:sz w:val="22"/>
                <w:szCs w:val="22"/>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60" w:type="dxa"/>
            <w:vAlign w:val="bottom"/>
          </w:tcPr>
          <w:p>
            <w:pPr>
              <w:spacing w:after="0"/>
              <w:rPr>
                <w:sz w:val="22"/>
                <w:szCs w:val="22"/>
                <w:color w:val="auto"/>
              </w:rPr>
            </w:pP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46,136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02/10/2025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0000FF"/>
                <w:w w:val="91"/>
              </w:rPr>
              <w:t>24,000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70,136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02/03/2025</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4,233</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08/10/2030</w:t>
            </w:r>
          </w:p>
        </w:tc>
        <w:tc>
          <w:tcPr>
            <w:tcW w:w="6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4,233</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02/03/2025</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1,498</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10/22/2030</w:t>
            </w:r>
          </w:p>
        </w:tc>
        <w:tc>
          <w:tcPr>
            <w:tcW w:w="6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1,498</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54.71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02/10/2025</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36,000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02/09/2035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0000FF"/>
              </w:rPr>
              <w:t>36,000</w:t>
            </w:r>
          </w:p>
        </w:tc>
        <w:tc>
          <w:tcPr>
            <w:tcW w:w="60" w:type="dxa"/>
            <w:vAlign w:val="bottom"/>
          </w:tcPr>
          <w:p>
            <w:pPr>
              <w:spacing w:after="0"/>
              <w:rPr>
                <w:sz w:val="16"/>
                <w:szCs w:val="16"/>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36,000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Common Stock. The RSUs shall vest annually in four 25% installments commencing on February 15, 2026, subject to the Reporting Person's continued service on each such vesting date.</w:t>
      </w:r>
    </w:p>
    <w:p>
      <w:pPr>
        <w:spacing w:after="0" w:line="20" w:lineRule="exact"/>
        <w:rPr>
          <w:rFonts w:ascii="Times New Roman" w:cs="Times New Roman" w:eastAsia="Times New Roman" w:hAnsi="Times New Roman"/>
          <w:sz w:val="13"/>
          <w:szCs w:val="13"/>
          <w:color w:val="008000"/>
        </w:rPr>
      </w:pPr>
    </w:p>
    <w:p>
      <w:pPr>
        <w:ind w:left="40" w:right="1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August 3, 2021, with the remaining shares vesting in 36 equal monthly installments thereafter, subject to the Reporting Person's continued service on each such vesting date.</w:t>
      </w:r>
    </w:p>
    <w:p>
      <w:pPr>
        <w:spacing w:after="0" w:line="20" w:lineRule="exact"/>
        <w:rPr>
          <w:rFonts w:ascii="Times New Roman" w:cs="Times New Roman" w:eastAsia="Times New Roman" w:hAnsi="Times New Roman"/>
          <w:sz w:val="13"/>
          <w:szCs w:val="13"/>
          <w:color w:val="008000"/>
        </w:rPr>
      </w:pPr>
    </w:p>
    <w:p>
      <w:pPr>
        <w:ind w:left="40" w:right="4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2,140 shares underlying this option vested on August 3, 2021, with the remaining shares vesting in 38 equal monthly installments thereafter, subject to the Reporting Person's continued service on each such vesting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commencing on March 10, 2025, subject to the Reporting Person's continuted service on each such vesting date.</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By: /s/ Rahul Khara, as</w:t>
            </w:r>
          </w:p>
        </w:tc>
        <w:tc>
          <w:tcPr>
            <w:tcW w:w="6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02/12/2025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2025-02-12T17:34:53Z</dcterms:created>
  <dcterms:modified xsi:type="dcterms:W3CDTF">2025-02-12T17:34:53Z</dcterms:modified>
</cp:coreProperties>
</file>