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Savage William Jacob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WATERTOWN  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02472</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05/02/2025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2,100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50.1748</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66,398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by the Reporting Person were effected pursuant to a Rule 10b5-1 trading plan adopted on November 18, 2024.</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$50.06 to $50.21,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(2)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Rahul Khara,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05/06/2025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tcBorders>
              <w:top w:val="single" w:sz="8" w:color="auto"/>
            </w:tcBorders>
            <w:vMerge w:val="restart"/>
          </w:tcPr>
          <w:p>
            <w:pPr>
              <w:spacing w:after="0"/>
              <w:rPr>
                <w:sz w:val="7"/>
                <w:szCs w:val="7"/>
                <w:color w:val="auto"/>
              </w:rPr>
            </w:pPr>
          </w:p>
        </w:tc>
        <w:tc>
          <w:tcPr>
            <w:tcW w:w="4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1852"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2025-05-06T20:01:07Z</dcterms:created>
  <dcterms:modified xsi:type="dcterms:W3CDTF">2025-05-06T20:01:07Z</dcterms:modified>
</cp:coreProperties>
</file>