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Tananbaum James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7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83"/>
        <w:spacing w:after="0"/>
        <w:rPr>
          <w:sz w:val="20"/>
          <w:szCs w:val="20"/>
          <w:color w:val="auto"/>
        </w:rPr>
      </w:pPr>
      <w:r>
        <w:rPr>
          <w:rFonts w:ascii="Arial" w:cs="Arial" w:eastAsia="Arial" w:hAnsi="Arial"/>
          <w:sz w:val="20"/>
          <w:szCs w:val="20"/>
          <w:color w:val="0000FF"/>
        </w:rPr>
        <w:t>President &amp; CEO</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08/11/2020</w:t>
      </w:r>
    </w:p>
    <w:p>
      <w:pPr>
        <w:spacing w:after="0" w:line="200" w:lineRule="exact"/>
        <w:rPr>
          <w:sz w:val="24"/>
          <w:szCs w:val="24"/>
          <w:color w:val="auto"/>
        </w:rPr>
      </w:pPr>
    </w:p>
    <w:p>
      <w:pPr>
        <w:spacing w:after="0" w:line="253" w:lineRule="exact"/>
        <w:rPr>
          <w:sz w:val="24"/>
          <w:szCs w:val="24"/>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60" w:right="34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60"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5" w:lineRule="exact"/>
        <w:rPr>
          <w:sz w:val="24"/>
          <w:szCs w:val="24"/>
          <w:color w:val="auto"/>
        </w:rPr>
      </w:pPr>
    </w:p>
    <w:p>
      <w:pPr>
        <w:sectPr>
          <w:pgSz w:w="11900" w:h="16838" w:orient="portrait"/>
          <w:cols w:equalWidth="0" w:num="3">
            <w:col w:w="4277" w:space="720"/>
            <w:col w:w="3003" w:space="260"/>
            <w:col w:w="2680"/>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8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4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4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2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680" w:type="dxa"/>
            <w:vAlign w:val="bottom"/>
          </w:tcPr>
          <w:p>
            <w:pPr>
              <w:ind w:left="160"/>
              <w:spacing w:after="0"/>
              <w:rPr>
                <w:sz w:val="20"/>
                <w:szCs w:val="20"/>
                <w:color w:val="auto"/>
              </w:rPr>
            </w:pPr>
            <w:r>
              <w:rPr>
                <w:rFonts w:ascii="Arial" w:cs="Arial" w:eastAsia="Arial" w:hAnsi="Arial"/>
                <w:sz w:val="20"/>
                <w:szCs w:val="20"/>
                <w:color w:val="0000FF"/>
                <w:w w:val="96"/>
              </w:rPr>
              <w:t>Class A Common</w:t>
            </w:r>
          </w:p>
        </w:tc>
        <w:tc>
          <w:tcPr>
            <w:tcW w:w="1140" w:type="dxa"/>
            <w:vAlign w:val="bottom"/>
            <w:vMerge w:val="restart"/>
          </w:tcPr>
          <w:p>
            <w:pPr>
              <w:ind w:left="140"/>
              <w:spacing w:after="0"/>
              <w:rPr>
                <w:sz w:val="20"/>
                <w:szCs w:val="20"/>
                <w:color w:val="auto"/>
              </w:rPr>
            </w:pPr>
            <w:r>
              <w:rPr>
                <w:rFonts w:ascii="Arial" w:cs="Arial" w:eastAsia="Arial" w:hAnsi="Arial"/>
                <w:sz w:val="20"/>
                <w:szCs w:val="20"/>
                <w:color w:val="0000FF"/>
                <w:w w:val="89"/>
              </w:rPr>
              <w:t>3,018,750</w:t>
            </w:r>
            <w:r>
              <w:rPr>
                <w:rFonts w:ascii="Arial" w:cs="Arial" w:eastAsia="Arial" w:hAnsi="Arial"/>
                <w:sz w:val="25"/>
                <w:szCs w:val="25"/>
                <w:color w:val="008000"/>
                <w:w w:val="89"/>
                <w:vertAlign w:val="superscript"/>
              </w:rPr>
              <w:t>(2)</w:t>
            </w:r>
          </w:p>
        </w:tc>
        <w:tc>
          <w:tcPr>
            <w:tcW w:w="980" w:type="dxa"/>
            <w:vAlign w:val="bottom"/>
            <w:vMerge w:val="restart"/>
          </w:tcPr>
          <w:p>
            <w:pPr>
              <w:ind w:left="440"/>
              <w:spacing w:after="0"/>
              <w:rPr>
                <w:sz w:val="20"/>
                <w:szCs w:val="20"/>
                <w:color w:val="auto"/>
              </w:rPr>
            </w:pPr>
            <w:r>
              <w:rPr>
                <w:rFonts w:ascii="Arial" w:cs="Arial" w:eastAsia="Arial" w:hAnsi="Arial"/>
                <w:sz w:val="20"/>
                <w:szCs w:val="20"/>
                <w:color w:val="0000FF"/>
              </w:rPr>
              <w:t>0</w:t>
            </w:r>
          </w:p>
        </w:tc>
        <w:tc>
          <w:tcPr>
            <w:tcW w:w="940" w:type="dxa"/>
            <w:vAlign w:val="bottom"/>
            <w:vMerge w:val="restart"/>
          </w:tcPr>
          <w:p>
            <w:pPr>
              <w:ind w:left="36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(3)</w:t>
            </w:r>
          </w:p>
        </w:tc>
        <w:tc>
          <w:tcPr>
            <w:tcW w:w="1460" w:type="dxa"/>
            <w:vAlign w:val="bottom"/>
          </w:tcPr>
          <w:p>
            <w:pPr>
              <w:ind w:left="60"/>
              <w:spacing w:after="0"/>
              <w:rPr>
                <w:sz w:val="20"/>
                <w:szCs w:val="20"/>
                <w:color w:val="auto"/>
              </w:rPr>
            </w:pPr>
            <w:r>
              <w:rPr>
                <w:rFonts w:ascii="Arial" w:cs="Arial" w:eastAsia="Arial" w:hAnsi="Arial"/>
                <w:sz w:val="20"/>
                <w:szCs w:val="20"/>
                <w:color w:val="0000FF"/>
                <w:w w:val="94"/>
              </w:rPr>
              <w:t>See Explanation</w:t>
            </w:r>
          </w:p>
        </w:tc>
        <w:tc>
          <w:tcPr>
            <w:tcW w:w="0" w:type="dxa"/>
            <w:vAlign w:val="bottom"/>
          </w:tcPr>
          <w:p>
            <w:pPr>
              <w:spacing w:after="0"/>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80" w:type="dxa"/>
            <w:vAlign w:val="bottom"/>
            <w:vMerge w:val="restart"/>
          </w:tcPr>
          <w:p>
            <w:pPr>
              <w:ind w:left="640"/>
              <w:spacing w:after="0"/>
              <w:rPr>
                <w:sz w:val="20"/>
                <w:szCs w:val="20"/>
                <w:color w:val="auto"/>
              </w:rPr>
            </w:pPr>
            <w:r>
              <w:rPr>
                <w:rFonts w:ascii="Arial" w:cs="Arial" w:eastAsia="Arial" w:hAnsi="Arial"/>
                <w:sz w:val="20"/>
                <w:szCs w:val="20"/>
                <w:color w:val="0000FF"/>
              </w:rPr>
              <w:t>Stock</w:t>
            </w:r>
          </w:p>
        </w:tc>
        <w:tc>
          <w:tcPr>
            <w:tcW w:w="1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w w:val="96"/>
              </w:rPr>
              <w:t>of Responses</w:t>
            </w:r>
            <w:r>
              <w:rPr>
                <w:rFonts w:ascii="Arial" w:cs="Arial" w:eastAsia="Arial" w:hAnsi="Arial"/>
                <w:sz w:val="25"/>
                <w:szCs w:val="25"/>
                <w:color w:val="008000"/>
                <w:w w:val="96"/>
                <w:vertAlign w:val="superscript"/>
              </w:rPr>
              <w:t>(3)</w:t>
            </w:r>
          </w:p>
        </w:tc>
        <w:tc>
          <w:tcPr>
            <w:tcW w:w="0" w:type="dxa"/>
            <w:vAlign w:val="bottom"/>
          </w:tcPr>
          <w:p>
            <w:pPr>
              <w:spacing w:after="0"/>
              <w:rPr>
                <w:sz w:val="1"/>
                <w:szCs w:val="1"/>
                <w:color w:val="auto"/>
              </w:rPr>
            </w:pPr>
          </w:p>
        </w:tc>
      </w:tr>
      <w:tr>
        <w:trPr>
          <w:trHeight w:val="143"/>
        </w:trPr>
        <w:tc>
          <w:tcPr>
            <w:tcW w:w="2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 w:firstLine="5"/>
        <w:spacing w:after="0" w:line="241"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on a one-for-one basis, subject to adjustment for stock splits, stock capitalizations, reorganizations, recapitalizations and the like, and certain anti-dilution rights and have no expiration date.</w:t>
      </w:r>
    </w:p>
    <w:p>
      <w:pPr>
        <w:spacing w:after="0" w:line="35"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shares of Class B common stock owned by the Reporting Person includes up to 393,750 shares that are subject to forfeiture in the event the underwriters of the initial public offering of the issuer's securities do not exercise in full their over-allotment option as described in the issuer's registration statement.</w:t>
      </w:r>
    </w:p>
    <w:p>
      <w:pPr>
        <w:spacing w:after="0" w:line="26" w:lineRule="exact"/>
        <w:rPr>
          <w:rFonts w:ascii="Arial" w:cs="Arial" w:eastAsia="Arial" w:hAnsi="Arial"/>
          <w:sz w:val="15"/>
          <w:szCs w:val="15"/>
          <w:color w:val="008000"/>
        </w:rPr>
      </w:pPr>
    </w:p>
    <w:p>
      <w:pPr>
        <w:ind w:left="40" w:right="200" w:firstLine="5"/>
        <w:spacing w:after="0" w:line="260" w:lineRule="auto"/>
        <w:tabs>
          <w:tab w:leader="none" w:pos="19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FS Development Holdings, LLC is the record holder of the shares reported herein. Foresite Capital Management V, LLC ("FCM V"), as the general partner of Foresite Capital Fund V, L.P., the sole member of FS Development Holdings, LLC, has voting and investment discretion with respect to the common stock held of record by FS Development Holdings, LLC. Dr. Tananbaum, in his capacity as managing member of FCM V, may be deemed to have sole voting and investment discretion over these shares. Each of FCM V, its members and Dr. Tananbaum disclaim beneficial ownership of these shares except to the extent of any pecuniary interest therein.</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720"/>
        <w:spacing w:after="0" w:line="253" w:lineRule="auto"/>
        <w:rPr>
          <w:sz w:val="20"/>
          <w:szCs w:val="20"/>
          <w:color w:val="auto"/>
        </w:rPr>
      </w:pPr>
      <w:r>
        <w:rPr>
          <w:rFonts w:ascii="Arial" w:cs="Arial" w:eastAsia="Arial" w:hAnsi="Arial"/>
          <w:sz w:val="15"/>
          <w:szCs w:val="15"/>
          <w:color w:val="008000"/>
        </w:rPr>
        <w:t>This Amended Form 3 is being filed to reflect shares beneficially owned by Dr. Tananbaum that were erroneously omitted from the initial Form 3 filing and to reflect Dr. Tananbaums's status as a "10% Owner" in addition to "Director" and "Officer."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Dennis Ryan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08/19/2020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9"/>
              </w:rPr>
              <w:t>Attorney-in-Fact</w:t>
            </w:r>
          </w:p>
        </w:tc>
        <w:tc>
          <w:tcPr>
            <w:tcW w:w="7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81754"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2020-08-19T20:15:34Z</dcterms:created>
  <dcterms:modified xsi:type="dcterms:W3CDTF">2020-08-19T20:15:34Z</dcterms:modified>
</cp:coreProperties>
</file>