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2026</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19"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90"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7"/>
          <w:szCs w:val="17"/>
          <w:b w:val="1"/>
          <w:bCs w:val="1"/>
          <w:color w:val="auto"/>
        </w:rPr>
        <w:t>For the transition period from __________________ to __________________</w:t>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Commission File Number: 001-39438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97790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Disc Medicine, Inc.</w:t>
      </w:r>
    </w:p>
    <w:p>
      <w:pPr>
        <w:sectPr>
          <w:pgSz w:w="11900" w:h="16838" w:orient="portrait"/>
          <w:cols w:equalWidth="0" w:num="1">
            <w:col w:w="11240"/>
          </w:cols>
          <w:pgMar w:left="320" w:top="1288" w:right="339" w:bottom="1440" w:gutter="0" w:footer="0" w:header="0"/>
        </w:sectPr>
      </w:pPr>
    </w:p>
    <w:p>
      <w:pPr>
        <w:spacing w:after="0" w:line="5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2"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14"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1"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85-1612845</w:t>
      </w:r>
    </w:p>
    <w:p>
      <w:pPr>
        <w:spacing w:after="0" w:line="2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2" w:lineRule="exact"/>
        <w:rPr>
          <w:sz w:val="24"/>
          <w:szCs w:val="24"/>
          <w:color w:val="auto"/>
        </w:rPr>
      </w:pPr>
    </w:p>
    <w:p>
      <w:pPr>
        <w:sectPr>
          <w:pgSz w:w="11900" w:h="16838" w:orient="portrait"/>
          <w:cols w:equalWidth="0" w:num="2">
            <w:col w:w="7520" w:space="340"/>
            <w:col w:w="3380"/>
          </w:cols>
          <w:pgMar w:left="320" w:top="1288"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3960" w:type="dxa"/>
            <w:vAlign w:val="bottom"/>
          </w:tcPr>
          <w:p>
            <w:pPr>
              <w:jc w:val="center"/>
              <w:ind w:left="1579"/>
              <w:spacing w:after="0"/>
              <w:rPr>
                <w:sz w:val="20"/>
                <w:szCs w:val="20"/>
                <w:color w:val="auto"/>
              </w:rPr>
            </w:pPr>
            <w:r>
              <w:rPr>
                <w:rFonts w:ascii="Times New Roman" w:cs="Times New Roman" w:eastAsia="Times New Roman" w:hAnsi="Times New Roman"/>
                <w:sz w:val="17"/>
                <w:szCs w:val="17"/>
                <w:b w:val="1"/>
                <w:bCs w:val="1"/>
                <w:color w:val="auto"/>
              </w:rPr>
              <w:t>321 Arsenal Street, Suite 101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960" w:type="dxa"/>
            <w:vAlign w:val="bottom"/>
          </w:tcPr>
          <w:p>
            <w:pPr>
              <w:jc w:val="center"/>
              <w:ind w:left="1579"/>
              <w:spacing w:after="0"/>
              <w:rPr>
                <w:sz w:val="20"/>
                <w:szCs w:val="20"/>
                <w:color w:val="auto"/>
              </w:rPr>
            </w:pPr>
            <w:r>
              <w:rPr>
                <w:rFonts w:ascii="Times New Roman" w:cs="Times New Roman" w:eastAsia="Times New Roman" w:hAnsi="Times New Roman"/>
                <w:sz w:val="17"/>
                <w:szCs w:val="17"/>
                <w:b w:val="1"/>
                <w:bCs w:val="1"/>
                <w:color w:val="auto"/>
              </w:rPr>
              <w:t>Watertown, Massachusetts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920" w:type="dxa"/>
            <w:vAlign w:val="bottom"/>
          </w:tcPr>
          <w:p>
            <w:pPr>
              <w:jc w:val="right"/>
              <w:ind w:right="2521"/>
              <w:spacing w:after="0"/>
              <w:rPr>
                <w:sz w:val="20"/>
                <w:szCs w:val="20"/>
                <w:color w:val="auto"/>
              </w:rPr>
            </w:pPr>
            <w:r>
              <w:rPr>
                <w:rFonts w:ascii="Times New Roman" w:cs="Times New Roman" w:eastAsia="Times New Roman" w:hAnsi="Times New Roman"/>
                <w:sz w:val="17"/>
                <w:szCs w:val="17"/>
                <w:b w:val="1"/>
                <w:bCs w:val="1"/>
                <w:color w:val="auto"/>
              </w:rPr>
              <w:t>02472</w:t>
            </w:r>
          </w:p>
        </w:tc>
        <w:tc>
          <w:tcPr>
            <w:tcW w:w="0" w:type="dxa"/>
            <w:vAlign w:val="bottom"/>
          </w:tcPr>
          <w:p>
            <w:pPr>
              <w:spacing w:after="0"/>
              <w:rPr>
                <w:sz w:val="1"/>
                <w:szCs w:val="1"/>
                <w:color w:val="auto"/>
              </w:rPr>
            </w:pPr>
          </w:p>
        </w:tc>
      </w:tr>
      <w:tr>
        <w:trPr>
          <w:trHeight w:val="190"/>
        </w:trPr>
        <w:tc>
          <w:tcPr>
            <w:tcW w:w="7320" w:type="dxa"/>
            <w:vAlign w:val="bottom"/>
            <w:gridSpan w:val="8"/>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920" w:type="dxa"/>
            <w:vAlign w:val="bottom"/>
          </w:tcPr>
          <w:p>
            <w:pPr>
              <w:jc w:val="center"/>
              <w:ind w:right="162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51"/>
        </w:trPr>
        <w:tc>
          <w:tcPr>
            <w:tcW w:w="3960" w:type="dxa"/>
            <w:vAlign w:val="bottom"/>
          </w:tcPr>
          <w:p>
            <w:pPr>
              <w:spacing w:after="0"/>
              <w:rPr>
                <w:sz w:val="21"/>
                <w:szCs w:val="21"/>
                <w:color w:val="auto"/>
              </w:rPr>
            </w:pPr>
          </w:p>
        </w:tc>
        <w:tc>
          <w:tcPr>
            <w:tcW w:w="224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(617) 674-9274</w:t>
            </w:r>
          </w:p>
        </w:tc>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960" w:type="dxa"/>
            <w:vAlign w:val="bottom"/>
          </w:tcPr>
          <w:p>
            <w:pPr>
              <w:spacing w:after="0"/>
              <w:rPr>
                <w:sz w:val="20"/>
                <w:szCs w:val="20"/>
                <w:color w:val="auto"/>
              </w:rPr>
            </w:pPr>
          </w:p>
        </w:tc>
        <w:tc>
          <w:tcPr>
            <w:tcW w:w="3360" w:type="dxa"/>
            <w:vAlign w:val="bottom"/>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39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3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396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960" w:type="dxa"/>
            <w:vAlign w:val="bottom"/>
            <w:vMerge w:val="restart"/>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gridSpan w:val="4"/>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920" w:type="dxa"/>
            <w:vAlign w:val="bottom"/>
            <w:vMerge w:val="restart"/>
          </w:tcPr>
          <w:p>
            <w:pPr>
              <w:jc w:val="center"/>
              <w:ind w:right="1041"/>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4"/>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960" w:type="dxa"/>
            <w:vAlign w:val="bottom"/>
            <w:tcBorders>
              <w:top w:val="single" w:sz="8" w:color="auto"/>
            </w:tcBorders>
          </w:tcPr>
          <w:p>
            <w:pPr>
              <w:jc w:val="center"/>
              <w:ind w:left="259"/>
              <w:spacing w:after="0"/>
              <w:rPr>
                <w:sz w:val="20"/>
                <w:szCs w:val="20"/>
                <w:color w:val="auto"/>
              </w:rPr>
            </w:pPr>
            <w:r>
              <w:rPr>
                <w:rFonts w:ascii="Times New Roman" w:cs="Times New Roman" w:eastAsia="Times New Roman" w:hAnsi="Times New Roman"/>
                <w:sz w:val="17"/>
                <w:szCs w:val="17"/>
                <w:b w:val="1"/>
                <w:bCs w:val="1"/>
                <w:color w:val="auto"/>
              </w:rPr>
              <w:t>Common Stock, $0.0001 Par Value</w:t>
            </w:r>
          </w:p>
        </w:tc>
        <w:tc>
          <w:tcPr>
            <w:tcW w:w="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center"/>
              <w:ind w:right="24"/>
              <w:spacing w:after="0"/>
              <w:rPr>
                <w:sz w:val="20"/>
                <w:szCs w:val="20"/>
                <w:color w:val="auto"/>
              </w:rPr>
            </w:pPr>
            <w:r>
              <w:rPr>
                <w:rFonts w:ascii="Times New Roman" w:cs="Times New Roman" w:eastAsia="Times New Roman" w:hAnsi="Times New Roman"/>
                <w:sz w:val="17"/>
                <w:szCs w:val="17"/>
                <w:b w:val="1"/>
                <w:bCs w:val="1"/>
                <w:color w:val="auto"/>
                <w:w w:val="99"/>
              </w:rPr>
              <w:t>IRON</w:t>
            </w:r>
          </w:p>
        </w:tc>
        <w:tc>
          <w:tcPr>
            <w:tcW w:w="120" w:type="dxa"/>
            <w:vAlign w:val="bottom"/>
          </w:tcPr>
          <w:p>
            <w:pPr>
              <w:spacing w:after="0"/>
              <w:rPr>
                <w:sz w:val="19"/>
                <w:szCs w:val="19"/>
                <w:color w:val="auto"/>
              </w:rPr>
            </w:pPr>
          </w:p>
        </w:tc>
        <w:tc>
          <w:tcPr>
            <w:tcW w:w="1120" w:type="dxa"/>
            <w:vAlign w:val="bottom"/>
            <w:tcBorders>
              <w:top w:val="single" w:sz="8" w:color="auto"/>
            </w:tcBorders>
            <w:gridSpan w:val="2"/>
          </w:tcPr>
          <w:p>
            <w:pPr>
              <w:spacing w:after="0"/>
              <w:rPr>
                <w:sz w:val="19"/>
                <w:szCs w:val="19"/>
                <w:color w:val="auto"/>
              </w:rPr>
            </w:pPr>
          </w:p>
        </w:tc>
        <w:tc>
          <w:tcPr>
            <w:tcW w:w="3920" w:type="dxa"/>
            <w:vAlign w:val="bottom"/>
            <w:tcBorders>
              <w:top w:val="single" w:sz="8" w:color="auto"/>
            </w:tcBorders>
          </w:tcPr>
          <w:p>
            <w:pPr>
              <w:jc w:val="center"/>
              <w:ind w:right="1041"/>
              <w:spacing w:after="0"/>
              <w:rPr>
                <w:sz w:val="20"/>
                <w:szCs w:val="20"/>
                <w:color w:val="auto"/>
              </w:rPr>
            </w:pPr>
            <w:r>
              <w:rPr>
                <w:rFonts w:ascii="Times New Roman" w:cs="Times New Roman" w:eastAsia="Times New Roman" w:hAnsi="Times New Roman"/>
                <w:sz w:val="17"/>
                <w:szCs w:val="17"/>
                <w:b w:val="1"/>
                <w:bCs w:val="1"/>
                <w:color w:val="auto"/>
              </w:rPr>
              <w:t>The Nasdaq Global Market</w:t>
            </w:r>
          </w:p>
        </w:tc>
        <w:tc>
          <w:tcPr>
            <w:tcW w:w="0" w:type="dxa"/>
            <w:vAlign w:val="bottom"/>
          </w:tcPr>
          <w:p>
            <w:pPr>
              <w:spacing w:after="0"/>
              <w:rPr>
                <w:sz w:val="1"/>
                <w:szCs w:val="1"/>
                <w:color w:val="auto"/>
              </w:rPr>
            </w:pPr>
          </w:p>
        </w:tc>
      </w:tr>
    </w:tbl>
    <w:p>
      <w:pPr>
        <w:spacing w:after="0" w:line="35" w:lineRule="exact"/>
        <w:rPr>
          <w:sz w:val="24"/>
          <w:szCs w:val="24"/>
          <w:color w:val="auto"/>
        </w:rPr>
      </w:pPr>
    </w:p>
    <w:p>
      <w:pPr>
        <w:ind w:right="80" w:firstLine="599"/>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ind w:right="200" w:firstLine="599"/>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340" w:hanging="332"/>
        <w:spacing w:after="0" w:line="196" w:lineRule="exact"/>
        <w:tabs>
          <w:tab w:leader="none" w:pos="34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55" w:lineRule="exact"/>
        <w:rPr>
          <w:sz w:val="24"/>
          <w:szCs w:val="24"/>
          <w:color w:val="auto"/>
        </w:rPr>
      </w:pPr>
    </w:p>
    <w:p>
      <w:pPr>
        <w:jc w:val="both"/>
        <w:ind w:right="240" w:firstLine="599"/>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18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64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Accelerated filer</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03"/>
        </w:trPr>
        <w:tc>
          <w:tcPr>
            <w:tcW w:w="18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64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7"/>
        </w:trPr>
        <w:tc>
          <w:tcPr>
            <w:tcW w:w="18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Emerging growth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43" w:lineRule="exact"/>
        <w:rPr>
          <w:sz w:val="24"/>
          <w:szCs w:val="24"/>
          <w:color w:val="auto"/>
        </w:rPr>
      </w:pPr>
    </w:p>
    <w:p>
      <w:pPr>
        <w:jc w:val="both"/>
        <w:ind w:right="100" w:firstLine="599"/>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left="600" w:right="1740"/>
        <w:spacing w:after="0" w:line="25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October 29, 2026 there were 45,540,842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8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5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257"/>
        </w:trPr>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31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9"/>
              </w:rPr>
              <w:t>FORWARD LOOKING STATEMENTS</w:t>
            </w:r>
          </w:p>
        </w:tc>
        <w:tc>
          <w:tcPr>
            <w:tcW w:w="7300" w:type="dxa"/>
            <w:vAlign w:val="bottom"/>
            <w:gridSpan w:val="10"/>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22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RISK FACTOR SUMMARY</w:t>
            </w:r>
          </w:p>
        </w:tc>
        <w:tc>
          <w:tcPr>
            <w:tcW w:w="20" w:type="dxa"/>
            <w:vAlign w:val="bottom"/>
            <w:tcBorders>
              <w:bottom w:val="single" w:sz="8" w:color="0000EE"/>
            </w:tcBorders>
          </w:tcPr>
          <w:p>
            <w:pPr>
              <w:spacing w:after="0"/>
              <w:rPr>
                <w:sz w:val="17"/>
                <w:szCs w:val="17"/>
                <w:color w:val="auto"/>
              </w:rPr>
            </w:pPr>
          </w:p>
        </w:tc>
        <w:tc>
          <w:tcPr>
            <w:tcW w:w="818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41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2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2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800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or Quarterly Report, of Disc Medicine, Inc., or the Company, contains or incorporates statements that constitute forward-looking statements within the meaning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Quarterly Report on Form 10-Q may include, for example, statements about:</w:t>
      </w:r>
    </w:p>
    <w:p>
      <w:pPr>
        <w:spacing w:after="0" w:line="84" w:lineRule="exact"/>
        <w:rPr>
          <w:sz w:val="20"/>
          <w:szCs w:val="20"/>
          <w:color w:val="auto"/>
        </w:rPr>
      </w:pPr>
    </w:p>
    <w:p>
      <w:pPr>
        <w:jc w:val="both"/>
        <w:ind w:left="7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discover and develop product candidates;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manufacture our drug substances and product candidates for preclinical use, for clinical trials and on a larger scale for commercial use, if approved;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further develop and, if approved, commercialize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bitopertin and any of our other product candidates, and the timing of any such potential approvals;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our current and future debt obligations;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our product candidates, if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rising inflation and capital market disruptions, geopolitical conflicts, economic sanctions and economic slowdowns or recessions that may result from such developments which could harm our research and development efforts as well as the value of our common stock and our ability to access capital markets;</w:t>
      </w:r>
    </w:p>
    <w:p>
      <w:pPr>
        <w:spacing w:after="0" w:line="67"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changes in the policies or regulations of the U.S. Food and Drug Administration, or the FDA, or comparable foreign regulatory authorities regarding development, approval, and marketing of products; and</w:t>
      </w: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to us at the time of this Quarterly Report on Form 10-Q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Factors that could cause actual results to differ include, but are not limited to, those discussed in the section titled “Risk Factors” included within Item 1A of this Quarterly Report on Form 10-Q.</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believe are material to our investors can be found below under the heading “Item 1A. Risk Factors” and should be carefully considered, together with other information in this Quarterly Report on Form 10-Q and our other filings with the Securities and Exchange Commission, or SEC, before making an investment decision regarding our common stock.</w:t>
      </w:r>
    </w:p>
    <w:p>
      <w:pPr>
        <w:spacing w:after="0" w:line="75"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make it difficult for you to evaluate the success of our business to date and to assess our future viability.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and anticipate that we will continue to incur losses for the foreseeable future.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products approved for commercial sale and have not generated any revenue from product sales.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and any future indebtedness could adversely affect our ability to operate our business.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substantial additional funding. If we are unable to raise capital when needed or on terms acceptable to us, we may be forced to delay, reduce, or eliminate some of our product development programs or commercialization efforts.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progressed any product candidates other than bitopertin through a Phase 3 clinical trial and may be unable to successfully complete any additional clinical trials for any product candidates we develop. Certain of our programs are still in preclinical development and may never advance to clinical development.</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6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conducted and are currently conducting clinical trials for bitopertin, and may in the future conduct additional clinical trials of our product candidates, outside the United States, and the FDA and comparable foreign regulatory authorities may not accept data from such trials.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regulatory approvals for any of our product candidates, we will not be able to commercialize, or will be delayed in commercializing, such product candidates, and our ability to generate revenue will be materially impaired.</w:t>
      </w:r>
    </w:p>
    <w:p>
      <w:pPr>
        <w:spacing w:after="0" w:line="6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53"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opportunities for our product candidates are smaller than we estimate or if any regulatory approval that we obtain is based on a narrower definition of the patient population, our revenue and ability to achieve profitability could be materially adversely affected.</w:t>
      </w: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ind w:left="760" w:right="2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current product candidates or any future product candidates do not achieve broad market acceptance, the revenue that we generate from our sales may be limited, and we may never become profitable.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for our product candidates, as well as potential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realize the anticipated benefits of our current collaborations with Mabwell or NIH, or any other collaborations we enter into in the future.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obtain licenses or sublicenses to intellectual property rights in all markets on equally or sufficiently favorable terms with third parties.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approval of our product candidates in one jurisdiction does not mean that we will be successful in obtaining regulatory approval of our product candidates in other jurisdictions.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funding for the NIH, CMS, FDA, the SEC and other government agencies, including from government shut downs, or other disruptions to these agencies’ operations, including significant leadership, personnel, or policy changes,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executives and experienced scientists and to attract, retain, and motivate qualified personnel.</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political, trade or regulatory developments, unfavorable global economic conditions, and other circumstances beyond our control, could have a material adverse effect on our business, financial condition or results of operations.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has been, and may continue, to be volatile.</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will continue to incur increased costs and increased demands upon management as a result of complying with the laws and regulations affecting public companies.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section contains forward-looking statements. You should refer to the explanation of the qualifications and limitations on forward-looking statements beginning on page 1.</w:t>
      </w: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16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89,983</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592,833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14,589</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697,405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operating leases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699,488</w:t>
            </w:r>
          </w:p>
        </w:tc>
        <w:tc>
          <w:tcPr>
            <w:tcW w:w="3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external research and development expenses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accrued expenses</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11,756</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34,360</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59,745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95,238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16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 issued or</w:t>
            </w:r>
          </w:p>
        </w:tc>
        <w:tc>
          <w:tcPr>
            <w:tcW w:w="280" w:type="dxa"/>
            <w:vAlign w:val="bottom"/>
            <w:shd w:val="clear" w:color="auto" w:fill="CFF0FC"/>
          </w:tcPr>
          <w:p>
            <w:pPr>
              <w:spacing w:after="0"/>
              <w:rPr>
                <w:sz w:val="17"/>
                <w:szCs w:val="17"/>
                <w:color w:val="auto"/>
              </w:rPr>
            </w:pPr>
          </w:p>
        </w:tc>
        <w:tc>
          <w:tcPr>
            <w:tcW w:w="1880" w:type="dxa"/>
            <w:vAlign w:val="bottom"/>
            <w:gridSpan w:val="2"/>
            <w:vMerge w:val="restart"/>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7"/>
                <w:szCs w:val="17"/>
                <w:color w:val="auto"/>
              </w:rPr>
            </w:pPr>
          </w:p>
        </w:tc>
        <w:tc>
          <w:tcPr>
            <w:tcW w:w="16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716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as of September 30, 2026 and December 31, 2025</w:t>
            </w:r>
          </w:p>
        </w:tc>
        <w:tc>
          <w:tcPr>
            <w:tcW w:w="280" w:type="dxa"/>
            <w:vAlign w:val="bottom"/>
            <w:shd w:val="clear" w:color="auto" w:fill="CFF0FC"/>
          </w:tcPr>
          <w:p>
            <w:pPr>
              <w:spacing w:after="0"/>
              <w:rPr>
                <w:sz w:val="10"/>
                <w:szCs w:val="10"/>
                <w:color w:val="auto"/>
              </w:rPr>
            </w:pPr>
          </w:p>
        </w:tc>
        <w:tc>
          <w:tcPr>
            <w:tcW w:w="1880" w:type="dxa"/>
            <w:vAlign w:val="bottom"/>
            <w:gridSpan w:val="2"/>
            <w:vMerge w:val="continue"/>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6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160" w:type="dxa"/>
            <w:vAlign w:val="bottom"/>
            <w:vMerge w:val="continue"/>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71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as of September 30, 2026</w:t>
            </w: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December 31, 2025; 38,619,312 and 37,890,616 shares issued and outstanding as of</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September 30, 2026 and December 31, 2025, respectively</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1,299,773</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1,249,043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80" w:type="dxa"/>
            <w:vAlign w:val="bottom"/>
          </w:tcPr>
          <w:p>
            <w:pPr>
              <w:spacing w:after="0"/>
              <w:rPr>
                <w:sz w:val="18"/>
                <w:szCs w:val="18"/>
                <w:color w:val="auto"/>
              </w:rPr>
            </w:pPr>
          </w:p>
        </w:tc>
        <w:tc>
          <w:tcPr>
            <w:tcW w:w="1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(2,770)</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(692,757)</w:t>
            </w:r>
          </w:p>
        </w:tc>
        <w:tc>
          <w:tcPr>
            <w:tcW w:w="2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(510,186)</w:t>
            </w:r>
          </w:p>
        </w:tc>
        <w:tc>
          <w:tcPr>
            <w:tcW w:w="0" w:type="dxa"/>
            <w:vAlign w:val="bottom"/>
          </w:tcPr>
          <w:p>
            <w:pPr>
              <w:spacing w:after="0"/>
              <w:rPr>
                <w:sz w:val="1"/>
                <w:szCs w:val="1"/>
                <w:color w:val="auto"/>
              </w:rPr>
            </w:pPr>
          </w:p>
        </w:tc>
      </w:tr>
      <w:tr>
        <w:trPr>
          <w:trHeight w:val="210"/>
        </w:trPr>
        <w:tc>
          <w:tcPr>
            <w:tcW w:w="716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604,250</w:t>
            </w:r>
          </w:p>
        </w:tc>
        <w:tc>
          <w:tcPr>
            <w:tcW w:w="32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739,826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699,488</w:t>
            </w:r>
          </w:p>
        </w:tc>
        <w:tc>
          <w:tcPr>
            <w:tcW w:w="3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806,879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-3805555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-3248660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-3248660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-1833880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-316865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44,080</w:t>
            </w:r>
          </w:p>
        </w:tc>
        <w:tc>
          <w:tcPr>
            <w:tcW w:w="24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50,334</w:t>
            </w:r>
          </w:p>
        </w:tc>
        <w:tc>
          <w:tcPr>
            <w:tcW w:w="24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136,917</w:t>
            </w:r>
          </w:p>
        </w:tc>
        <w:tc>
          <w:tcPr>
            <w:tcW w:w="160" w:type="dxa"/>
            <w:vAlign w:val="bottom"/>
          </w:tcPr>
          <w:p>
            <w:pPr>
              <w:spacing w:after="0"/>
              <w:rPr>
                <w:sz w:val="18"/>
                <w:szCs w:val="18"/>
                <w:color w:val="auto"/>
              </w:rPr>
            </w:pPr>
          </w:p>
        </w:tc>
        <w:tc>
          <w:tcPr>
            <w:tcW w:w="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20,081</w:t>
            </w:r>
          </w:p>
        </w:tc>
        <w:tc>
          <w:tcPr>
            <w:tcW w:w="2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17,362</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61,843</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44,636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64,161</w:t>
            </w:r>
          </w:p>
        </w:tc>
        <w:tc>
          <w:tcPr>
            <w:tcW w:w="2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67,696</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(64,161)</w:t>
            </w:r>
          </w:p>
        </w:tc>
        <w:tc>
          <w:tcPr>
            <w:tcW w:w="5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(67,696)</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(198,760)</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(169,052)</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(1,714)</w:t>
            </w:r>
          </w:p>
        </w:tc>
        <w:tc>
          <w:tcPr>
            <w:tcW w:w="5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(917)</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(2,724)</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(expense) income</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5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240" w:type="dxa"/>
            <w:vAlign w:val="bottom"/>
            <w:tcBorders>
              <w:top w:val="single" w:sz="8" w:color="CFF0FC"/>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16,418</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17,672</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(59,426)</w:t>
            </w:r>
          </w:p>
        </w:tc>
        <w:tc>
          <w:tcPr>
            <w:tcW w:w="5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(62,219)</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(182,342)</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(151,380)</w:t>
            </w:r>
          </w:p>
        </w:tc>
        <w:tc>
          <w:tcPr>
            <w:tcW w:w="0" w:type="dxa"/>
            <w:vAlign w:val="bottom"/>
          </w:tcPr>
          <w:p>
            <w:pPr>
              <w:spacing w:after="0"/>
              <w:rPr>
                <w:sz w:val="1"/>
                <w:szCs w:val="1"/>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w:t>
            </w:r>
          </w:p>
        </w:tc>
        <w:tc>
          <w:tcPr>
            <w:tcW w:w="5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(59,535)</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(62,321)</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(182,571)</w:t>
            </w:r>
          </w:p>
        </w:tc>
        <w:tc>
          <w:tcPr>
            <w:tcW w:w="6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(151,653)</w:t>
            </w:r>
          </w:p>
        </w:tc>
        <w:tc>
          <w:tcPr>
            <w:tcW w:w="0" w:type="dxa"/>
            <w:vAlign w:val="bottom"/>
          </w:tcPr>
          <w:p>
            <w:pPr>
              <w:spacing w:after="0"/>
              <w:rPr>
                <w:sz w:val="1"/>
                <w:szCs w:val="1"/>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(1.53)</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w:t>
            </w:r>
          </w:p>
        </w:tc>
        <w:tc>
          <w:tcPr>
            <w:tcW w:w="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44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Weighted-average common shares outstanding, basic and</w:t>
            </w:r>
          </w:p>
        </w:tc>
        <w:tc>
          <w:tcPr>
            <w:tcW w:w="3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38,904,676</w:t>
            </w:r>
          </w:p>
        </w:tc>
        <w:tc>
          <w:tcPr>
            <w:tcW w:w="2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35,178,691</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38,695,405</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34,516,134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440" w:type="dxa"/>
            <w:vAlign w:val="bottom"/>
            <w:tcBorders>
              <w:bottom w:val="single" w:sz="8" w:color="CFF0FC"/>
            </w:tcBorders>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(59,535)</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(62,321)</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(182,571)</w:t>
            </w:r>
          </w:p>
        </w:tc>
        <w:tc>
          <w:tcPr>
            <w:tcW w:w="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(151,653)</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Unrealized (loss) gain on marketable securities</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(1,165)</w:t>
            </w: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(3,726)</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(1,162)</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(60,697)</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(61,876)</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(186,306)</w:t>
            </w:r>
          </w:p>
        </w:tc>
        <w:tc>
          <w:tcPr>
            <w:tcW w:w="6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(151,224)</w:t>
            </w: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-2999740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-2999740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-2999740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-2999740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-2159635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-2159635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-2159635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-2159635</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-1584960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-1584960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-1584960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-1584960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-1165225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-1148080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-1165225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-1148080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-1165225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-1148080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-1165225</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-1148080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-316865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-316865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-316865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-8255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-8255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spacing w:after="0"/>
              <w:rPr>
                <w:sz w:val="12"/>
                <w:szCs w:val="12"/>
                <w:color w:val="auto"/>
              </w:rPr>
            </w:pPr>
          </w:p>
        </w:tc>
        <w:tc>
          <w:tcPr>
            <w:tcW w:w="2080" w:type="dxa"/>
            <w:vAlign w:val="bottom"/>
            <w:gridSpan w:val="3"/>
            <w:vMerge w:val="restart"/>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80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ind w:right="289"/>
              <w:spacing w:after="0" w:line="12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ind w:right="109"/>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right="189"/>
              <w:spacing w:after="0" w:line="128"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2080" w:type="dxa"/>
            <w:vAlign w:val="bottom"/>
            <w:tcBorders>
              <w:bottom w:val="single" w:sz="8" w:color="auto"/>
            </w:tcBorders>
            <w:gridSpan w:val="3"/>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$0.0001 Par Value</w:t>
            </w:r>
          </w:p>
        </w:tc>
        <w:tc>
          <w:tcPr>
            <w:tcW w:w="3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210"/>
        </w:trPr>
        <w:tc>
          <w:tcPr>
            <w:tcW w:w="3800" w:type="dxa"/>
            <w:vAlign w:val="bottom"/>
          </w:tcPr>
          <w:p>
            <w:pPr>
              <w:spacing w:after="0"/>
              <w:rPr>
                <w:sz w:val="18"/>
                <w:szCs w:val="18"/>
                <w:color w:val="auto"/>
              </w:rPr>
            </w:pPr>
          </w:p>
        </w:tc>
        <w:tc>
          <w:tcPr>
            <w:tcW w:w="118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9"/>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118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37,890,616</w:t>
            </w:r>
          </w:p>
        </w:tc>
        <w:tc>
          <w:tcPr>
            <w:tcW w:w="10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1,249,043</w:t>
            </w: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965</w:t>
            </w: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(510,186)</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739,826</w:t>
            </w:r>
          </w:p>
        </w:tc>
        <w:tc>
          <w:tcPr>
            <w:tcW w:w="0" w:type="dxa"/>
            <w:vAlign w:val="bottom"/>
          </w:tcPr>
          <w:p>
            <w:pPr>
              <w:spacing w:after="0"/>
              <w:rPr>
                <w:sz w:val="1"/>
                <w:szCs w:val="1"/>
                <w:color w:val="auto"/>
              </w:rPr>
            </w:pPr>
          </w:p>
        </w:tc>
      </w:tr>
      <w:tr>
        <w:trPr>
          <w:trHeight w:val="193"/>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67,811</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1,010</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118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218,322</w:t>
            </w:r>
          </w:p>
        </w:tc>
        <w:tc>
          <w:tcPr>
            <w:tcW w:w="1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13,715</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687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687</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8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11,946</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11,946</w:t>
            </w:r>
          </w:p>
        </w:tc>
        <w:tc>
          <w:tcPr>
            <w:tcW w:w="0" w:type="dxa"/>
            <w:vAlign w:val="bottom"/>
          </w:tcPr>
          <w:p>
            <w:pPr>
              <w:spacing w:after="0"/>
              <w:rPr>
                <w:sz w:val="1"/>
                <w:szCs w:val="1"/>
                <w:color w:val="auto"/>
              </w:rPr>
            </w:pPr>
          </w:p>
        </w:tc>
      </w:tr>
      <w:tr>
        <w:trPr>
          <w:trHeight w:val="193"/>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8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marketable securities</w:t>
            </w:r>
          </w:p>
        </w:tc>
        <w:tc>
          <w:tcPr>
            <w:tcW w:w="118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(1,526)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(1,526)</w:t>
            </w:r>
          </w:p>
        </w:tc>
        <w:tc>
          <w:tcPr>
            <w:tcW w:w="0" w:type="dxa"/>
            <w:vAlign w:val="bottom"/>
          </w:tcPr>
          <w:p>
            <w:pPr>
              <w:spacing w:after="0"/>
              <w:rPr>
                <w:sz w:val="1"/>
                <w:szCs w:val="1"/>
                <w:color w:val="auto"/>
              </w:rPr>
            </w:pPr>
          </w:p>
        </w:tc>
      </w:tr>
      <w:tr>
        <w:trPr>
          <w:trHeight w:val="148"/>
        </w:trPr>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8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(63,504)</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(63,504)</w:t>
            </w:r>
          </w:p>
        </w:tc>
        <w:tc>
          <w:tcPr>
            <w:tcW w:w="0" w:type="dxa"/>
            <w:vAlign w:val="bottom"/>
          </w:tcPr>
          <w:p>
            <w:pPr>
              <w:spacing w:after="0"/>
              <w:rPr>
                <w:sz w:val="1"/>
                <w:szCs w:val="1"/>
                <w:color w:val="auto"/>
              </w:rPr>
            </w:pPr>
          </w:p>
        </w:tc>
      </w:tr>
      <w:tr>
        <w:trPr>
          <w:trHeight w:val="255"/>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118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38,190,464</w:t>
            </w:r>
          </w:p>
        </w:tc>
        <w:tc>
          <w:tcPr>
            <w:tcW w:w="900" w:type="dxa"/>
            <w:vAlign w:val="bottom"/>
            <w:tcBorders>
              <w:bottom w:val="single" w:sz="8" w:color="CFF0FC"/>
            </w:tcBorders>
            <w:gridSpan w:val="2"/>
            <w:shd w:val="clear" w:color="auto" w:fill="CFF0FC"/>
          </w:tcPr>
          <w:p>
            <w:pPr>
              <w:jc w:val="right"/>
              <w:ind w:right="653"/>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1,262,686</w:t>
            </w:r>
          </w:p>
        </w:tc>
        <w:tc>
          <w:tcPr>
            <w:tcW w:w="1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2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(573,690)</w:t>
            </w:r>
          </w:p>
        </w:tc>
        <w:tc>
          <w:tcPr>
            <w:tcW w:w="2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688,429</w:t>
            </w:r>
          </w:p>
        </w:tc>
        <w:tc>
          <w:tcPr>
            <w:tcW w:w="0" w:type="dxa"/>
            <w:vAlign w:val="bottom"/>
          </w:tcPr>
          <w:p>
            <w:pPr>
              <w:spacing w:after="0"/>
              <w:rPr>
                <w:sz w:val="1"/>
                <w:szCs w:val="1"/>
                <w:color w:val="auto"/>
              </w:rPr>
            </w:pPr>
          </w:p>
        </w:tc>
      </w:tr>
      <w:tr>
        <w:trPr>
          <w:trHeight w:val="173"/>
        </w:trPr>
        <w:tc>
          <w:tcPr>
            <w:tcW w:w="3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8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113,359</w:t>
            </w:r>
          </w:p>
        </w:tc>
        <w:tc>
          <w:tcPr>
            <w:tcW w:w="100" w:type="dxa"/>
            <w:vAlign w:val="bottom"/>
            <w:tcBorders>
              <w:top w:val="single" w:sz="8" w:color="CFF0FC"/>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2,356</w:t>
            </w:r>
          </w:p>
        </w:tc>
        <w:tc>
          <w:tcPr>
            <w:tcW w:w="10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2,356</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118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41,843</w:t>
            </w:r>
          </w:p>
        </w:tc>
        <w:tc>
          <w:tcPr>
            <w:tcW w:w="1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13,948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13,948</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18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3"/>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(1,035)</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8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8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(59,532)</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(59,532)</w:t>
            </w:r>
          </w:p>
        </w:tc>
        <w:tc>
          <w:tcPr>
            <w:tcW w:w="0" w:type="dxa"/>
            <w:vAlign w:val="bottom"/>
          </w:tcPr>
          <w:p>
            <w:pPr>
              <w:spacing w:after="0"/>
              <w:rPr>
                <w:sz w:val="1"/>
                <w:szCs w:val="1"/>
                <w:color w:val="auto"/>
              </w:rPr>
            </w:pPr>
          </w:p>
        </w:tc>
      </w:tr>
      <w:tr>
        <w:trPr>
          <w:trHeight w:val="186"/>
        </w:trPr>
        <w:tc>
          <w:tcPr>
            <w:tcW w:w="3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2026</w:t>
            </w: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38,345,666</w:t>
            </w:r>
          </w:p>
        </w:tc>
        <w:tc>
          <w:tcPr>
            <w:tcW w:w="900" w:type="dxa"/>
            <w:vAlign w:val="bottom"/>
            <w:gridSpan w:val="2"/>
          </w:tcPr>
          <w:p>
            <w:pPr>
              <w:jc w:val="right"/>
              <w:ind w:right="653"/>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1,278,990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(633,222)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644,164</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8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235,353</w:t>
            </w:r>
          </w:p>
        </w:tc>
        <w:tc>
          <w:tcPr>
            <w:tcW w:w="10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5,770</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5,770</w:t>
            </w:r>
          </w:p>
        </w:tc>
        <w:tc>
          <w:tcPr>
            <w:tcW w:w="0" w:type="dxa"/>
            <w:vAlign w:val="bottom"/>
          </w:tcPr>
          <w:p>
            <w:pPr>
              <w:spacing w:after="0"/>
              <w:rPr>
                <w:sz w:val="1"/>
                <w:szCs w:val="1"/>
                <w:color w:val="auto"/>
              </w:rPr>
            </w:pPr>
          </w:p>
        </w:tc>
      </w:tr>
      <w:tr>
        <w:trPr>
          <w:trHeight w:val="193"/>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30,880</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118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7,413</w:t>
            </w:r>
          </w:p>
        </w:tc>
        <w:tc>
          <w:tcPr>
            <w:tcW w:w="1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408</w:t>
            </w:r>
          </w:p>
        </w:tc>
        <w:tc>
          <w:tcPr>
            <w:tcW w:w="0" w:type="dxa"/>
            <w:vAlign w:val="bottom"/>
          </w:tcPr>
          <w:p>
            <w:pPr>
              <w:spacing w:after="0"/>
              <w:rPr>
                <w:sz w:val="1"/>
                <w:szCs w:val="1"/>
                <w:color w:val="auto"/>
              </w:rPr>
            </w:pPr>
          </w:p>
        </w:tc>
      </w:tr>
      <w:tr>
        <w:trPr>
          <w:trHeight w:val="193"/>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14,605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14,605</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18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3"/>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(1,165)</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18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(59,535)</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(59,535)</w:t>
            </w:r>
          </w:p>
        </w:tc>
        <w:tc>
          <w:tcPr>
            <w:tcW w:w="0" w:type="dxa"/>
            <w:vAlign w:val="bottom"/>
          </w:tcPr>
          <w:p>
            <w:pPr>
              <w:spacing w:after="0"/>
              <w:rPr>
                <w:sz w:val="1"/>
                <w:szCs w:val="1"/>
                <w:color w:val="auto"/>
              </w:rPr>
            </w:pPr>
          </w:p>
        </w:tc>
      </w:tr>
      <w:tr>
        <w:trPr>
          <w:trHeight w:val="20"/>
        </w:trPr>
        <w:tc>
          <w:tcPr>
            <w:tcW w:w="38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2026</w:t>
            </w: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38,619,312</w:t>
            </w:r>
          </w:p>
        </w:tc>
        <w:tc>
          <w:tcPr>
            <w:tcW w:w="100" w:type="dxa"/>
            <w:vAlign w:val="bottom"/>
          </w:tcPr>
          <w:p>
            <w:pPr>
              <w:spacing w:after="0"/>
              <w:rPr>
                <w:sz w:val="16"/>
                <w:szCs w:val="16"/>
                <w:color w:val="auto"/>
              </w:rPr>
            </w:pPr>
          </w:p>
        </w:tc>
        <w:tc>
          <w:tcPr>
            <w:tcW w:w="800" w:type="dxa"/>
            <w:vAlign w:val="bottom"/>
          </w:tcPr>
          <w:p>
            <w:pPr>
              <w:jc w:val="right"/>
              <w:ind w:right="653"/>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1,299,773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(692,757)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604,250</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-2108200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-2091055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-2108200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-2091055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-2108200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-2091055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-2108200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-2091055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-2108200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-2091055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-1302385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-1302385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-1302385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-1302385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-1302385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-170815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-170815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-170815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-170815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spacing w:after="0"/>
              <w:rPr>
                <w:sz w:val="12"/>
                <w:szCs w:val="12"/>
                <w:color w:val="auto"/>
              </w:rPr>
            </w:pPr>
          </w:p>
        </w:tc>
        <w:tc>
          <w:tcPr>
            <w:tcW w:w="2080" w:type="dxa"/>
            <w:vAlign w:val="bottom"/>
            <w:gridSpan w:val="3"/>
            <w:vMerge w:val="restart"/>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80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ind w:right="289"/>
              <w:spacing w:after="0" w:line="12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ind w:right="109"/>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right="189"/>
              <w:spacing w:after="0" w:line="128"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2080" w:type="dxa"/>
            <w:vAlign w:val="bottom"/>
            <w:tcBorders>
              <w:bottom w:val="single" w:sz="8" w:color="auto"/>
            </w:tcBorders>
            <w:gridSpan w:val="3"/>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$0.0001 Par Value</w:t>
            </w:r>
          </w:p>
        </w:tc>
        <w:tc>
          <w:tcPr>
            <w:tcW w:w="3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210"/>
        </w:trPr>
        <w:tc>
          <w:tcPr>
            <w:tcW w:w="3800" w:type="dxa"/>
            <w:vAlign w:val="bottom"/>
          </w:tcPr>
          <w:p>
            <w:pPr>
              <w:spacing w:after="0"/>
              <w:rPr>
                <w:sz w:val="18"/>
                <w:szCs w:val="18"/>
                <w:color w:val="auto"/>
              </w:rPr>
            </w:pPr>
          </w:p>
        </w:tc>
        <w:tc>
          <w:tcPr>
            <w:tcW w:w="118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9"/>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18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29,865,030</w:t>
            </w:r>
          </w:p>
        </w:tc>
        <w:tc>
          <w:tcPr>
            <w:tcW w:w="10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741,297</w:t>
            </w: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289</w:t>
            </w: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(298,002)</w:t>
            </w:r>
          </w:p>
        </w:tc>
        <w:tc>
          <w:tcPr>
            <w:tcW w:w="2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443,587</w:t>
            </w:r>
          </w:p>
        </w:tc>
        <w:tc>
          <w:tcPr>
            <w:tcW w:w="0" w:type="dxa"/>
            <w:vAlign w:val="bottom"/>
          </w:tcPr>
          <w:p>
            <w:pPr>
              <w:spacing w:after="0"/>
              <w:rPr>
                <w:sz w:val="1"/>
                <w:szCs w:val="1"/>
                <w:color w:val="auto"/>
              </w:rPr>
            </w:pPr>
          </w:p>
        </w:tc>
      </w:tr>
      <w:tr>
        <w:trPr>
          <w:trHeight w:val="193"/>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91,524</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575</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118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83,672</w:t>
            </w:r>
          </w:p>
        </w:tc>
        <w:tc>
          <w:tcPr>
            <w:tcW w:w="1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7,814</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38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Sale of common stock in underwritten offering,</w:t>
            </w:r>
          </w:p>
        </w:tc>
        <w:tc>
          <w:tcPr>
            <w:tcW w:w="118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4,533,182</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3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234,003</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234,003</w:t>
            </w:r>
          </w:p>
        </w:tc>
        <w:tc>
          <w:tcPr>
            <w:tcW w:w="0" w:type="dxa"/>
            <w:vAlign w:val="bottom"/>
          </w:tcPr>
          <w:p>
            <w:pPr>
              <w:spacing w:after="0"/>
              <w:rPr>
                <w:sz w:val="1"/>
                <w:szCs w:val="1"/>
                <w:color w:val="auto"/>
              </w:rPr>
            </w:pPr>
          </w:p>
        </w:tc>
      </w:tr>
      <w:tr>
        <w:trPr>
          <w:trHeight w:val="107"/>
        </w:trPr>
        <w:tc>
          <w:tcPr>
            <w:tcW w:w="380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of issuance costs of $15,321</w:t>
            </w:r>
          </w:p>
        </w:tc>
        <w:tc>
          <w:tcPr>
            <w:tcW w:w="118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32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6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0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800" w:type="dxa"/>
            <w:vAlign w:val="bottom"/>
            <w:vMerge w:val="continue"/>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0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38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Sale of pre-funded warrants in underwritten offering,</w:t>
            </w:r>
          </w:p>
        </w:tc>
        <w:tc>
          <w:tcPr>
            <w:tcW w:w="11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9,386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9,386</w:t>
            </w:r>
          </w:p>
        </w:tc>
        <w:tc>
          <w:tcPr>
            <w:tcW w:w="0" w:type="dxa"/>
            <w:vAlign w:val="bottom"/>
          </w:tcPr>
          <w:p>
            <w:pPr>
              <w:spacing w:after="0"/>
              <w:rPr>
                <w:sz w:val="1"/>
                <w:szCs w:val="1"/>
                <w:color w:val="auto"/>
              </w:rPr>
            </w:pPr>
          </w:p>
        </w:tc>
      </w:tr>
      <w:tr>
        <w:trPr>
          <w:trHeight w:val="107"/>
        </w:trPr>
        <w:tc>
          <w:tcPr>
            <w:tcW w:w="38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net of issuance costs of $615</w:t>
            </w: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8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8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6,363</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6,363</w:t>
            </w:r>
          </w:p>
        </w:tc>
        <w:tc>
          <w:tcPr>
            <w:tcW w:w="0" w:type="dxa"/>
            <w:vAlign w:val="bottom"/>
          </w:tcPr>
          <w:p>
            <w:pPr>
              <w:spacing w:after="0"/>
              <w:rPr>
                <w:sz w:val="1"/>
                <w:szCs w:val="1"/>
                <w:color w:val="auto"/>
              </w:rPr>
            </w:pPr>
          </w:p>
        </w:tc>
      </w:tr>
      <w:tr>
        <w:trPr>
          <w:trHeight w:val="148"/>
        </w:trPr>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118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8"/>
        </w:trPr>
        <w:tc>
          <w:tcPr>
            <w:tcW w:w="38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marketable securities</w:t>
            </w:r>
          </w:p>
        </w:tc>
        <w:tc>
          <w:tcPr>
            <w:tcW w:w="118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48"/>
        </w:trPr>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8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(34,085)</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(34,085)</w:t>
            </w:r>
          </w:p>
        </w:tc>
        <w:tc>
          <w:tcPr>
            <w:tcW w:w="0" w:type="dxa"/>
            <w:vAlign w:val="bottom"/>
          </w:tcPr>
          <w:p>
            <w:pPr>
              <w:spacing w:after="0"/>
              <w:rPr>
                <w:sz w:val="1"/>
                <w:szCs w:val="1"/>
                <w:color w:val="auto"/>
              </w:rPr>
            </w:pPr>
          </w:p>
        </w:tc>
      </w:tr>
      <w:tr>
        <w:trPr>
          <w:trHeight w:val="255"/>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18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34,581,222</w:t>
            </w:r>
          </w:p>
        </w:tc>
        <w:tc>
          <w:tcPr>
            <w:tcW w:w="900" w:type="dxa"/>
            <w:vAlign w:val="bottom"/>
            <w:tcBorders>
              <w:bottom w:val="single" w:sz="8" w:color="CFF0FC"/>
            </w:tcBorders>
            <w:gridSpan w:val="2"/>
            <w:shd w:val="clear" w:color="auto" w:fill="CFF0FC"/>
          </w:tcPr>
          <w:p>
            <w:pPr>
              <w:jc w:val="right"/>
              <w:ind w:right="657"/>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991,911</w:t>
            </w:r>
          </w:p>
        </w:tc>
        <w:tc>
          <w:tcPr>
            <w:tcW w:w="1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535</w:t>
            </w:r>
          </w:p>
        </w:tc>
        <w:tc>
          <w:tcPr>
            <w:tcW w:w="2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(332,087)</w:t>
            </w:r>
          </w:p>
        </w:tc>
        <w:tc>
          <w:tcPr>
            <w:tcW w:w="2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660,362</w:t>
            </w:r>
          </w:p>
        </w:tc>
        <w:tc>
          <w:tcPr>
            <w:tcW w:w="0" w:type="dxa"/>
            <w:vAlign w:val="bottom"/>
          </w:tcPr>
          <w:p>
            <w:pPr>
              <w:spacing w:after="0"/>
              <w:rPr>
                <w:sz w:val="1"/>
                <w:szCs w:val="1"/>
                <w:color w:val="auto"/>
              </w:rPr>
            </w:pPr>
          </w:p>
        </w:tc>
      </w:tr>
      <w:tr>
        <w:trPr>
          <w:trHeight w:val="173"/>
        </w:trPr>
        <w:tc>
          <w:tcPr>
            <w:tcW w:w="3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8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110,230</w:t>
            </w:r>
          </w:p>
        </w:tc>
        <w:tc>
          <w:tcPr>
            <w:tcW w:w="100" w:type="dxa"/>
            <w:vAlign w:val="bottom"/>
            <w:tcBorders>
              <w:top w:val="single" w:sz="8" w:color="CFF0FC"/>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892</w:t>
            </w:r>
          </w:p>
        </w:tc>
        <w:tc>
          <w:tcPr>
            <w:tcW w:w="10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892</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118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3,430</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8,420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8,420</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8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118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8"/>
        </w:trPr>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marketable securities</w:t>
            </w:r>
          </w:p>
        </w:tc>
        <w:tc>
          <w:tcPr>
            <w:tcW w:w="118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211"/>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18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(55,247)</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(55,247)</w:t>
            </w:r>
          </w:p>
        </w:tc>
        <w:tc>
          <w:tcPr>
            <w:tcW w:w="0" w:type="dxa"/>
            <w:vAlign w:val="bottom"/>
          </w:tcPr>
          <w:p>
            <w:pPr>
              <w:spacing w:after="0"/>
              <w:rPr>
                <w:sz w:val="1"/>
                <w:szCs w:val="1"/>
                <w:color w:val="auto"/>
              </w:rPr>
            </w:pPr>
          </w:p>
        </w:tc>
      </w:tr>
      <w:tr>
        <w:trPr>
          <w:trHeight w:val="191"/>
        </w:trPr>
        <w:tc>
          <w:tcPr>
            <w:tcW w:w="3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34,694,882</w:t>
            </w:r>
          </w:p>
        </w:tc>
        <w:tc>
          <w:tcPr>
            <w:tcW w:w="900" w:type="dxa"/>
            <w:vAlign w:val="bottom"/>
            <w:gridSpan w:val="2"/>
          </w:tcPr>
          <w:p>
            <w:pPr>
              <w:jc w:val="right"/>
              <w:ind w:right="657"/>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1,001,223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273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(387,334)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614,165</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8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128,482</w:t>
            </w:r>
          </w:p>
        </w:tc>
        <w:tc>
          <w:tcPr>
            <w:tcW w:w="10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1,531</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1,531</w:t>
            </w:r>
          </w:p>
        </w:tc>
        <w:tc>
          <w:tcPr>
            <w:tcW w:w="0" w:type="dxa"/>
            <w:vAlign w:val="bottom"/>
          </w:tcPr>
          <w:p>
            <w:pPr>
              <w:spacing w:after="0"/>
              <w:rPr>
                <w:sz w:val="1"/>
                <w:szCs w:val="1"/>
                <w:color w:val="auto"/>
              </w:rPr>
            </w:pPr>
          </w:p>
        </w:tc>
      </w:tr>
      <w:tr>
        <w:trPr>
          <w:trHeight w:val="149"/>
        </w:trPr>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118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14,514</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118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6,301</w:t>
            </w:r>
          </w:p>
        </w:tc>
        <w:tc>
          <w:tcPr>
            <w:tcW w:w="1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291</w:t>
            </w:r>
          </w:p>
        </w:tc>
        <w:tc>
          <w:tcPr>
            <w:tcW w:w="0" w:type="dxa"/>
            <w:vAlign w:val="bottom"/>
          </w:tcPr>
          <w:p>
            <w:pPr>
              <w:spacing w:after="0"/>
              <w:rPr>
                <w:sz w:val="1"/>
                <w:szCs w:val="1"/>
                <w:color w:val="auto"/>
              </w:rPr>
            </w:pPr>
          </w:p>
        </w:tc>
      </w:tr>
      <w:tr>
        <w:trPr>
          <w:trHeight w:val="126"/>
        </w:trPr>
        <w:tc>
          <w:tcPr>
            <w:tcW w:w="38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Sale of common stock in at-the-market offering,</w:t>
            </w:r>
          </w:p>
        </w:tc>
        <w:tc>
          <w:tcPr>
            <w:tcW w:w="11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162,457</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9,765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9,766</w:t>
            </w:r>
          </w:p>
        </w:tc>
        <w:tc>
          <w:tcPr>
            <w:tcW w:w="0" w:type="dxa"/>
            <w:vAlign w:val="bottom"/>
          </w:tcPr>
          <w:p>
            <w:pPr>
              <w:spacing w:after="0"/>
              <w:rPr>
                <w:sz w:val="1"/>
                <w:szCs w:val="1"/>
                <w:color w:val="auto"/>
              </w:rPr>
            </w:pPr>
          </w:p>
        </w:tc>
      </w:tr>
      <w:tr>
        <w:trPr>
          <w:trHeight w:val="107"/>
        </w:trPr>
        <w:tc>
          <w:tcPr>
            <w:tcW w:w="38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net of issuance costs of $302</w:t>
            </w: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8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8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9,514</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9,514</w:t>
            </w:r>
          </w:p>
        </w:tc>
        <w:tc>
          <w:tcPr>
            <w:tcW w:w="0" w:type="dxa"/>
            <w:vAlign w:val="bottom"/>
          </w:tcPr>
          <w:p>
            <w:pPr>
              <w:spacing w:after="0"/>
              <w:rPr>
                <w:sz w:val="1"/>
                <w:szCs w:val="1"/>
                <w:color w:val="auto"/>
              </w:rPr>
            </w:pPr>
          </w:p>
        </w:tc>
      </w:tr>
      <w:tr>
        <w:trPr>
          <w:trHeight w:val="193"/>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8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marketable securities</w:t>
            </w:r>
          </w:p>
        </w:tc>
        <w:tc>
          <w:tcPr>
            <w:tcW w:w="118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445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149"/>
        </w:trPr>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8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(62,321)</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(62,321)</w:t>
            </w:r>
          </w:p>
        </w:tc>
        <w:tc>
          <w:tcPr>
            <w:tcW w:w="0" w:type="dxa"/>
            <w:vAlign w:val="bottom"/>
          </w:tcPr>
          <w:p>
            <w:pPr>
              <w:spacing w:after="0"/>
              <w:rPr>
                <w:sz w:val="1"/>
                <w:szCs w:val="1"/>
                <w:color w:val="auto"/>
              </w:rPr>
            </w:pPr>
          </w:p>
        </w:tc>
      </w:tr>
      <w:tr>
        <w:trPr>
          <w:trHeight w:val="235"/>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118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35,006,636</w:t>
            </w:r>
          </w:p>
        </w:tc>
        <w:tc>
          <w:tcPr>
            <w:tcW w:w="900" w:type="dxa"/>
            <w:vAlign w:val="bottom"/>
            <w:tcBorders>
              <w:bottom w:val="single" w:sz="8" w:color="CFF0FC"/>
            </w:tcBorders>
            <w:gridSpan w:val="2"/>
            <w:shd w:val="clear" w:color="auto" w:fill="CFF0FC"/>
          </w:tcPr>
          <w:p>
            <w:pPr>
              <w:jc w:val="right"/>
              <w:ind w:right="657"/>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1,022,324</w:t>
            </w:r>
          </w:p>
        </w:tc>
        <w:tc>
          <w:tcPr>
            <w:tcW w:w="1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718</w:t>
            </w:r>
          </w:p>
        </w:tc>
        <w:tc>
          <w:tcPr>
            <w:tcW w:w="2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(449,655)</w:t>
            </w:r>
          </w:p>
        </w:tc>
        <w:tc>
          <w:tcPr>
            <w:tcW w:w="2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573,391</w:t>
            </w: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-2039620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-2022475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-2039620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-2022475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-2039620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-2022475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-2039620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-2022475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-2039620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-2022475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-1319530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-1319530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-1319530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-1319530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-1319530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-8255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-8255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2"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1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82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10"/>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(182,571)</w:t>
            </w:r>
          </w:p>
        </w:tc>
        <w:tc>
          <w:tcPr>
            <w:tcW w:w="6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(151,653)</w:t>
            </w:r>
          </w:p>
        </w:tc>
      </w:tr>
      <w:tr>
        <w:trPr>
          <w:trHeight w:val="216"/>
        </w:trPr>
        <w:tc>
          <w:tcPr>
            <w:tcW w:w="8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operations: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8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8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40,499</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24,297</w:t>
            </w:r>
          </w:p>
        </w:tc>
      </w:tr>
      <w:tr>
        <w:trPr>
          <w:trHeight w:val="216"/>
        </w:trPr>
        <w:tc>
          <w:tcPr>
            <w:tcW w:w="8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Amortization/accretion of investment securities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w:t>
            </w:r>
          </w:p>
        </w:tc>
      </w:tr>
      <w:tr>
        <w:trPr>
          <w:trHeight w:val="216"/>
        </w:trPr>
        <w:tc>
          <w:tcPr>
            <w:tcW w:w="8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Loss from initial consolidation of variable interest entity</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852</w:t>
            </w:r>
          </w:p>
        </w:tc>
      </w:tr>
      <w:tr>
        <w:trPr>
          <w:trHeight w:val="216"/>
        </w:trPr>
        <w:tc>
          <w:tcPr>
            <w:tcW w:w="8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Non-cash lease expense</w:t>
            </w:r>
          </w:p>
        </w:tc>
        <w:tc>
          <w:tcPr>
            <w:tcW w:w="30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399</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349</w:t>
            </w:r>
          </w:p>
        </w:tc>
      </w:tr>
      <w:tr>
        <w:trPr>
          <w:trHeight w:val="216"/>
        </w:trPr>
        <w:tc>
          <w:tcPr>
            <w:tcW w:w="8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832</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626</w:t>
            </w:r>
          </w:p>
        </w:tc>
      </w:tr>
      <w:tr>
        <w:trPr>
          <w:trHeight w:val="216"/>
        </w:trPr>
        <w:tc>
          <w:tcPr>
            <w:tcW w:w="8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non-cash items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(7,540)</w:t>
            </w:r>
          </w:p>
        </w:tc>
      </w:tr>
      <w:tr>
        <w:trPr>
          <w:trHeight w:val="216"/>
        </w:trPr>
        <w:tc>
          <w:tcPr>
            <w:tcW w:w="82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16"/>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external research and development expenses</w:t>
            </w:r>
          </w:p>
        </w:tc>
        <w:tc>
          <w:tcPr>
            <w:tcW w:w="30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4,870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564</w:t>
            </w:r>
          </w:p>
        </w:tc>
      </w:tr>
      <w:tr>
        <w:trPr>
          <w:trHeight w:val="216"/>
        </w:trPr>
        <w:tc>
          <w:tcPr>
            <w:tcW w:w="82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Other accrued expenses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2,436</w:t>
            </w:r>
          </w:p>
        </w:tc>
      </w:tr>
      <w:tr>
        <w:trPr>
          <w:trHeight w:val="216"/>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351</w:t>
            </w:r>
          </w:p>
        </w:tc>
      </w:tr>
      <w:tr>
        <w:trPr>
          <w:trHeight w:val="210"/>
        </w:trPr>
        <w:tc>
          <w:tcPr>
            <w:tcW w:w="8240" w:type="dxa"/>
            <w:vAlign w:val="bottom"/>
            <w:tcBorders>
              <w:bottom w:val="single" w:sz="8" w:color="CFF0FC"/>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(146,639)</w:t>
            </w:r>
          </w:p>
        </w:tc>
        <w:tc>
          <w:tcPr>
            <w:tcW w:w="1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(137,093)</w:t>
            </w:r>
          </w:p>
        </w:tc>
      </w:tr>
      <w:tr>
        <w:trPr>
          <w:trHeight w:val="209"/>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(304,973)</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(491,312)</w:t>
            </w:r>
          </w:p>
        </w:tc>
      </w:tr>
      <w:tr>
        <w:trPr>
          <w:trHeight w:val="216"/>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30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410,240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320,819</w:t>
            </w:r>
          </w:p>
        </w:tc>
      </w:tr>
      <w:tr>
        <w:trPr>
          <w:trHeight w:val="216"/>
        </w:trPr>
        <w:tc>
          <w:tcPr>
            <w:tcW w:w="82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10"/>
        </w:trPr>
        <w:tc>
          <w:tcPr>
            <w:tcW w:w="8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105,267</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(171,406)</w:t>
            </w:r>
          </w:p>
        </w:tc>
      </w:tr>
      <w:tr>
        <w:trPr>
          <w:trHeight w:val="210"/>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sale of common stock in underwritten offering, net of issuance costs paid</w:t>
            </w:r>
          </w:p>
        </w:tc>
        <w:tc>
          <w:tcPr>
            <w:tcW w:w="30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234,003</w:t>
            </w:r>
          </w:p>
        </w:tc>
      </w:tr>
      <w:tr>
        <w:trPr>
          <w:trHeight w:val="216"/>
        </w:trPr>
        <w:tc>
          <w:tcPr>
            <w:tcW w:w="8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sale of pre-funded warrants in underwritten offering, net of issuance costs paid</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9,386</w:t>
            </w:r>
          </w:p>
        </w:tc>
      </w:tr>
      <w:tr>
        <w:trPr>
          <w:trHeight w:val="216"/>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sale of common stock in at-the-market offerings, net of issuance costs paid</w:t>
            </w:r>
          </w:p>
        </w:tc>
        <w:tc>
          <w:tcPr>
            <w:tcW w:w="30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9,766</w:t>
            </w:r>
          </w:p>
        </w:tc>
      </w:tr>
      <w:tr>
        <w:trPr>
          <w:trHeight w:val="216"/>
        </w:trPr>
        <w:tc>
          <w:tcPr>
            <w:tcW w:w="8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long-term debt, net of issuance costs paid</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29,979</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30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9,136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2,998</w:t>
            </w:r>
          </w:p>
        </w:tc>
      </w:tr>
      <w:tr>
        <w:trPr>
          <w:trHeight w:val="216"/>
        </w:trPr>
        <w:tc>
          <w:tcPr>
            <w:tcW w:w="82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Contributions from employee stock purchase plan</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1,095</w:t>
            </w:r>
          </w:p>
        </w:tc>
        <w:tc>
          <w:tcPr>
            <w:tcW w:w="1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578</w:t>
            </w:r>
          </w:p>
        </w:tc>
      </w:tr>
      <w:tr>
        <w:trPr>
          <w:trHeight w:val="209"/>
        </w:trPr>
        <w:tc>
          <w:tcPr>
            <w:tcW w:w="8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40,210</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256,731</w:t>
            </w:r>
          </w:p>
        </w:tc>
      </w:tr>
      <w:tr>
        <w:trPr>
          <w:trHeight w:val="210"/>
        </w:trPr>
        <w:tc>
          <w:tcPr>
            <w:tcW w:w="8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(51,768)</w:t>
            </w:r>
          </w:p>
        </w:tc>
      </w:tr>
      <w:tr>
        <w:trPr>
          <w:trHeight w:val="216"/>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91,387</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192,672</w:t>
            </w:r>
          </w:p>
        </w:tc>
      </w:tr>
      <w:tr>
        <w:trPr>
          <w:trHeight w:val="249"/>
        </w:trPr>
        <w:tc>
          <w:tcPr>
            <w:tcW w:w="82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90,225</w:t>
            </w:r>
          </w:p>
        </w:tc>
        <w:tc>
          <w:tcPr>
            <w:tcW w:w="1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140,904</w:t>
            </w:r>
          </w:p>
        </w:tc>
      </w:tr>
      <w:tr>
        <w:trPr>
          <w:trHeight w:val="320"/>
        </w:trPr>
        <w:tc>
          <w:tcPr>
            <w:tcW w:w="8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24"/>
                <w:szCs w:val="24"/>
                <w:color w:val="auto"/>
              </w:rPr>
            </w:pPr>
          </w:p>
        </w:tc>
      </w:tr>
      <w:tr>
        <w:trPr>
          <w:trHeight w:val="173"/>
        </w:trPr>
        <w:tc>
          <w:tcPr>
            <w:tcW w:w="8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r>
      <w:tr>
        <w:trPr>
          <w:trHeight w:val="196"/>
        </w:trPr>
        <w:tc>
          <w:tcPr>
            <w:tcW w:w="8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10"/>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34"/>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2,425</w:t>
            </w:r>
          </w:p>
        </w:tc>
        <w:tc>
          <w:tcPr>
            <w:tcW w:w="6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-3028315</wp:posOffset>
            </wp:positionV>
            <wp:extent cx="1028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-2471420</wp:posOffset>
            </wp:positionV>
            <wp:extent cx="1028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-1356995</wp:posOffset>
            </wp:positionV>
            <wp:extent cx="1028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-782320</wp:posOffset>
            </wp:positionV>
            <wp:extent cx="1028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-765175</wp:posOffset>
            </wp:positionV>
            <wp:extent cx="1028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the Business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Disc Medicine, Inc. (together with its subsidiaries, the “Company”) is a clinical-stage biopharmaceutical company focused on the discovery, development, and commercialization of novel treatments for patients suffering from serious hematologic diseases. The Company has assembled a portfolio of clinical and preclinical product candidates that aim to modify fundamental biological pathways associated with the formation and function of red blood cells, specifically heme biosynthesis and iron homeostasis. The Company’s current pipeline includes bitopertin for the treatment of erythropoietic porphyrias (“EPs”) including erythropoietic protoporphyria (“EPP”) and X-linked protoporphyria (“XLP”); selcodebart (DISC-0974) for the treatment of anemia of myelofibrosis (“MF”) and anemia of inflammatory bowel disease ("IBD"); and DISC-3405 for the treatment of polycythemia vera (“PV”), sickle cell disease ("SCD"), and other hematologic disorders. In addition, the Company’s preclinical programs include DISC-0998 for the treatment of anemia associated with inflammatory diseases. The Company’s approach to product development leverages well-understood molecular mechanisms that have been validated in humans. The Company believes that each of its product candidates, if approved, has the potential to improve the lives of patients suffering from hematologic diseases. The Company was founded in October 2017. The Company’s principal offices are located in Watertown, Massachusetts.</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common to the biotechnology industry, including, but not limited to, risks associated with completing preclinical studies and clinical trials, receiving regulatory approvals for product candidates, development by competitors of new biopharmaceutical products, dependence on key personnel, reliance on third-party organizations, protection of proprietary technology, compliance with government regulations and the ability to secure additional capital to fund operations. The Company’s research and development programs require significant additional research and development efforts, including preclinical and clinical testing and regulatory approval, prior to commercialization. Even if the Company’s product development efforts are successful, it is uncertain when, if ever, the Company will realize revenue from product sales.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on the basis of the Company continuing as a going concern. The Company expects that its existing cash, cash equivalents and marketable securities as of September 30, 2026 of $682.8 million will enable the Company to fund its planned operating expense and capital expenditure requirements for at least twelve months from the date of issuance of these condensed consolidated financial statements. The Company has incurred recurring losses and negative cash flows from operations since inception. As of September 30, 2026, the Company had an accumulated deficit of $692.8 million. The Company expects its operating losses and negative operating cash flows to continue into the foreseeable future. The future viability of the Company is dependent on its ability to generate cash from operating activities or to raise additional capital to finance its operations. There can be no assurance that the Company will ever earn revenues or achieve profitability, or if achieved, that the revenues or profitability will be sustained on a continuing basis. In addition, the Company’s preclinical and clinical development activities, manufacturing and commercialization of the Company’s product candidates, if approved, may require significant additional financing.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 condensed consolidated financial statements are described in the Company’s audited consolidated financial statements as of and for the year ended December 31, 2025 and the notes thereto, which are included in the Company’s Annual Report on Form 10-K. There have been no material changes to the significant accounting policies previously disclosed in the Company’s Annual Report on Form 10-K for the year ended December 31,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wholly-owned subsidiaries. All intercompany transactions and balances have been eliminated in consolidation.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condensed consolidated financial statements are prepared in accordance with U.S. generally accepted accounting principles (“GAAP”). Any reference in these notes to applicable guidance is meant to refer to the authoritative accounting principles generally accepted in the United States as found in the Accounting Standard Codification (“ASC”) and Accounting Standards Updates (“ASU”) of the Financial Accounting Standards Board (“FASB”).</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as of September 30, 2026 and for the three and nine months ended September 30, 2026 and 2025 are unaudited. The financial data and other information contained in the notes hereto as of</w:t>
      </w: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September 30, 2026 and for the three and nine months ended September 30, 2026 and 2025 are also unaudited. The condensed consolidated balance sheet data as of December 31, 2025 was derived from the Company’s audited consolidated financial statements included in the Company’s Annual Report on Form 10-K.</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on the same basis as the audited annual consolidated financial statements, and in the opinion of management, reflect all adjustments, which include only normal recurring adjustments necessary for the fair presentation of the Company’s financial position as of September 30, 2026 and the results of its operations and cash flows for the three and nine months ended September 30, 2026 and 2025. These unaudited condensed consolidated financial statements should be read in conjunction with the audited consolidated financial statements as of and for the year ended December 31, 2025, and the notes thereto, included in the Company’s Annual Report on Form 10-K.</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for the three and nine months ended September 30, 2026 and 2025 are not necessarily indicative of results to be expected for the full years, or any other interim periods, or any future year or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requires management to make estimates and assumptions that affect the reported amounts of assets and liabilities and disclosure of contingent assets and liabilities at the date of the condensed consolidated financial statements and the reported amounts of expenses during the reporting period. Significant estimates and assumptions reflected in these condensed consolidated financial statements include, but are not limited to accrued research and development expenses; stock-based compensation expense; the fair value of the common stock prior to the effective date of the reverse merger with Gemini Therapeutics, Inc. ("Gemini") in December 2022; and income taxes. The Company bases its estimates on historical experience, known trends and other market-specific or other relevant factors that it has concluded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of Significant Suppliers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cash equivalents and marketable securities. The Company maintains deposits in federally insured financial institutions in excess of federally insured limits and limits its exposure to cash risk by placing its cash with high credit quality accredited financial institutions. The Company has concluded that it is not subject to unusual credit risk beyond the normal credit risk associated with commercial banking relationships.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relies, and expects to continue to rely, on a small number of vendors to manufacture supplies and to process its product candidates for its development programs. These programs could be adversely affected by a significant interruption in the manufacturing process or supply chain.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accounting standards that have been issued or proposed by the FASB or other standards-setting bodies that do not require adoption until a future date are not expected to have a material impact on the Company’s condensed consolidated financial statements upon adoption.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Cash, Cash Equivalents and Restricted Cash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9"/>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89,983</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91,145</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191"/>
        </w:trPr>
        <w:tc>
          <w:tcPr>
            <w:tcW w:w="75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Total cash, cash equivalents and restricted cash as shown on the condensed consolidated statements of</w:t>
            </w:r>
          </w:p>
        </w:tc>
        <w:tc>
          <w:tcPr>
            <w:tcW w:w="4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90,225</w:t>
            </w:r>
          </w:p>
        </w:tc>
        <w:tc>
          <w:tcPr>
            <w:tcW w:w="4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91,387</w:t>
            </w:r>
          </w:p>
        </w:tc>
        <w:tc>
          <w:tcPr>
            <w:tcW w:w="0" w:type="dxa"/>
            <w:vAlign w:val="bottom"/>
          </w:tcPr>
          <w:p>
            <w:pPr>
              <w:spacing w:after="0"/>
              <w:rPr>
                <w:sz w:val="1"/>
                <w:szCs w:val="1"/>
                <w:color w:val="auto"/>
              </w:rPr>
            </w:pPr>
          </w:p>
        </w:tc>
      </w:tr>
      <w:tr>
        <w:trPr>
          <w:trHeight w:val="99"/>
        </w:trPr>
        <w:tc>
          <w:tcPr>
            <w:tcW w:w="7560" w:type="dxa"/>
            <w:vAlign w:val="bottom"/>
            <w:vMerge w:val="restart"/>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cash flows</w:t>
            </w:r>
          </w:p>
        </w:tc>
        <w:tc>
          <w:tcPr>
            <w:tcW w:w="400" w:type="dxa"/>
            <w:vAlign w:val="bottom"/>
            <w:gridSpan w:val="2"/>
            <w:vMerge w:val="continue"/>
            <w:shd w:val="clear" w:color="auto" w:fill="CFF0FC"/>
          </w:tcPr>
          <w:p>
            <w:pPr>
              <w:spacing w:after="0"/>
              <w:rPr>
                <w:sz w:val="8"/>
                <w:szCs w:val="8"/>
                <w:color w:val="auto"/>
              </w:rPr>
            </w:pPr>
          </w:p>
        </w:tc>
        <w:tc>
          <w:tcPr>
            <w:tcW w:w="1440" w:type="dxa"/>
            <w:vAlign w:val="bottom"/>
            <w:vMerge w:val="continue"/>
            <w:shd w:val="clear" w:color="auto" w:fill="CFF0FC"/>
          </w:tcPr>
          <w:p>
            <w:pPr>
              <w:spacing w:after="0"/>
              <w:rPr>
                <w:sz w:val="8"/>
                <w:szCs w:val="8"/>
                <w:color w:val="auto"/>
              </w:rPr>
            </w:pPr>
          </w:p>
        </w:tc>
        <w:tc>
          <w:tcPr>
            <w:tcW w:w="400" w:type="dxa"/>
            <w:vAlign w:val="bottom"/>
            <w:gridSpan w:val="2"/>
            <w:vMerge w:val="continue"/>
            <w:shd w:val="clear" w:color="auto" w:fill="CFF0FC"/>
          </w:tcPr>
          <w:p>
            <w:pPr>
              <w:spacing w:after="0"/>
              <w:rPr>
                <w:sz w:val="8"/>
                <w:szCs w:val="8"/>
                <w:color w:val="auto"/>
              </w:rPr>
            </w:pPr>
          </w:p>
        </w:tc>
        <w:tc>
          <w:tcPr>
            <w:tcW w:w="144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7560" w:type="dxa"/>
            <w:vAlign w:val="bottom"/>
            <w:tcBorders>
              <w:bottom w:val="single" w:sz="8" w:color="CFF0FC"/>
            </w:tcBorders>
            <w:vMerge w:val="continue"/>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1440" w:type="dxa"/>
            <w:vAlign w:val="bottom"/>
            <w:tcBorders>
              <w:bottom w:val="single" w:sz="8" w:color="auto"/>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1440" w:type="dxa"/>
            <w:vAlign w:val="bottom"/>
            <w:tcBorders>
              <w:bottom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restricted cash balance, which is classified within prepaid expenses and other current assets and other assets on the condensed consolidated balance sheets, consists of letters of credit related to leased and subleased office space in Watertown, Massachusetts. The Company is required to maintain a separate cash balance to secure its letters of credit.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 as of September 30, 2026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93"/>
        </w:trPr>
        <w:tc>
          <w:tcPr>
            <w:tcW w:w="3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3"/>
        </w:trPr>
        <w:tc>
          <w:tcPr>
            <w:tcW w:w="3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Marketable securities available-for-sale:</w:t>
            </w:r>
          </w:p>
        </w:tc>
        <w:tc>
          <w:tcPr>
            <w:tcW w:w="5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6"/>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455,348</w:t>
            </w:r>
          </w:p>
        </w:tc>
        <w:tc>
          <w:tcPr>
            <w:tcW w:w="110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453,436</w:t>
            </w:r>
          </w:p>
        </w:tc>
      </w:tr>
      <w:tr>
        <w:trPr>
          <w:trHeight w:val="216"/>
        </w:trPr>
        <w:tc>
          <w:tcPr>
            <w:tcW w:w="3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5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8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60,045</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59,898</w:t>
            </w:r>
          </w:p>
        </w:tc>
      </w:tr>
      <w:tr>
        <w:trPr>
          <w:trHeight w:val="216"/>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80,173</w:t>
            </w:r>
          </w:p>
        </w:tc>
        <w:tc>
          <w:tcPr>
            <w:tcW w:w="1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79,499</w:t>
            </w:r>
          </w:p>
        </w:tc>
      </w:tr>
      <w:tr>
        <w:trPr>
          <w:trHeight w:val="230"/>
        </w:trPr>
        <w:tc>
          <w:tcPr>
            <w:tcW w:w="3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595,566</w:t>
            </w:r>
          </w:p>
        </w:tc>
        <w:tc>
          <w:tcPr>
            <w:tcW w:w="110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592,833</w:t>
            </w:r>
          </w:p>
        </w:tc>
      </w:tr>
      <w:tr>
        <w:trPr>
          <w:trHeight w:val="20"/>
        </w:trPr>
        <w:tc>
          <w:tcPr>
            <w:tcW w:w="36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r>
      <w:tr>
        <w:trPr>
          <w:trHeight w:val="304"/>
        </w:trPr>
        <w:tc>
          <w:tcPr>
            <w:tcW w:w="7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Marketable securities as of December 31, 2025 consisted of the following (in thousands):</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04"/>
        </w:trPr>
        <w:tc>
          <w:tcPr>
            <w:tcW w:w="3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93"/>
        </w:trPr>
        <w:tc>
          <w:tcPr>
            <w:tcW w:w="3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3"/>
        </w:trPr>
        <w:tc>
          <w:tcPr>
            <w:tcW w:w="3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9"/>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Marketable securities available-for-sale:</w:t>
            </w:r>
          </w:p>
        </w:tc>
        <w:tc>
          <w:tcPr>
            <w:tcW w:w="5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6"/>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484,670</w:t>
            </w:r>
          </w:p>
        </w:tc>
        <w:tc>
          <w:tcPr>
            <w:tcW w:w="110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859</w:t>
            </w: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485,529</w:t>
            </w:r>
          </w:p>
        </w:tc>
      </w:tr>
      <w:tr>
        <w:trPr>
          <w:trHeight w:val="216"/>
        </w:trPr>
        <w:tc>
          <w:tcPr>
            <w:tcW w:w="3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5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80" w:type="dxa"/>
            <w:vAlign w:val="bottom"/>
            <w:tcBorders>
              <w:right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132,913</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132,941</w:t>
            </w:r>
          </w:p>
        </w:tc>
      </w:tr>
      <w:tr>
        <w:trPr>
          <w:trHeight w:val="216"/>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81,431</w:t>
            </w:r>
          </w:p>
        </w:tc>
        <w:tc>
          <w:tcPr>
            <w:tcW w:w="1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81,537</w:t>
            </w:r>
          </w:p>
        </w:tc>
      </w:tr>
      <w:tr>
        <w:trPr>
          <w:trHeight w:val="229"/>
        </w:trPr>
        <w:tc>
          <w:tcPr>
            <w:tcW w:w="3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699,014</w:t>
            </w:r>
          </w:p>
        </w:tc>
        <w:tc>
          <w:tcPr>
            <w:tcW w:w="110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1,013</w:t>
            </w:r>
          </w:p>
        </w:tc>
        <w:tc>
          <w:tcPr>
            <w:tcW w:w="6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700,007</w:t>
            </w:r>
          </w:p>
        </w:tc>
      </w:tr>
      <w:tr>
        <w:trPr>
          <w:trHeight w:val="20"/>
        </w:trPr>
        <w:tc>
          <w:tcPr>
            <w:tcW w:w="36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-1302385</wp:posOffset>
            </wp:positionV>
            <wp:extent cx="1117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-1285240</wp:posOffset>
            </wp:positionV>
            <wp:extent cx="1117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-1302385</wp:posOffset>
            </wp:positionV>
            <wp:extent cx="1111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-1285240</wp:posOffset>
            </wp:positionV>
            <wp:extent cx="1111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-1302385</wp:posOffset>
            </wp:positionV>
            <wp:extent cx="1111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-1285240</wp:posOffset>
            </wp:positionV>
            <wp:extent cx="1111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-25400</wp:posOffset>
            </wp:positionV>
            <wp:extent cx="1200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-7620</wp:posOffset>
            </wp:positionV>
            <wp:extent cx="1200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-25400</wp:posOffset>
            </wp:positionV>
            <wp:extent cx="1200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1200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1200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1200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2026, all of the Company’s marketable securities are available to the Company for use in current operations. As a result, the Company has classified all of these securities as current assets even though the stated maturity of some individual securities may be one year or more beyond the balance sheet date. The following table shows the fair value of the Company’s marketable securities, by contractual maturity, as of September 30, 2026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jc w:val="right"/>
              <w:ind w:right="1095"/>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214"/>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560" w:type="dxa"/>
            <w:vAlign w:val="bottom"/>
            <w:shd w:val="clear" w:color="auto" w:fill="CFF0FC"/>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28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478,411</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5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114,422</w:t>
            </w:r>
          </w:p>
        </w:tc>
      </w:tr>
      <w:tr>
        <w:trPr>
          <w:trHeight w:val="250"/>
        </w:trPr>
        <w:tc>
          <w:tcPr>
            <w:tcW w:w="78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560" w:type="dxa"/>
            <w:vAlign w:val="bottom"/>
            <w:tcBorders>
              <w:bottom w:val="single" w:sz="8" w:color="auto"/>
            </w:tcBorders>
            <w:shd w:val="clear" w:color="auto" w:fill="CFF0FC"/>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28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592,833</w:t>
            </w:r>
          </w:p>
        </w:tc>
      </w:tr>
    </w:tbl>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aggregate fair value of marketable securities with unrealized losses was $592.8 million and $41.3 million as of September 30, 2026 and December 31, 2025, respectively. As of September 30, 2026 and December 31, 2025, ninety-four investments and five investments were in an unrealized loss position, respectively. All such investments have been in an unrealized loss position for less than one year and these losses are considered temporary. The Company has the ability and intent to hold these investments until a recovery of their amortized cost, which may not occur until maturity. The Company expects that U.S. treasury, U.S. government agency, and corporate debt securities are subject to minimal credit risk. As a result, the Company did not record any charges for credit-related impairments for its available-for-sale securities for the three and nine months ended September 30, 2026 and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tables present information about the Company’s assets and liabilities that are measured and carried at fair value on a recurring basis and indicate the level within the fair value hierarchy of the valuation techniques the Company utilized to determine such fair value, which is described further within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to the consolidated financial statements in the Company’s Annual Report on Form 10-K for the year ended December 31, 2025.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on a recurring basis as of September 30, 2026 are summarized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3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66,488</w:t>
            </w:r>
          </w:p>
        </w:tc>
        <w:tc>
          <w:tcPr>
            <w:tcW w:w="5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04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cash equivalents</w:t>
            </w:r>
          </w:p>
        </w:tc>
        <w:tc>
          <w:tcPr>
            <w:tcW w:w="2120" w:type="dxa"/>
            <w:vAlign w:val="bottom"/>
            <w:tcBorders>
              <w:top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66,488</w:t>
            </w:r>
          </w:p>
        </w:tc>
        <w:tc>
          <w:tcPr>
            <w:tcW w:w="22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2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453,436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59,898</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79,499</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592,833</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66,488</w:t>
            </w:r>
          </w:p>
        </w:tc>
        <w:tc>
          <w:tcPr>
            <w:tcW w:w="5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592,833</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1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4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-1790700</wp:posOffset>
            </wp:positionV>
            <wp:extent cx="1371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-1790700</wp:posOffset>
            </wp:positionV>
            <wp:extent cx="12890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-942340</wp:posOffset>
            </wp:positionV>
            <wp:extent cx="137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-942340</wp:posOffset>
            </wp:positionV>
            <wp:extent cx="1289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on a recurring basis as of December 31, 2025 are summarized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01"/>
        </w:trPr>
        <w:tc>
          <w:tcPr>
            <w:tcW w:w="4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274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72,932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9,981</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cash equivalents</w:t>
            </w:r>
          </w:p>
        </w:tc>
        <w:tc>
          <w:tcPr>
            <w:tcW w:w="18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72,932</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9,981</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485,529</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132,941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81,537</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700,007</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74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72,932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709,988</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-873760</wp:posOffset>
            </wp:positionV>
            <wp:extent cx="137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-873760</wp:posOffset>
            </wp:positionV>
            <wp:extent cx="1289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-316230</wp:posOffset>
            </wp:positionV>
            <wp:extent cx="137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-316230</wp:posOffset>
            </wp:positionV>
            <wp:extent cx="1289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137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137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1289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12890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Level 1 cash equivalents, consisting of money market funds, is based on quoted market prices in active markets with no valuation adjustment. The fair value of the Company’s Level 2 cash equivalents consisting of corporate debt securities with original maturities of three months or less and marketable securities consisting of U.S. treasury, U.S. government agency, and corporate debt securities with original maturities 24 months or less, are determined through third-party pricing services.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have been no impairments of the Company’s assets measured and carried at fair value during the three and nine months ended September 30, 2026 and 2025. There were no changes in valuation techniques or transfers between Level 1, Level 2, and Level 3 financial assets during the three and nine months ended September 30, 2026 and 2025. The Company did not have any non-recurring fair value measurements on any assets or liabilities during the three and nine months ended September 30, 2026 and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Other 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expenses consisted of the following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employee-related expenses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9,153</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12,642</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20" w:type="dxa"/>
            <w:vAlign w:val="bottom"/>
          </w:tcPr>
          <w:p>
            <w:pPr>
              <w:spacing w:after="0"/>
              <w:rPr>
                <w:sz w:val="18"/>
                <w:szCs w:val="18"/>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1,674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2,214</w:t>
            </w: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929</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705</w:t>
            </w: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accrued expenses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11,756</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15,561</w:t>
            </w:r>
          </w:p>
        </w:tc>
      </w:tr>
      <w:tr>
        <w:trPr>
          <w:trHeight w:val="20"/>
        </w:trPr>
        <w:tc>
          <w:tcPr>
            <w:tcW w:w="7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-170815</wp:posOffset>
            </wp:positionV>
            <wp:extent cx="1200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Licensing Activities and Business Development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Stock Purchase Agreement with AbbVie Deutschland GmbH &amp; Co. KG (“AbbVie”)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September 2019, the Company entered into an agreement with AbbVie, pursuant to which AbbVie granted the Company an exclusive license, with the right to grant sublicenses, to certain AbbVie intellectual property.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this agreement, the Company paid a non-refundable, non-creditable upfront fee of $0.6 million. The Company is also obligated to make aggregate payments upon the achievement of certain development, commercialization and sales-based milestones up to $18.0 million, $45.0 million and $87.5 million, respectively on a licensed product-by-licensed product basis. In addition, the Company is also obligated to pay royalties based on net sales of the licensed products on a licensed product-by-licensed product and country-by-country basis.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royalty obligation expires on a licensed product-by-licensed product and country-by-country basis upon the expiration of the last-to-expire valid claim under the licensed intellectual property rights in such country. Unless terminated earlier, the agreement expires upon the expiration of the Company’s royalty obligation for all licensed products. AbbVie can terminate the agreement if the Company fails to make any payments within a specified period after receiving written notice of such failure, or in the event of a material breach by the Company and failure to cure such breach within a certain period of time.</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2025, the Company made a milestone payment of $3.0 million upon the first administration to a patient in the Phase 2 clinical trial of selcodebart (DISC-0974) which was recorded within research and development in the Company’s condensed consolidated statements of operations and comprehensive loss for the nine months ended September 30, 2025. As of September 30, 2026, no additional milestones were deemed probable of achievement.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F. Hoffmann-La Roche Ltd and Hoffmann-La Roche Inc. (collectively “Roche”)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a license agreement with Roche, (the "Roche Agreement"), the Company paid Roche an upfront, non-refundable exclusivity payment of $0.5 million in March 2021. Upon execution of the Roche Agreement in May 2021, the Company paid Roche an additional upfront, non-refundable payment of $4.0 million.</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obligated to make contingent payments to Roche up to an aggregate of $50.0 million in development and regulatory milestone payments for development and approval in a first indication and up to an aggregate of $35.0 million in development and regulatory milestone payments for development and approval in a second indication. The Company is also obligated to make contingent payments to Roche up to an aggregate of $120.0 million based on achievement of certain thresholds for annual net sales of licensed products. Roche is also eligible to receive tiered royalties on net sales of commercialized products, at rates ranging from high single-digits to high teens. Pursuant to the terms of the Roche Agreement and in connection with the Company's reverse merger with Gemini, the Company issued 482,313 shares of the Company to Roche for no consideration.</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2025, the Company made a milestone payment of $10.0 million upon the initiation of the first Phase 3 clinical trial with a licensed product in a first indication which was recorded within research and development in the Company’s condensed consolidated statements of operations and comprehensive loss for the nine months ended September 30, 2025. The next potential milestone payment is $15.0 million due upon regulatory approval in the United States with a licensed product in a first indication. As of September 30, 2026, this milestone was not deemed probable of achievement.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Mabwell Therapeutics, Inc. ("Mabwell")</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2023, the Company entered into an exclusive license agreement with Mabwell pursuant to which Mabwell granted the Company an exclusive and sublicensable license to certain Mabwell intellectual property.</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agreement, the Company paid Mabwell an upfront payment of $10.0 million in March 2023. In addition, the Company is obligated to pay certain development and regulatory milestone payments for the licensed products, for up to three indications, up to a maximum aggregate amount of $127.5 million, as well as certain commercial milestone payments for certain licensed product net sales achievements, up to a maximum aggregate amount of $275.0 million. The Company is further obligated to pay a tiered percentage of revenue that the Company receives from its sublicensees ranging from a low third decile percentage to a low first decile percentage. In addition, the Company is obligated to pay Mabwell a royalty on annual net sales of all licensed products at a tiered rate ranging from low single-digits to high single-digits.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2023, the Company made a milestone payment of $5.0 million upon the first administration to a patient in a Phase 1 clinical trial for DISC-3405. In September 2025, the Company made a milestone payment of $10.0 million upon the first administration to a patient in a Phase 2 clinical trial for DISC-3405 which was recorded within research and development in the Company’s condensed consolidated statements of operations and comprehensive loss for the three and nine months ended September 30, 2025. In April 2026, the Company made a milestone payment of $5.0 million upon the first administration to a patient in a Phase 1b clinical trial with a licensed product in a second indication which was recorded within research and development in the Company’s condensed consolidated statements of operations and comprehensive loss for the nine months ended September 30, 2026. As of September 30, 2026, no additional milestones were deemed probable of achievement.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Oak Bay Biosciences, Inc. (“OBB”)</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2024, the Company entered into an out-license agreement with OBB pursuant to which the Company granted an exclusive license, with the right to grant sublicenses, to certain Gemini intellectual property. Under the terms of the agreement, the Company received an upfront payment of $0.2 million with additional consideration receivable upon the achievement of certain clinical, regulatory and sales milestones up to $7.0 million, $35.0 million, and $160.0 million, respectively. As of September 30, 2026, none of the milestones had been achieved nor were they considered probable of achievement.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2025, the Company acquired a privately held company with a clinic-ready program for myelodysplastic syndromes and similar hematologic conditions. The transaction included no upfront cash payment and up to $50.0 million in late-stage contingent development and sales-based milestone payments (“Contingent Consideration”). The acquired entity’s primary asset was in-process research and development (“IPR&amp;D”) with no alternative future use.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Contingent Consideration was determined using Level 3 unobservable inputs including management's estimates of milestone achievement probabilities and the application of an appropriate discount rate. Because the milestone payments were not accounted for as derivatives under ASC Topic 815, they were initially measured at fair value as of the acquisition date and are not remeasured each reporting period. The Contingent Consideration will be adjusted when it is determined that achievement of the contingent milestone is probable, which is generally upon achievement of the milestone event.</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part of the transaction, the Company also obtained an exclusive license to certain intellectual property. Under the terms of the license, the Company is obligated to make certain development and sales-based milestone payments of up to $5.6 million and $20.0 million, respectively, for each compound. Additionally, the Company is required to pay royalties on net sales of licensed products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at rates in the low single-digits. As of September 30, 2026, none of the milestones had been achieved, nor were they considered probable of achievement.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Company entered into a Loan and Security Agreement (the “Hercules Loan Agreement”), with the lenders party thereto (the “Lenders”) and Hercules Capital, Inc., as administrative agent and collateral agent (the “Agent”). The Hercules Loan Agreement provides for up to $200.0 million of senior secured term loans available to the Company in multiple tranches (the “Term Loan Facility”). Upon execution, the Company borrowed an initial amount of $30.0 million.</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2026, the Company entered into the first amendment to the Hercules Loan Agreement (the “Hercules First Amendment”) which modified certain terms of the agreement, including, among other things, extending the availability period for the remaining undrawn tranches and revising the minimum cash covenant requirements. Upon execution of the Hercules First Amendment, the Company drew an additional principal amount of $30.0 million, increasing the cumulative amount drawn to $60.0 million. The Company may, at its sole discretion, draw an additional $50.0 million on or prior to April 30, 2027. The Company may also access additional term loan advances in an aggregate principal amount of up to $65.0 million during the term of the Term Loan Facility subject to achievement of specified performance milestones, and one additional term loan advance up to an aggregate principal amount of $25.0 million subject to certain terms and conditions. The Company intends to use the proceeds of the Term Loan Facility for working capital and general corporate purposes.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Term Loan Facility will mature on December 1, 2029 (the “Maturity Date”). The outstanding principal balance of the Term Loan Facility bears cash interest at a floating annual rate equal to the greater of (i) 8.25% and (ii) the sum of the Prime Rate and 1.75%. Accrued interest is payable monthly following the funding of each term loan advance. Borrowings under the Hercules Loan Agreement are repayable in monthly interest-only payments through November 2028. At the end of the interest-only payment period, borrowings under the Hercules Loan Agreement are repayable in equal monthly payments of principal and accrued interest until the Maturity Date. At the Company's option, the Company may prepay all or a portion of the outstanding borrowings, subject to a prepayment fee of 3.0% of the principal amount if prepayment occurs during the 18 months following the Closing Date, 2.0% after 18 months following the Closing Date but prior to 36 months following the Closing Date, and 1.0% thereafter.</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obligations under the Hercules Loan Agreement are secured, subject to customary permitted liens and other agreed-upon exceptions, by a first-priority perfected security interest in all of the tangible and intangible assets of the Company, other than intellectual property. The Hercules Loan Agreement includes customary repayment and prepayment terms, events of default, affirmative and negative covenants and representations and warranties. Additionally, the Hercules Loan Agreement contains a minimum cash covenant that requires the Company to maintain certain levels of cash in accounts subject to a control agreement in favor of the Agent at all times beginning on the first day on or after July 1, 2028 (or July 1, 2029, if the Company achieves a certain milestone) on which the aggregate principal amount of the term loan advances is then more than $50.0 million; provided, however, the minimum cash covenant will be waived during all times that the Company's market capitalization is greater than or equal to $1.0 billion. The Hercules Loan Agreement also includes a subjective acceleration clause for circumstances which could be reasonably expected to have a material adverse effect on the Company.</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Hercules Loan Agreement provides for a final payment ("End of Term Charge"), payable upon maturity or the repayment of the obligations in full or in part (on a pro rata basis), equal to 6.75% of the aggregate principal amount of term loans advanced to the Company and repaid on such date, which is being accrued on the Company's condensed consolidated balance sheets.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recorded debt discount and debt issuance costs of $2.1 million related to borrowings under the Hercules Loan Agreement. Debt discount and unamortized debt issuance costs were recorded as a reduction of the carrying amount on the term loan and are amortized as interest expense using the effective-interest method. In addition, unamortized deferred financing costs of $0.4 million and $0.6 million were recorded in other assets as of September 30, 2026 and December 31, 2025, respectively, related to the Company's right to borrow additional amounts in the future.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related to the Term Loan Facility for the three and nine months ended September 30, 2026 was $1.7 million and $3.5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related to the Term Loan Facility for the three and nine months ended September 30, 2025 was $0.9 million and $2.7 million,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and December 31, 2025, the carrying value of the Term Loan Facility approximated its fair value.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obligations under the Term Loan Facility as of September 30, 2026 and December 31, 2025 consisted of the following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5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term loan balance</w:t>
            </w:r>
          </w:p>
        </w:tc>
        <w:tc>
          <w:tcPr>
            <w:tcW w:w="3780" w:type="dxa"/>
            <w:vAlign w:val="bottom"/>
            <w:gridSpan w:val="2"/>
            <w:shd w:val="clear" w:color="auto" w:fill="CFF0FC"/>
          </w:tcPr>
          <w:p>
            <w:pPr>
              <w:jc w:val="right"/>
              <w:ind w:right="13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60,000</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2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end of term fee</w:t>
            </w:r>
          </w:p>
        </w:tc>
        <w:tc>
          <w:tcPr>
            <w:tcW w:w="228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1,025</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3780" w:type="dxa"/>
            <w:vAlign w:val="bottom"/>
            <w:gridSpan w:val="2"/>
          </w:tcPr>
          <w:p>
            <w:pPr>
              <w:jc w:val="right"/>
              <w:ind w:right="13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59,745</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29,159</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28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15</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2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-942340</wp:posOffset>
            </wp:positionV>
            <wp:extent cx="1625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6256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annual principal payments due under the Term Loan Facility as of September 30, 2026 were as follows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1120" w:type="dxa"/>
            <w:vAlign w:val="bottom"/>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12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12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4,417</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55,583</w:t>
            </w:r>
          </w:p>
        </w:tc>
      </w:tr>
      <w:tr>
        <w:trPr>
          <w:trHeight w:val="250"/>
        </w:trPr>
        <w:tc>
          <w:tcPr>
            <w:tcW w:w="8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60,000</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of future principal payments excludes the End of Term Charge of $4.1 million, which is due upon the maturity of the loan.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was authorized to issue up to 10,000,000 shares of preferred stock, $0.0001 par value per share. As of September 30, 2026, no shares of preferred stock were issued or outstanding.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was authorized to issue up to 100,000,000 shares of common stock, $0.0001 par value per share. As of September 30, 2026, 38,619,312 shares of common stock were issued and outstanding.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Underwritten Offerings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October 2025 Offering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2025, in connection with an underwriting agreement with Jefferies LLC, Leerink Partners LLC, Morgan Stanley &amp; Co. LLC, and Cantor Fitzgerald &amp; Co., the Company sold 2,619,049 shares of its common stock, at a public offering price of $84.00 per share. The Company also sold pre-funded warrants to purchase an aggregate of 59,523 shares of common stock at a price of $83.9999 per pre-funded warrant. The Company received aggregate net proceeds of $211.0 million, after deducting offering expenses of $14.0 million. As of September 30, 2026, none of the 59,523 pre-funded warrants had been exercised.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2025 Offering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2025, in connection with an underwriting agreement with Jeffries LLC, Leerink Partners LLC, Stifel, Nicolaus &amp; Company, Incorporated and Cantor Fitzgerald &amp; Co., the Company sold 4,533,182 shares of its common stock, which included the exercise in full by the underwriters of their option to purchase up to 615,000 additional shares of common stock, at a public offering price of $55.00 per share. The Company also sold pre-funded warrants to purchase an aggregate of 181,818 shares of common stock at a price of $54.9999 per pre-funded warrant. The Company received aggregate net proceeds of $243.4 million, after deducting offering expenses of $15.9 million. As of September 30, 2026, none of the 181,818 pre-funded warrants had been exercised.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2024 Offering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the Company entered into an underwriting agreement with Leerink Partners LLC related to an underwritten offering. Pursuant to the agreement, the Company sold 4,944,000 shares of common stock of the Company, par value $0.0001 per share, at a price to the public of $36.00 per share. The Company received net proceeds of $172.5 million, after deducting the underwriting discount and offering expenses of $5.5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2023 Offering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2023, the Company sold 3,015,919 shares of its common stock upon the completion of its public follow-on offering, which included the exercise in full by the underwriters of their option to purchase up to 420,000 additional shares of common stock, at a public offering price of $49.00 per share. The Company also sold, in lieu of shares of the Company’s common stock, pre-funded warrants to purchase an aggregate of 204,081 shares of common stock at a price of $48.9999 per pre-funded warrant. The Company received aggregate net proceeds of $147.9 million, after deducting offering expenses of $9.9 million. As of September 30, 2026, none of the 204,081 pre-funded warrants had been exercised.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2023 Offering</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2023, the Company entered into a securities purchase agreement, with certain investors. Pursuant to the securities purchase agreement, the Company sold an aggregate of 1,488,166 shares of the Company’s common stock, at a purchase price of $23.00 per share, and with respect to a certain investor, in lieu of shares of the Company’s common stock, pre-funded warrants to purchase an aggregate of 1,229,224 shares of the Company’s common stock, at a purchase price of $22.9999 per pre-funded warrant, for aggregate net proceeds of $62.4 million, after deducting offering expenses of $0.1 million. In September 2023, all of the pre-funded warrants were exercised in a cashless transaction which resulted in 1,229,221 shares of common stock being issued to the investor.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("ATM") Program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Cantor Fitzgerald &amp; Co. (“Cantor”)</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15, 2024, the Company entered into a Controlled Equity Offering Sales Agreement (the “Cantor ATM Agreement”) with Cantor, pursuant to which the Company may, from time to time in its sole discretion, issue and sell to or through Cantor, acting as sales agent, shares of the Company’s common stock, par value $0.0001 per share having an aggregate offering price of up to $200.0 million. This offering was made pursuant to the Company's effective registration statement on Form S-3 filed in August 2024 (the "August 2024 Shelf").</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sold an aggregate of 162,457 shares of common stock under the August 2024 Shelf and pursuant to the Cantor ATM Agreement. Aggregate gross proceeds from the transaction were $10.1 million and the Company received $9.8 million in net proceeds, after deducting placement agent fees and offering expenses. There were no sales under the Cantor ATM Agreement during the three and nine months ended September 30, 2026. As of September 30, 2026, $189.9 million of common stock remained available for issuance and sale under the Cantor ATM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Plans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grants stock-based awards under its 2021 Stock Option and Incentive Plan (the “2021 Plan”), which was approved by its stockholders in February 2021 and amended and restated in January 2023. The Company also has outstanding stock option awards under its 2017 Stock Option and Grant Plan (the “Private Disc Plan”) but is no longer granting awards under this plan or its 2021 Inducement Plan. The Company also grants awards under its 2021 Employee Stock Purchase Plan (the “2021 ESPP”), which was approved by the Company's stockholders in July 2021 and amended and restated in January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Out-of-Plan Inducement Grants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grants equity awards to newly hired executives as a material inducement to enter into employment with the Company. These grants are made in accordance with Rule 5635(c)(4) of the Nasdaq Listing Rules and are issued outside the 2021 Plan, the 2021 Inducement Plan and each of the other stock incentive plans described above.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recorded as research and development and selling, general and administrative expenses, respectively, for employees, directors and non-employees was as follows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4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3"/>
                <w:szCs w:val="13"/>
                <w:color w:val="auto"/>
              </w:rPr>
            </w:pPr>
          </w:p>
        </w:tc>
      </w:tr>
      <w:tr>
        <w:trPr>
          <w:trHeight w:val="173"/>
        </w:trPr>
        <w:tc>
          <w:tcPr>
            <w:tcW w:w="3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5"/>
                <w:szCs w:val="15"/>
                <w:color w:val="auto"/>
              </w:rPr>
            </w:pPr>
          </w:p>
        </w:tc>
      </w:tr>
      <w:tr>
        <w:trPr>
          <w:trHeight w:val="186"/>
        </w:trPr>
        <w:tc>
          <w:tcPr>
            <w:tcW w:w="3800" w:type="dxa"/>
            <w:vAlign w:val="bottom"/>
          </w:tcPr>
          <w:p>
            <w:pPr>
              <w:spacing w:after="0"/>
              <w:rPr>
                <w:sz w:val="16"/>
                <w:szCs w:val="16"/>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3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8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7,295</w:t>
            </w:r>
          </w:p>
        </w:tc>
        <w:tc>
          <w:tcPr>
            <w:tcW w:w="108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4,423</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20,081</w:t>
            </w:r>
          </w:p>
        </w:tc>
        <w:tc>
          <w:tcPr>
            <w:tcW w:w="7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11,244</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7,310</w:t>
            </w:r>
          </w:p>
        </w:tc>
        <w:tc>
          <w:tcPr>
            <w:tcW w:w="1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5,091</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20,418</w:t>
            </w:r>
          </w:p>
        </w:tc>
        <w:tc>
          <w:tcPr>
            <w:tcW w:w="1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13,053</w:t>
            </w:r>
          </w:p>
        </w:tc>
      </w:tr>
      <w:tr>
        <w:trPr>
          <w:trHeight w:val="22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68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14,605</w:t>
            </w:r>
          </w:p>
        </w:tc>
        <w:tc>
          <w:tcPr>
            <w:tcW w:w="108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9,514</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40,499</w:t>
            </w:r>
          </w:p>
        </w:tc>
        <w:tc>
          <w:tcPr>
            <w:tcW w:w="7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24,297</w:t>
            </w:r>
          </w:p>
        </w:tc>
      </w:tr>
      <w:tr>
        <w:trPr>
          <w:trHeight w:val="20"/>
        </w:trPr>
        <w:tc>
          <w:tcPr>
            <w:tcW w:w="38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-25400</wp:posOffset>
            </wp:positionV>
            <wp:extent cx="1028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-8255</wp:posOffset>
            </wp:positionV>
            <wp:extent cx="1028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-25400</wp:posOffset>
            </wp:positionV>
            <wp:extent cx="12001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-8255</wp:posOffset>
            </wp:positionV>
            <wp:extent cx="12001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-25400</wp:posOffset>
            </wp:positionV>
            <wp:extent cx="12001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12001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did not record a provision or benefit for federal income taxes during the three and nine months ended September 30, 2026 and 2025. The Company recorded state income tax expense of $0.2 million and $0.2 million for the nine months ended September 30, 2026 and 2025, respectively, due to interest income. The Company continues to maintain a full valuation allowance against all of its deferred tax assets.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involving its ability to realize its deferred tax assets and has considered its history of cumulative net losses incurred since inception and its lack of any commercially ready products. The Company has concluded that it is more likely than not that it will not realize the benefits of its deferred tax assets. The Company reevaluates the positive and negative evidence at each reporting period.</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never been examined by the Internal Revenue Service or any other jurisdiction for any tax years and, as such, all years within the applicable statutes of limitations are potentially subject to audit.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Basic and diluted net loss per share is computed by dividing net loss by the weighted-average common shares outstanding. The weighted-average common shares outstanding used in the basic and diluted net loss per share calculation includes pre-funded</w:t>
      </w: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jc w:val="both"/>
        <w:spacing w:after="0" w:line="282" w:lineRule="auto"/>
        <w:rPr>
          <w:sz w:val="20"/>
          <w:szCs w:val="20"/>
          <w:color w:val="auto"/>
        </w:rPr>
      </w:pPr>
      <w:r>
        <w:rPr>
          <w:rFonts w:ascii="Times New Roman" w:cs="Times New Roman" w:eastAsia="Times New Roman" w:hAnsi="Times New Roman"/>
          <w:sz w:val="18"/>
          <w:szCs w:val="18"/>
          <w:color w:val="auto"/>
        </w:rPr>
        <w:t>warrants issued in connection with the Company’s underwritten offerings. As of September 30, 2026 and September 30, 2025, 445,422 and 385,899 pre-funded warrants were outstanding,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(in thousands, except share and per share data):</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8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5"/>
                <w:szCs w:val="15"/>
                <w:color w:val="auto"/>
              </w:rPr>
            </w:pPr>
          </w:p>
        </w:tc>
      </w:tr>
      <w:tr>
        <w:trPr>
          <w:trHeight w:val="191"/>
        </w:trPr>
        <w:tc>
          <w:tcPr>
            <w:tcW w:w="5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5"/>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(59,535)</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(182,571)</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(151,653)</w:t>
            </w: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38,904,676</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w w:val="98"/>
              </w:rPr>
              <w:t>35,178,691</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38,695,405</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w w:val="98"/>
              </w:rPr>
              <w:t>34,516,134</w:t>
            </w:r>
          </w:p>
        </w:tc>
      </w:tr>
      <w:tr>
        <w:trPr>
          <w:trHeight w:val="230"/>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-24765</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85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-24765</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1028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1028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generated a net loss in all periods presented, so the basic and diluted net loss per share are the same, as the inclusion of the potentially dilutive securities would be anti-dilutive. As of September 30, 2026 and September 30, 2025, the Company excluded the following potential common shares from the computation of diluted net loss per share because including them would have had an anti-dilutive effect: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60" w:type="dxa"/>
            <w:vAlign w:val="bottom"/>
          </w:tcPr>
          <w:p>
            <w:pPr>
              <w:spacing w:after="0"/>
              <w:rPr>
                <w:sz w:val="15"/>
                <w:szCs w:val="15"/>
                <w:color w:val="auto"/>
              </w:rPr>
            </w:pPr>
          </w:p>
        </w:tc>
        <w:tc>
          <w:tcPr>
            <w:tcW w:w="242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160" w:type="dxa"/>
            <w:vAlign w:val="bottom"/>
            <w:tcBorders>
              <w:bottom w:val="single" w:sz="8" w:color="auto"/>
            </w:tcBorders>
          </w:tcPr>
          <w:p>
            <w:pPr>
              <w:spacing w:after="0"/>
              <w:rPr>
                <w:sz w:val="15"/>
                <w:szCs w:val="15"/>
                <w:color w:val="auto"/>
              </w:rPr>
            </w:pPr>
          </w:p>
        </w:tc>
      </w:tr>
      <w:tr>
        <w:trPr>
          <w:trHeight w:val="186"/>
        </w:trPr>
        <w:tc>
          <w:tcPr>
            <w:tcW w:w="7660" w:type="dxa"/>
            <w:vAlign w:val="bottom"/>
          </w:tcPr>
          <w:p>
            <w:pPr>
              <w:spacing w:after="0"/>
              <w:rPr>
                <w:sz w:val="16"/>
                <w:szCs w:val="16"/>
                <w:color w:val="auto"/>
              </w:rPr>
            </w:pPr>
          </w:p>
        </w:tc>
        <w:tc>
          <w:tcPr>
            <w:tcW w:w="1720" w:type="dxa"/>
            <w:vAlign w:val="bottom"/>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6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6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0"/>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7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3,487,422</w:t>
            </w: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3,433,481</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7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1,351,975</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1,096,595</w:t>
            </w: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program</w:t>
            </w:r>
          </w:p>
        </w:tc>
        <w:tc>
          <w:tcPr>
            <w:tcW w:w="17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12,639</w:t>
            </w: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13,944</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manages its operations as a single operating segment for the purposes of assessing performance and making operating decisions, resulting in a single reportable segment. The Company has determined that its Chief Operating Decision Maker ("CODM") is its Chief Executive Officer. The Company’s CODM reviews the Company’s financial information on a consolidated basis for the purpose of allocating resources and assessing financial performance.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key measure of segment profit or loss that the CODM uses to allocate resources and assess performance is the Company’s consolidated net loss, as reported on the condensed consolidated statements of operations and comprehensive loss. In addition, the CODM is regularly provided the significant segment expense categories included in the table below (in thousands), which are reviewed against budgeted expectations to assist in resource allocation decision-making.</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5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1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20" w:type="dxa"/>
            <w:vAlign w:val="bottom"/>
          </w:tcPr>
          <w:p>
            <w:pPr>
              <w:spacing w:after="0"/>
              <w:rPr>
                <w:sz w:val="13"/>
                <w:szCs w:val="13"/>
                <w:color w:val="auto"/>
              </w:rPr>
            </w:pPr>
          </w:p>
        </w:tc>
      </w:tr>
      <w:tr>
        <w:trPr>
          <w:trHeight w:val="173"/>
        </w:trPr>
        <w:tc>
          <w:tcPr>
            <w:tcW w:w="34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20" w:type="dxa"/>
            <w:vAlign w:val="bottom"/>
            <w:tcBorders>
              <w:bottom w:val="single" w:sz="8" w:color="auto"/>
            </w:tcBorders>
          </w:tcPr>
          <w:p>
            <w:pPr>
              <w:spacing w:after="0"/>
              <w:rPr>
                <w:sz w:val="15"/>
                <w:szCs w:val="15"/>
                <w:color w:val="auto"/>
              </w:rPr>
            </w:pPr>
          </w:p>
        </w:tc>
      </w:tr>
      <w:tr>
        <w:trPr>
          <w:trHeight w:val="210"/>
        </w:trPr>
        <w:tc>
          <w:tcPr>
            <w:tcW w:w="34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Bitopertin program external expense</w:t>
            </w:r>
          </w:p>
        </w:tc>
        <w:tc>
          <w:tcPr>
            <w:tcW w:w="1100" w:type="dxa"/>
            <w:vAlign w:val="bottom"/>
            <w:shd w:val="clear" w:color="auto" w:fill="CFF0FC"/>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76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(11,833)</w:t>
            </w:r>
          </w:p>
        </w:tc>
        <w:tc>
          <w:tcPr>
            <w:tcW w:w="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(24,998)</w:t>
            </w:r>
          </w:p>
        </w:tc>
        <w:tc>
          <w:tcPr>
            <w:tcW w:w="76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(43,954)</w:t>
            </w:r>
          </w:p>
        </w:tc>
      </w:tr>
      <w:tr>
        <w:trPr>
          <w:trHeight w:val="198"/>
        </w:trPr>
        <w:tc>
          <w:tcPr>
            <w:tcW w:w="3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Selcodebart (DISC-0974) program external</w:t>
            </w: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1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(7,369)</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(28,885)</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(18,105)</w:t>
            </w: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DISC-3405 program external expense</w:t>
            </w: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(11,910)</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(19,027)</w:t>
            </w: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(15,486)</w:t>
            </w:r>
          </w:p>
        </w:tc>
      </w:tr>
      <w:tr>
        <w:trPr>
          <w:trHeight w:val="198"/>
        </w:trPr>
        <w:tc>
          <w:tcPr>
            <w:tcW w:w="3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external research and development</w:t>
            </w: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1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(9,505)</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(9,030)</w:t>
            </w:r>
          </w:p>
        </w:tc>
      </w:tr>
      <w:tr>
        <w:trPr>
          <w:trHeight w:val="198"/>
        </w:trPr>
        <w:tc>
          <w:tcPr>
            <w:tcW w:w="34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Internal and other research and development</w:t>
            </w:r>
          </w:p>
        </w:tc>
        <w:tc>
          <w:tcPr>
            <w:tcW w:w="1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r>
      <w:tr>
        <w:trPr>
          <w:trHeight w:val="234"/>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w:t>
            </w:r>
          </w:p>
        </w:tc>
        <w:tc>
          <w:tcPr>
            <w:tcW w:w="1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(11,848)</w:t>
            </w:r>
          </w:p>
        </w:tc>
        <w:tc>
          <w:tcPr>
            <w:tcW w:w="1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(10,704)</w:t>
            </w:r>
          </w:p>
        </w:tc>
        <w:tc>
          <w:tcPr>
            <w:tcW w:w="1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(34,421)</w:t>
            </w:r>
          </w:p>
        </w:tc>
        <w:tc>
          <w:tcPr>
            <w:tcW w:w="1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(26,597)</w:t>
            </w:r>
          </w:p>
        </w:tc>
      </w:tr>
      <w:tr>
        <w:trPr>
          <w:trHeight w:val="216"/>
        </w:trPr>
        <w:tc>
          <w:tcPr>
            <w:tcW w:w="3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expense</w:t>
            </w:r>
          </w:p>
        </w:tc>
        <w:tc>
          <w:tcPr>
            <w:tcW w:w="1100" w:type="dxa"/>
            <w:vAlign w:val="bottom"/>
            <w:shd w:val="clear" w:color="auto" w:fill="CFF0FC"/>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76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(15,634)</w:t>
            </w:r>
          </w:p>
        </w:tc>
        <w:tc>
          <w:tcPr>
            <w:tcW w:w="76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(8,509)</w:t>
            </w:r>
          </w:p>
        </w:tc>
      </w:tr>
      <w:tr>
        <w:trPr>
          <w:trHeight w:val="216"/>
        </w:trPr>
        <w:tc>
          <w:tcPr>
            <w:tcW w:w="3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100" w:type="dxa"/>
            <w:vAlign w:val="bottom"/>
            <w:shd w:val="clear" w:color="auto" w:fill="CFF0FC"/>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(8,654)</w:t>
            </w:r>
          </w:p>
        </w:tc>
        <w:tc>
          <w:tcPr>
            <w:tcW w:w="76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(8,343)</w:t>
            </w:r>
          </w:p>
        </w:tc>
        <w:tc>
          <w:tcPr>
            <w:tcW w:w="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(25,791)</w:t>
            </w:r>
          </w:p>
        </w:tc>
        <w:tc>
          <w:tcPr>
            <w:tcW w:w="76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(23,074)</w:t>
            </w:r>
          </w:p>
        </w:tc>
      </w:tr>
      <w:tr>
        <w:trPr>
          <w:trHeight w:val="216"/>
        </w:trPr>
        <w:tc>
          <w:tcPr>
            <w:tcW w:w="3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00" w:type="dxa"/>
            <w:vAlign w:val="bottom"/>
            <w:shd w:val="clear" w:color="auto" w:fill="CFF0FC"/>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(14,605)</w:t>
            </w:r>
          </w:p>
        </w:tc>
        <w:tc>
          <w:tcPr>
            <w:tcW w:w="76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(40,499)</w:t>
            </w:r>
          </w:p>
        </w:tc>
        <w:tc>
          <w:tcPr>
            <w:tcW w:w="76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(24,297)</w:t>
            </w:r>
          </w:p>
        </w:tc>
      </w:tr>
      <w:tr>
        <w:trPr>
          <w:trHeight w:val="216"/>
        </w:trPr>
        <w:tc>
          <w:tcPr>
            <w:tcW w:w="3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segment items*</w:t>
            </w:r>
          </w:p>
        </w:tc>
        <w:tc>
          <w:tcPr>
            <w:tcW w:w="1100" w:type="dxa"/>
            <w:vAlign w:val="bottom"/>
            <w:shd w:val="clear" w:color="auto" w:fill="CFF0FC"/>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4,626</w:t>
            </w:r>
          </w:p>
        </w:tc>
        <w:tc>
          <w:tcPr>
            <w:tcW w:w="76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5,375</w:t>
            </w:r>
          </w:p>
        </w:tc>
        <w:tc>
          <w:tcPr>
            <w:tcW w:w="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16,189</w:t>
            </w:r>
          </w:p>
        </w:tc>
        <w:tc>
          <w:tcPr>
            <w:tcW w:w="76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17,399</w:t>
            </w:r>
          </w:p>
        </w:tc>
      </w:tr>
      <w:tr>
        <w:trPr>
          <w:trHeight w:val="216"/>
        </w:trPr>
        <w:tc>
          <w:tcPr>
            <w:tcW w:w="34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49"/>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shd w:val="clear" w:color="auto" w:fill="CFF0FC"/>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(59,535)</w:t>
            </w:r>
          </w:p>
        </w:tc>
        <w:tc>
          <w:tcPr>
            <w:tcW w:w="76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(62,321)</w:t>
            </w:r>
          </w:p>
        </w:tc>
        <w:tc>
          <w:tcPr>
            <w:tcW w:w="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(182,571)</w:t>
            </w:r>
          </w:p>
        </w:tc>
        <w:tc>
          <w:tcPr>
            <w:tcW w:w="76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(151,653)</w:t>
            </w:r>
          </w:p>
        </w:tc>
      </w:tr>
      <w:tr>
        <w:trPr>
          <w:trHeight w:val="413"/>
        </w:trPr>
        <w:tc>
          <w:tcPr>
            <w:tcW w:w="3400" w:type="dxa"/>
            <w:vAlign w:val="bottom"/>
            <w:tcBorders>
              <w:top w:val="single" w:sz="8" w:color="CFF0FC"/>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6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18</w:t>
            </w:r>
          </w:p>
        </w:tc>
        <w:tc>
          <w:tcPr>
            <w:tcW w:w="12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763"/>
        </w:trPr>
        <w:tc>
          <w:tcPr>
            <w:tcW w:w="34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-796290</wp:posOffset>
            </wp:positionV>
            <wp:extent cx="10287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-779145</wp:posOffset>
            </wp:positionV>
            <wp:extent cx="1028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-796290</wp:posOffset>
            </wp:positionV>
            <wp:extent cx="939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-779145</wp:posOffset>
            </wp:positionV>
            <wp:extent cx="939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-796290</wp:posOffset>
            </wp:positionV>
            <wp:extent cx="939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-779145</wp:posOffset>
            </wp:positionV>
            <wp:extent cx="939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*Other segment items include interest income, interest expense, other (expense) income, and income tax expense as reported on the condensed consolidated statements of operations and comprehensive loss.</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Assets regularly provided to the CODM are consistent with those reported on the condensed consolidated balance sheets with particular emphasis on the Company’s available liquidity, including its cash, cash equivalents and marketable securities balances. All of the Company’s tangible assets are held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its vendors, lessors, contract research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was not subject to any material legal proceedings during the nine months ended September 30, 2026 and 2025 and, to the best of its knowledge, no material legal proceedings are currently pending or threatened.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Upon Termination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contract research organizations ("CROs"), contract development and manufacturing organizations ("CDMOs") and other third parties for preclinical studies, clinical trials and manufacturing services. These contracts typically do not contain minimum purchase commitments and are generally cancelable by the Company upon written notice. Payments due upon cancellation consist of payments for services provided or expenses incurred, including noncancelable obligations of the Company’s service providers, up to the date of cancellation and, in the case of certain arrangements with CROs and CDMOs, may include noncancelable fees. Under such agreements, the exact amounts owed by the Company in the event of termination will be based on the timing of the termination and the exact terms of the agreement. As of September 30, 2026, the Company has not recognized any amounts related to these contingencies as the amount and timing of such payments are not fixed and estimable.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October 2025 and January 2025, certain existing investors participated in the Company's underwritten offerings (see </w:t>
      </w:r>
      <w:r>
        <w:rPr>
          <w:rFonts w:ascii="Times New Roman" w:cs="Times New Roman" w:eastAsia="Times New Roman" w:hAnsi="Times New Roman"/>
          <w:sz w:val="18"/>
          <w:szCs w:val="18"/>
          <w:i w:val="1"/>
          <w:iCs w:val="1"/>
          <w:color w:val="auto"/>
        </w:rPr>
        <w:t>Note 9 - Stockholders' Equity</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Underwritten Offering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20, 2026, the Company entered into an Underwriting Agreement (the “Underwriting Agreement”) with Jefferies LLC, Leerink Partners LLC, Morgan Stanley &amp; Co. LLC, and Cantor as representatives of the several underwriters listed on Schedule I thereto (the “Underwriters”) related to an underwritten offering of 6,000,000 shares of common stock of the Company, par value $0.0001 per share, at a price to the public of $75.00 per share. In addition, the Company granted the Underwriters an option exercisable for 30 days from the date of the Underwriting Agreement to purchase, at the public offering price less any underwriting discounts and commissions, up to an additional 900,000 shares of the Company's common stock, which option the Underwriters exercised in full on October 26, 2026.</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proceeds from the offering are expected to be approximately $485.9 million, after deducting the underwriting discount and estimated offering expenses. Certain existing investors and affiliates of the Company participated in the offering.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4, 2026, Cantor acknowledged and accepted the Company’s written notice to terminate the Cantor ATM Agreement, which termination became effective on November 4, 2026. As a result of such termination, the Company will not offer or sell any additional shares of its common stock under the Cantor ATM Agreement.</w:t>
      </w:r>
    </w:p>
    <w:p>
      <w:pPr>
        <w:spacing w:after="0" w:line="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November 5, 2026, the Company entered into a Sales Agreement (the “TD Cowen ATM Agreement”), with TD Securities (USA) LLC (“TD Cowen”), pursuant to which the Company may offer and sell shares of its common stock having aggregate gross proceeds of up to approximately $189.9 million from time to time in “at-the-market” offerings through TD Cowen, as sales agent.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agreed to pay TD Cowen a commission of up to 3.0% of the gross proceeds of any shares sold by TD Cowen under the TD Cowen ATM Agreement. As of the date of this Quarterly Report on Form 10-Q, the Company has not sold any shares of common stock under the TD Cowen ATM Agreement.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at the beginning of this Quarterly Report on Form 10-Q and our audited consolidated financial statements and related notes appearing at the end of our Annual Report on Form 10-K for the year ended December 31, 2025.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selcodebart (DISC-0974) for the treatment of anemia of myelofibrosis, or MF, and anemia of inflammatory bowel disease, or IBD; and DISC-3405 for the treatment of polycythemia vera, or PV, sickle cell disease, or SCD, and other hematologic disorders. In addition, our preclinical programs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Heme Biosynthesis: Bitopertin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which are part of a group of severe diseases, known as porphyrias, caused by defects in the heme biosynthesis pathway that cause an accumulation of toxic metabolites referred to as porphyrins, resulting in skin hypersensitivity to sunlight and some types of artificial light.</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October 2026, we announced positive topline results from APOLLO, a randomized, double-blind, pivotal Phase 3 trial evaluating the safety and efficacy of bitopertin versus placebo in adults and adolescents aged 12 or older with EPP or XLP. Bitopertin achieved statistical significance on both co-primary endpoints versus placebo, with reduction in whole-blood metal-free protoporphyrin IX, or PPIX, from baseline (-41.4% vs. placebo, p&lt;0.0001) and increase in average monthly total time in light without pain during month 6 (+12.2 hours vs. placebo, p=0.0010). Bitopertin also achieved statistical significance on all secondary endpoints versus placebo, including reduction in incidence rate of phototoxic reactions over the 6-month treatment period (p&lt;0.0001), increase in cumulative total time in light without pain over the 6-month treatment period (p&lt;0.0001), and increase in change from baseline in average daily sunlight exposure time to prodrome (p=0.0077, adults only). In addition, bitopertin demonstrated additional quality of life benefits versus placebo, including improved Patient Global Impression of Change, or PGIC, score (p&lt;0.0001) and Patient Global Impression of Severity, or PGIS, score (p&lt;0.0001). Bitopertin was generally well-tolerated. Consistent with prior studies, dizziness was the most commonly reported treatment emergent adverse event, or TEAE, in the bitopertin group (50%) and was mild or moderate and generally transient. There were no TEAEs above Grade 3.</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also completed two Phase 2 clinical trials of bitopertin: BEACON, an open-label, parallel-dose clinical trial in EPP and XLP patients conducted at sites in Australia, and AURORA, a randomized, double-blind, placebo-controlled clinical trial in EPP patients conducted at sites in the United States. In both trials, bitopertin significantly reduced PPIX and was associated with improvements in measures of time spent in sunlight and quality of life. In addition, bitopertin was generally well-tolerated. All participants in AURORA and BEACON were eligible to participate in HELIOS, an ongoing open-label, long-term extension study of bitopertin in EPP and XLP patients. Interim data from HELIOS, presented in June 2025 and June 2026, demonstrated that longer term treatment of bitopertin was associated with sustained reductions in PPIX, as well as improvements in quality of life and liver biomarkers.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September 2025 we submitted a New Drug Application, or NDA, for accelerated approval of bitopertin in EPP and XLP in the United States based on our Phase 2 data. The U.S. Food and Drug Administration, or the FDA, accepted our NDA for review in November 2025 and in February 2026 issued a complete response letter, or CRL. The FDA concluded that the AURORA and BEACON trials did not show evidence of association between percent change in PPIX and sunlight exposure-based endpoints as measured in the trials, resulting in uncertainty regarding whether bitopertin’s effect on PPIX is reasonably likely to predict clinical benefit, despite the strong mechanistic and biological plausibility supporting the use of the PPIX biomarker in protoporphyria. In our Type A meeting during the second quarter of 2026, the FDA indicated that results of the Phase 3 APOLLO trial, if successful,</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8"/>
          <w:szCs w:val="18"/>
          <w:color w:val="auto"/>
        </w:rPr>
        <w:t>could serve as the basis for a response to the CRL and could potentially support a traditional approval. With the positive topline results from APOLLO, we plan to engage with the FDA and resubmit an NDA by the end of 2026, with an FDA decision anticipated by mid-2027.</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APOLLO clinical trial is also intended to serve as a registrational trial with respect to any potential future marketing applications for bitopertin in EPP and XLP outside the United States. We continue to evaluate potential additional trials of bitopertin in other indications.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Iron Homeostasis: Selcodebart (DISC-0974) and DISC-3405</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Selcodebart is the lead product candidate in our iron homeostasis portfolio and was licensed from AbbVie Deutschland GmbH &amp; Co. KG, or AbbVie. Selcodebart is designed to suppress hepcidin production and increase serum iron levels. We completed a Phase 1 clinical trial in healthy volunteers in the United States in June 2022, with results showing an acceptable tolerability profile and evidence of target engagement, iron mobilization and augmented erythropoiesis. We initiated a Phase 1b/2 clinical trial in June 2022 in patients with anemia of MF, with results from the Phase 1b portion of this clinical trial showing substantial and sustained reductions in hepcidin levels and increases in iron alongside strong hematologic responses across patient types and an acceptable tolerability profile. We initiated RALLY-MF, the open-label Phase 2 portion of this clinical trial, in December 2024 and reported initial data in December 2025 and interim data in June 2026, with results demonstrating meaningful overall anemia responses across all patient subgroups, regardless of baseline transfusion status and independent of concomitant Janus Kinase, or JAK, inhibitor therapy use. We expect to share additional data and hold an end-of-Phase 2 meeting with the FDA for selcodebart in anemia of MF by the end of 2026. We anticipate initiating a Phase 3 clinical program for selcodebart in anemia of MF in the first half of 2027, subject to the outcome of our end-of-Phase 2 meeting with the FDA. We also initiated RALLY-IBD, a Phase 2 clinical trial of selcodebart in patients with IBD and anemia in the first quarter of 2026, with initial data anticipated in 2027, and we are planning exploratory studies in additional patient populations with anemia of chronic disease. We are also developing a preclinical anti-hemojuvelin, or HJV, monoclonal antibody, DISC-0998, which also targets hepcidin suppression and was licensed from AbbVie. DISC-0998 is designed to increase serum iron levels and has an extended serum half-life as compared to selcodebart. We believe this profile may be desirable in certain subsets of patients with anemia associated with inflammatory diseases.</w:t>
      </w:r>
    </w:p>
    <w:p>
      <w:pPr>
        <w:spacing w:after="0" w:line="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We initiated a Phase 1 clinical trial of DISC-3405 in healthy adult volunteers in October 2023, with results showing an acceptable tolerability profile and evidence of target engagement, including dose-related increases in serum hepcidin and corresponding reductions in serum iron across all dose levels. We are developing DISC-3405 for the treatment of PV, SCD, and other hematologic disorders. We initiated RESTORE-PV, an open-label Phase 2 clinical trial of DISC-3405 in patients with PV, in June 2025, and reported initial efficacy data from Cohort A of this trial in September 2026, with results demonstrating that treatment with DISC-3405 increased hepcidin and lowered serum iron, translating to reduction in phlebotomy events, controlled hematocrit, and improved symptom burden in patients with PV. In this initial data, DISC-3405 was generally well-tolerated in participants in Cohort A and Cohort B, with adverse events that were consistent with underlying disease and a low rate of injection site reactions, which were mild and self-limited. We expect to report additional data from our RESTORE-PV clinical trial by the end of 2026 and topline data in 2027. If positive, and subject to engagement with the FDA, we anticipate initiating a Phase 3 clinical program for DISC-3405 in PV in 2027. We also initiated a Phase 1b, open-label clinical trial of DISC-3405 in patients with SCD in October 2025, with initial data expected in the fourth quarter of 2026, and plan to explore the role of therapeutic iron restriction in other indications.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2026, we had cash, cash equivalents and marketable securities of $682.8 million. In October 2026, we completed an underwritten public offering of shares of our common stock for net proceeds of approximately $485.9 million, after deducting estimated offering expenses payable by us. We believe that our cash, cash equivalents and marketable securities, including the net proceeds of our October 2026 underwritten public offering, will be sufficient to fund our current operating and capital expenditure plans and our debt service obligations into 2030, without taking into account any potential net cash inflows from bitopertin or any other marketed product, if approved during such period. We have based these estimates on assumptions that may prove to be wrong, and we could exhaust our available capital resources sooner than we expect.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for additional details.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not generated any revenue since our inception and do not expect to generate any revenue from the sale of products in the near future, if at all. If our development efforts are successful and result in commercialization of one or more product candidates or if we enter into collaboration or license agreements with third parties, we may generate revenue in the future from product sales, payments from such collaboration or license agreements or a combination thereof.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research and development of our product candidates. These expenses include:</w:t>
      </w:r>
    </w:p>
    <w:p>
      <w:pPr>
        <w:spacing w:after="0" w:line="54" w:lineRule="exact"/>
        <w:rPr>
          <w:sz w:val="20"/>
          <w:szCs w:val="20"/>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 for personnel engaged in research and development functions;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our research and development activities, including under agreements with third parties such as consultants, contractors and contract research organizations, or CROs;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contract development and manufacturing organizations, or CDMOs, that are primarily engaged to provide drug substance and product for our preclinical studies, clinical trials and research and development programs, as well as investigative sites and consultants that conduct our clinical trials, preclinical studies and other scientific development services;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and manufacturing preclinical study and clinical trial materials, including manufacturing registration and validation batches;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Costs incurred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may be reflected in our condensed consolidated financial statements as prepaid or accrued expenses. Nonrefundable advance payments for goods or services to be received in the future for use in research and development activities are recorded as prepaid expenses and expensed as the related goods are delivered or the services are performed or when it is no longer expected that the goods will be delivered or the services rendered.</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typically use our employee and infrastructure resources across product candidates and development programs. We track external development costs by product candidate or development program, but we do not allocate personnel costs or other internal costs to specific product candidates or development programs.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that our research and development expenses will increase substantially as we advance our programs into and through clinical development. At this time, we cannot accurately estimate or know the nature, timing or costs of the efforts that will be necessary to complete their preclinical and clinical development. Changes in the outcome of any number of variables with respect to these programs could significantly affect the costs and timing associated with their development. We may never succeed in obtaining regulatory approval for any product candidates that have not yet been approved. The successful development of any product candidate is highly uncertain due to the numerous risks and uncertainties inherent in product development, including the following:</w:t>
      </w:r>
    </w:p>
    <w:p>
      <w:pPr>
        <w:spacing w:after="0" w:line="79"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to the extent necessary to complete clinical development of and commercialize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 and the progress of the development efforts of third parties with whom we may enter into such arrangements;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programs;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enrollment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 for any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for use in production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agreements with third-party manufacturers for supply of product candidate components for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5" w:name="page26"/>
    <w:bookmarkEnd w:id="25"/>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other rights in our intellectual property portfolio;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product candidates,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insurance coverage and adequate reimbursement for any approved products.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related costs for personnel in executive, finance, commercial, corporate and business development, and administrative functions. Selling, general and administrative expenses also include legal fees relating to patent and corporate matters, including noncapitalizable transaction costs; professional fees for accounting, auditing, tax compliance and administrative consulting services; investor and public relations expenses; commercial planning and market research; director and officer insurance costs and other insurance costs; and facility related expenses including maintenance and allocated expenses for rent and other operating costs.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that our selling, general and administrative expenses will increase substantially in the future as we increase our headcount to support our continued research and development and potential commercialization activities, including establishing the infrastructure to commercialize any product candidates for which we may obtain marketing approval.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income primarily consists of interest earned on cash equivalents, consisting of money market funds and corporate debt securities, as well as marketable securities, consisting of U.S. treasury securities, U.S. government agency securities and corporate debt securities.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primarily consists of amortization of debt issuance costs and discount and interest expense under the Hercules Loan Agreement.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September 30, 2026 and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and nine months ended September 30, 2026 and 2025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73"/>
        </w:trPr>
        <w:tc>
          <w:tcPr>
            <w:tcW w:w="3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210"/>
        </w:trPr>
        <w:tc>
          <w:tcPr>
            <w:tcW w:w="3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3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44,080</w:t>
            </w:r>
          </w:p>
        </w:tc>
        <w:tc>
          <w:tcPr>
            <w:tcW w:w="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50,334</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136,917</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124,416</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12,501</w:t>
            </w:r>
          </w:p>
        </w:tc>
      </w:tr>
      <w:tr>
        <w:trPr>
          <w:trHeight w:val="216"/>
        </w:trPr>
        <w:tc>
          <w:tcPr>
            <w:tcW w:w="30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20,081</w:t>
            </w:r>
          </w:p>
        </w:tc>
        <w:tc>
          <w:tcPr>
            <w:tcW w:w="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17,362</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2,719</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61,843</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44,636</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17,207</w:t>
            </w:r>
          </w:p>
        </w:tc>
      </w:tr>
      <w:tr>
        <w:trPr>
          <w:trHeight w:val="210"/>
        </w:trPr>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64,161</w:t>
            </w: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67,696</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198,760</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169,052</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29,708</w:t>
            </w:r>
          </w:p>
        </w:tc>
      </w:tr>
      <w:tr>
        <w:trPr>
          <w:trHeight w:val="210"/>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(64,161)</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(67,696)</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3,535</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(198,760)</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(169,052)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(29,708)</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6,454</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6,412</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19,879</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20,349</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16"/>
        </w:trPr>
        <w:tc>
          <w:tcPr>
            <w:tcW w:w="3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16"/>
        </w:trPr>
        <w:tc>
          <w:tcPr>
            <w:tcW w:w="30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(expense) income</w:t>
            </w:r>
          </w:p>
        </w:tc>
        <w:tc>
          <w:tcPr>
            <w:tcW w:w="4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0"/>
        </w:trPr>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4,735</w:t>
            </w: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5,477</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16,418</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17,672</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w:t>
            </w:r>
          </w:p>
        </w:tc>
      </w:tr>
      <w:tr>
        <w:trPr>
          <w:trHeight w:val="210"/>
        </w:trPr>
        <w:tc>
          <w:tcPr>
            <w:tcW w:w="3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(59,426)</w:t>
            </w:r>
          </w:p>
        </w:tc>
        <w:tc>
          <w:tcPr>
            <w:tcW w:w="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(62,219)</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2,793</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(182,342)</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(151,380)</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(30,962)</w:t>
            </w:r>
          </w:p>
        </w:tc>
      </w:tr>
      <w:tr>
        <w:trPr>
          <w:trHeight w:val="210"/>
        </w:trPr>
        <w:tc>
          <w:tcPr>
            <w:tcW w:w="3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Income tax expense</w:t>
            </w: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44</w:t>
            </w:r>
          </w:p>
        </w:tc>
      </w:tr>
      <w:tr>
        <w:trPr>
          <w:trHeight w:val="249"/>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(59,535)</w:t>
            </w:r>
          </w:p>
        </w:tc>
        <w:tc>
          <w:tcPr>
            <w:tcW w:w="46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(62,321)</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2,786</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(182,571)</w:t>
            </w:r>
          </w:p>
        </w:tc>
        <w:tc>
          <w:tcPr>
            <w:tcW w:w="3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(151,653)</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(30,918)</w:t>
            </w:r>
          </w:p>
        </w:tc>
      </w:tr>
      <w:tr>
        <w:trPr>
          <w:trHeight w:val="413"/>
        </w:trPr>
        <w:tc>
          <w:tcPr>
            <w:tcW w:w="3020" w:type="dxa"/>
            <w:vAlign w:val="bottom"/>
            <w:tcBorders>
              <w:top w:val="single" w:sz="8" w:color="CFF0FC"/>
            </w:tcBorders>
          </w:tcPr>
          <w:p>
            <w:pPr>
              <w:spacing w:after="0"/>
              <w:rPr>
                <w:sz w:val="24"/>
                <w:szCs w:val="24"/>
                <w:color w:val="auto"/>
              </w:rPr>
            </w:pPr>
          </w:p>
        </w:tc>
        <w:tc>
          <w:tcPr>
            <w:tcW w:w="4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763"/>
        </w:trPr>
        <w:tc>
          <w:tcPr>
            <w:tcW w:w="30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-2219325</wp:posOffset>
            </wp:positionV>
            <wp:extent cx="12001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-2219325</wp:posOffset>
            </wp:positionV>
            <wp:extent cx="1111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-2219325</wp:posOffset>
            </wp:positionV>
            <wp:extent cx="1111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-2219325</wp:posOffset>
            </wp:positionV>
            <wp:extent cx="1117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-2219325</wp:posOffset>
            </wp:positionV>
            <wp:extent cx="1117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-1379855</wp:posOffset>
            </wp:positionV>
            <wp:extent cx="12001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-1379855</wp:posOffset>
            </wp:positionV>
            <wp:extent cx="1111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-1379855</wp:posOffset>
            </wp:positionV>
            <wp:extent cx="1111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-1379855</wp:posOffset>
            </wp:positionV>
            <wp:extent cx="11176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-1379855</wp:posOffset>
            </wp:positionV>
            <wp:extent cx="11176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-1087755</wp:posOffset>
            </wp:positionV>
            <wp:extent cx="1200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-1087755</wp:posOffset>
            </wp:positionV>
            <wp:extent cx="1111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-1087755</wp:posOffset>
            </wp:positionV>
            <wp:extent cx="1111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-1087755</wp:posOffset>
            </wp:positionV>
            <wp:extent cx="1117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-1087755</wp:posOffset>
            </wp:positionV>
            <wp:extent cx="1117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-796925</wp:posOffset>
            </wp:positionV>
            <wp:extent cx="12001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-779780</wp:posOffset>
            </wp:positionV>
            <wp:extent cx="12001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-796925</wp:posOffset>
            </wp:positionV>
            <wp:extent cx="1111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-779780</wp:posOffset>
            </wp:positionV>
            <wp:extent cx="1111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-796925</wp:posOffset>
            </wp:positionV>
            <wp:extent cx="1111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-779780</wp:posOffset>
            </wp:positionV>
            <wp:extent cx="1111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-796925</wp:posOffset>
            </wp:positionV>
            <wp:extent cx="1117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-779780</wp:posOffset>
            </wp:positionV>
            <wp:extent cx="11176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-796925</wp:posOffset>
            </wp:positionV>
            <wp:extent cx="11176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-779780</wp:posOffset>
            </wp:positionV>
            <wp:extent cx="11176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and nine months ended September 30, 2026 and 2025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73"/>
        </w:trPr>
        <w:tc>
          <w:tcPr>
            <w:tcW w:w="4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210"/>
        </w:trPr>
        <w:tc>
          <w:tcPr>
            <w:tcW w:w="4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Bitopertin</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42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11,833</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24,998</w:t>
            </w:r>
          </w:p>
        </w:tc>
        <w:tc>
          <w:tcPr>
            <w:tcW w:w="42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43,954</w:t>
            </w:r>
          </w:p>
        </w:tc>
        <w:tc>
          <w:tcPr>
            <w:tcW w:w="1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(18,956)</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Selcodebart (DISC-0974)</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7,369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1,053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18,105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10,780</w:t>
            </w: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DISC-3405</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11,910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15,486</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3,541</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Other research programs and expenses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5,386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799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13,491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(including equity-based compensation)</w:t>
            </w: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17,601</w:t>
            </w:r>
          </w:p>
        </w:tc>
        <w:tc>
          <w:tcPr>
            <w:tcW w:w="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13,836</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3,765</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50,215</w:t>
            </w:r>
          </w:p>
        </w:tc>
        <w:tc>
          <w:tcPr>
            <w:tcW w:w="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33,380</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16,835</w:t>
            </w:r>
          </w:p>
        </w:tc>
      </w:tr>
      <w:tr>
        <w:trPr>
          <w:trHeight w:val="209"/>
        </w:trPr>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44,080</w:t>
            </w:r>
          </w:p>
        </w:tc>
        <w:tc>
          <w:tcPr>
            <w:tcW w:w="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50,334</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136,917</w:t>
            </w:r>
          </w:p>
        </w:tc>
        <w:tc>
          <w:tcPr>
            <w:tcW w:w="42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124,416</w:t>
            </w:r>
          </w:p>
        </w:tc>
        <w:tc>
          <w:tcPr>
            <w:tcW w:w="1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12,501</w:t>
            </w:r>
          </w:p>
        </w:tc>
      </w:tr>
      <w:tr>
        <w:trPr>
          <w:trHeight w:val="20"/>
        </w:trPr>
        <w:tc>
          <w:tcPr>
            <w:tcW w:w="4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-170815</wp:posOffset>
            </wp:positionV>
            <wp:extent cx="939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-170815</wp:posOffset>
            </wp:positionV>
            <wp:extent cx="946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-170815</wp:posOffset>
            </wp:positionV>
            <wp:extent cx="939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-170815</wp:posOffset>
            </wp:positionV>
            <wp:extent cx="939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939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$44.1 million for the three months ended September 30, 2026, compared to $50.3 million for the three months ended September 30, 2025. The decrease of $6.3 million was driven by a $7.0 million reduction in expenses related to DISC-3405, primarily related to a $10.0 million milestone payment incurred during the comparative period. There was also a decrease of $4.8 million in bitopertin development expenses, primarily related to drug manufacturing activities in the comparative period that did not recur in the current period. These decreases were partially offset by an increase in personnel related costs of $3.8 million related to higher research and development headcount, including an increase of $2.9 million in stock-based compensation driven by awards granted under our equity compensation plans. Selcodebart development expenses increased $1.1 million, primarily related to drug manufacturing activities. Other research programs and expenses also increased $0.8 million.</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$136.9 million for the nine months ended September 30, 2026, compared to $124.4 million for the nine months ended September 30, 2025. The increase of $12.5 million was primarily due to an increase of $16.8 million in personnel-related costs related to higher research and development headcount, including an increase of $8.8 million in stock-based compensation driven by awards granted under our equity compensation plans. Selcodebart development expenses increased $10.8 million primarily related to clinical trial advancement and drug manufacturing activities. DISC-3405 development expenses increased $3.5 million primarily driven by increased clinical trial and drug manufacturing activities of $8.5 million which were partially offset by lower milestone payments of $5.0 million. Bitopertin development expenses decreased $19.0 million primarily driven by a $10.0 million milestone payment and drug manufacturing activities in the comparative period that did not recur in the current period.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selling, general and administrative expenses for the three and nine months ended September 30, 2026 and 2025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3"/>
        </w:trPr>
        <w:tc>
          <w:tcPr>
            <w:tcW w:w="4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210"/>
        </w:trPr>
        <w:tc>
          <w:tcPr>
            <w:tcW w:w="4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1"/>
        </w:trPr>
        <w:tc>
          <w:tcPr>
            <w:tcW w:w="42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Personnel-related (including equity-based</w:t>
            </w: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r>
      <w:tr>
        <w:trPr>
          <w:trHeight w:val="234"/>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12,903</w:t>
            </w:r>
          </w:p>
        </w:tc>
        <w:tc>
          <w:tcPr>
            <w:tcW w:w="44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10,587</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2,316</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40,618</w:t>
            </w:r>
          </w:p>
        </w:tc>
        <w:tc>
          <w:tcPr>
            <w:tcW w:w="42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25,715</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14,903</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Legal, consulting and professional fees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5,432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14,866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1,225</w:t>
            </w:r>
          </w:p>
        </w:tc>
      </w:tr>
      <w:tr>
        <w:trPr>
          <w:trHeight w:val="216"/>
        </w:trPr>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8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1,343</w:t>
            </w:r>
          </w:p>
        </w:tc>
        <w:tc>
          <w:tcPr>
            <w:tcW w:w="1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4,055</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1,079</w:t>
            </w:r>
          </w:p>
        </w:tc>
      </w:tr>
      <w:tr>
        <w:trPr>
          <w:trHeight w:val="209"/>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20,081</w:t>
            </w:r>
          </w:p>
        </w:tc>
        <w:tc>
          <w:tcPr>
            <w:tcW w:w="4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17,362</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2,719</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61,843</w:t>
            </w:r>
          </w:p>
        </w:tc>
        <w:tc>
          <w:tcPr>
            <w:tcW w:w="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44,636</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17,207</w:t>
            </w:r>
          </w:p>
        </w:tc>
      </w:tr>
      <w:tr>
        <w:trPr>
          <w:trHeight w:val="20"/>
        </w:trPr>
        <w:tc>
          <w:tcPr>
            <w:tcW w:w="4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6383020</wp:posOffset>
            </wp:positionH>
            <wp:positionV relativeFrom="paragraph">
              <wp:posOffset>-170815</wp:posOffset>
            </wp:positionV>
            <wp:extent cx="1028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$20.1 million for the three months ended September 30, 2026, compared to $17.4 million for the three months ended September 30, 2025. The increase of $2.7 million was primarily due to an increase of $2.3 million in personnel-related costs due to increased selling, general and administrative headcount, including an increase of $2.2 million in stock-based compensation driven by awards granted under our equity compensation plans.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were $61.8 million for the nine months ended September 30, 2026, compared to $44.6 million for the nine months ended September 30, 2025. The increase of $17.2 million was primarily due to an increase of $14.9 million in personnel-related costs due to increased selling, general and administrative headcount, including an increase of $7.4 million in stock-based compensation driven by awards granted under our equity compensation plans and an increase of $1.6 million related to an organizational restructuring. There were also increases of $1.1 million and $1.2 million in other expenses and legal, consulting, and professional fees, respectively, primarily related to developing our commercialization capabilities.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net was $4.7 million and $16.4 million for the three and nine months ended September 30, 2026, respectively, compared to $5.5 million and $17.7 million for the three and nine months ended September 30, 2025, respectively. Other income (expense), net consists primarily of interest income from our cash, cash equivalents and marketable securities, partially offset by interest expense associated with our term loan.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was $0.1 million and $0.2 million for the three and nine months ended September 30, 2026, respectively, compared to $0.1 million and $0.3 million for the three and nine months ended September 30, 2025, respectively. This expense primarily relates to state income tax resulting from interest income.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We expect to continue to incur significant expenses and operating losses in the foreseeable future as we advance the clinical development of our product candidates. We expect that our research and development and selling, general and administrative costs will continue to increase significantly, including in connection with conducting clinical trials and manufacturing for our product candidates to support commercialization and providing selling, general and administrative support for our operations, including the costs associated with operating as a public company. As a result, we may need additional capital to fund our operations, which we may obtain from additional equity or debt financings, collaborations, licensing arrangements or other sources. See “Risk Factors” included within Item 1A of this Quarterly Report on Form 10-Q for additional risks associated with our substantial capital requirements.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date, we have funded our operations primarily with proceeds from the sale of our convertible preferred stock and common stock, the proceeds from the merger with Gemini, proceeds from various private and public sales of our equity securities and proceeds from borrowings under the Hercules Loan Agreement. Through September 30, 2026, we have received net proceeds of $144.5 million from sales of our Series Seed, Series A and Series B convertible preferred stock, $89.5 million from the merger with Gemini, $941.8 million from various private and public sales of our equity securities, and $57.6 million from net borrowings under the Hercules Loan Agreement. As of September 30, 2026, we had cash, cash equivalents and marketable securities of $682.8 million.</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2026, we completed an underwritten public offering of shares of our common stock for net proceeds of approximately $485.9 million, after deducting estimated offering expenses payable by us.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and, as of September 30, 2026, had an accumulated deficit of $692.8 million. In addition, we expect to continue to incur significant and increasing expenses and operating losses for the foreseeable future. We believe that our cash, cash equivalents and marketable securities, including the net proceeds of our October 2026 underwritten public offering, will be sufficient to fund our current operating and capital expenditure plans and our debt service obligations into 2030, without taking into account any potential net cash inflows from bitopertin or any other marketed product, if approved during such period. We have based these estimates on assumptions that may prove to be wrong, and we could exhaust our available capital resources sooner than we expect. We may also pursue additional cash resources through public or private equity offerings, collaborations or additional debt financing.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each period presented (in thousands):</w:t>
      </w:r>
    </w:p>
    <w:p>
      <w:pPr>
        <w:spacing w:after="0" w:line="111"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-3175</wp:posOffset>
            </wp:positionV>
            <wp:extent cx="224599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(146,639)</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(137,093)</w:t>
            </w: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105,267</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(171,406)</w:t>
            </w: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40,210</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256,731</w:t>
            </w:r>
          </w:p>
        </w:tc>
      </w:tr>
      <w:tr>
        <w:trPr>
          <w:trHeight w:val="230"/>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(51,768)</w:t>
            </w: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12001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1200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cash flows from operating activities are greatly influenced by our use of cash for operating expenses and working capital requirements to support our business. We have historically experienced negative cash flows from operating activities as we invested in developing our portfolio, drug discovery efforts, conducting clinical trials and manufacturing, and related infrastructure. The cash used in operating activities resulted primarily from our net losses adjusted for non-cash charges and changes in components of operating assets and liabilities, which are primarily the result of increased expenses and timing of vendor payments.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net cash used in operating activities of $146.6 million was primarily due to our net loss of $182.6 million. This was partially offset by non-cash expenses of $40.2 million, which included $40.5 million in stock-based compensation, and the change in operating assets and liabilities of $4.2 million.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net cash used in operating activities of $137.1 million was primarily due to our net loss of $151.7 million and the change in operating assets and liabilities of $4.9 million. These were partially offset by non-cash expenses of $19.4 million which included $24.3 million in stock-based compensation, reduced by $6.9 million from amortization and accretion of investment securities.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net cash provided by investing activities was primarily due to maturities of marketable securities of $410.2 million, partially offset by purchases of marketable securities of $305.0 million.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net cash used in investing activities was primarily due to purchases of marketable securities of $491.3 million, partially offset by maturities of marketable securities of $320.8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net cash provided by financing activities of $40.2 million consisted primarily of net proceeds from the issuance of long-term debt of $30.0 million and proceeds from stock option exercises of $9.1 million.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net cash provided by financing activities of $256.7 million consisted primarily of aggregate net proceeds of $243.4 million and $9.8 million from our underwritten offering in January 2025 and sales of shares of common stock pursuant to our Controlled Equity Offering Sales Agreement, or the Cantor ATM Agreement, with Cantor Fitzgerald &amp; Co., or Cantor,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our expenses to continue to increase in connection with our ongoing activities, particularly as we continue the research and development of, initiate and complete clinical trials of, and seek regulatory approval for, our product candidates. In addition, depending on the status of regulatory approval, or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presently anticipated. Furthermore, we expect to continue to incur costs associated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with operating as a public company. Our future capital requirements will depend on and could increase significantly as a result of many factors, including:</w:t>
      </w:r>
    </w:p>
    <w:p>
      <w:pPr>
        <w:spacing w:after="0" w:line="117"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to the extent necessary to complete clinical development of and commercialize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and maintain existing licensing or collaboration arrangements and the progress of the development efforts of third parties with whom we may enter into such arrangements;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programs;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enrollment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 for any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for use in production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agreements with third-party manufacturers for supply of product candidate components for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other rights in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insurance coverage and adequate reimbursement for any approved products.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may take longer than we anticipate to become commercially available, if they become commercially available at all. Accordingly, we may need to obtain substantial additional funds to achieve our business objectives.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To the extent that we raise additional capital through the sale of equity or convertible debt securities, the ownership interest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September 30, 2026 and the effects that such obligations are expected to have on our liquidity and cash flows in future periods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1 to 3</w:t>
            </w:r>
          </w:p>
        </w:tc>
        <w:tc>
          <w:tcPr>
            <w:tcW w:w="240" w:type="dxa"/>
            <w:vAlign w:val="bottom"/>
          </w:tcPr>
          <w:p>
            <w:pPr>
              <w:spacing w:after="0"/>
              <w:rPr>
                <w:sz w:val="10"/>
                <w:szCs w:val="10"/>
                <w:color w:val="auto"/>
              </w:rPr>
            </w:pPr>
          </w:p>
        </w:tc>
        <w:tc>
          <w:tcPr>
            <w:tcW w:w="960" w:type="dxa"/>
            <w:vAlign w:val="bottom"/>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3 to 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0" w:type="dxa"/>
            <w:vAlign w:val="bottom"/>
          </w:tcPr>
          <w:p>
            <w:pPr>
              <w:spacing w:after="0"/>
              <w:rPr>
                <w:sz w:val="1"/>
                <w:szCs w:val="1"/>
                <w:color w:val="auto"/>
              </w:rPr>
            </w:pPr>
          </w:p>
        </w:tc>
      </w:tr>
      <w:tr>
        <w:trPr>
          <w:trHeight w:val="173"/>
        </w:trPr>
        <w:tc>
          <w:tcPr>
            <w:tcW w:w="4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09"/>
        </w:trPr>
        <w:tc>
          <w:tcPr>
            <w:tcW w:w="48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Operating lease commitments</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2,505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1,745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226</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2,505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1,745</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226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-170815</wp:posOffset>
            </wp:positionV>
            <wp:extent cx="7747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-170815</wp:posOffset>
            </wp:positionV>
            <wp:extent cx="768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-170815</wp:posOffset>
            </wp:positionV>
            <wp:extent cx="774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768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74" w:lineRule="exact"/>
        <w:rPr>
          <w:sz w:val="20"/>
          <w:szCs w:val="20"/>
          <w:color w:val="auto"/>
        </w:rPr>
      </w:pPr>
    </w:p>
    <w:p>
      <w:pPr>
        <w:jc w:val="both"/>
        <w:ind w:firstLine="8"/>
        <w:spacing w:after="0" w:line="267" w:lineRule="auto"/>
        <w:tabs>
          <w:tab w:leader="none" w:pos="23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contractual rent payments due for our leased and subleased office spaces in Watertown, Massachusetts as of September 30, 2026 and include contractual payments due under our forward-starting lease which is expected to commence in December 2026. The term date for our existing lease is December 31, 2029 and the term date for our existing sublease is November 30, 2026.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CDMOs and other third parties for preclinical studies, clinical trials and manufacturing services. These contracts typically do not contain minimum purchase commitments and are generally cancelable by us upon written notice. Payments due upon cancellation consist of payments for services provided or expenses incurred, including noncancelable obligations of our service providers, up to the date of cancellation and, in the case of certain arrangements with CROs and CDMOs, may include non-cancelable fees. These payments are not included in the table above as the amount and timing of such payments are not fixed and estimable.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also entered into license agreements under which we are obligated to make specified milestone and royalty payments. We have not included future payments under these agreements in the table of contractual obligations above since the payment obligations under these agreements are contingent upon future events such as regulatory milestones or generating product sales. We are unable to estimate the timing or likelihood of achieving these milestones or generating future product sales. For additional information about our license agreements and amounts that could become payable in the future under such agreements, see our condensed consolidated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management’s discussion and analysis of our financial condition and results of operations is based on our condensed consolidated financial statements, which have been prepared in accordance with U.S. generally accepted accounting principles, or GAAP. The preparation of our condensed consolidated financial statements and related disclosures requires us to make estimates and judgments that affect the reported amounts of assets, liabilities, and costs and expenses.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See our Annual Report on Form 10-K for the year ended December 31, 2025 for more </w:t>
      </w:r>
      <w:r>
        <w:rPr>
          <w:rFonts w:ascii="Times New Roman" w:cs="Times New Roman" w:eastAsia="Times New Roman" w:hAnsi="Times New Roman"/>
          <w:sz w:val="18"/>
          <w:szCs w:val="18"/>
          <w:color w:val="212529"/>
        </w:rPr>
        <w:t>information about critical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policies as well as a description of our other significant accounting policies</w:t>
      </w:r>
      <w:r>
        <w:rPr>
          <w:rFonts w:ascii="Times New Roman" w:cs="Times New Roman" w:eastAsia="Times New Roman" w:hAnsi="Times New Roman"/>
          <w:sz w:val="18"/>
          <w:szCs w:val="18"/>
          <w:color w:val="000000"/>
        </w:rPr>
        <w:t>.</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from those described in Part II, Item 7. “Management’s Discussion and Analysis of Financial Condition and Results of Operations” included in our Annual Report on Form 10-K for the year ended December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A description of recently issued and certain recently adopted accounting pronouncements that have or may potentially impact our financial position and results of operations is included in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to our consolidated financial statements in our Annual Report on Form 10-K for the year ended December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September 30, 2026 and December 31, 2025, we had cash, cash equivalents and marketable securities of $682.8 million and $791.2 million, respectively. As of September 30, 2026 and December 31, 2025, our cash equivalents consisted of money market funds and corporate debt securities with original maturities of three months or less and our marketable securities consisted of U.S. treasury, U.S. government agency, and corporate debt securities which were classified as available-for-sale securities. Our primary investment objectives are the preservation of capital and the maintenance of liquidity, and our investment policy defines allowable investments based on quality of the institutions and financial instruments designed to minimize risk exposure. Our exposure to interest rate sensitivity is affected by changes in the general level of U.S. interest rates. Our marketable securities are subject to interest rate risk and will fall in value if market interest rates increase. Due to the short-term maturities and low risk profiles of our investments, we do not anticipate a significant exposure to interest rate risk. If market interest rates were to increase immediately and uniformly by one percentage point from levels as of September 30, 2026, the net fair value of our marketable securities would decrease by approximately $3.6 million.</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employees and operations are primarily located in the United States. We have, from time to time, engaged in contracts with contractors or other vendors in a currency other than the U.S. dollar. To date, we have had minimal exposure to fluctuations in foreign currency exchange rates as the time period between the date that transactions are initiated, and the date of payment or receipt of payment is generally of short duration. Accordingly, we believe we do not have a material exposure to foreign currency risk.</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contract research. We do not believe that inflation had a material effect on our business, financial condition or results of operations during the three and nine months ended September 30, 2026 and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Principal Executive Officer (our Chief Executive Officer) and Principal Financial Officer (our Chief Financial Officer), has evaluated the effectiveness of our disclosure controls and procedures as of September 30,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on such evaluation, our Principal Executive Officer and Principal Financial Officer have concluded that as of September 30, 2026, our disclosure controls and procedures were effective at the reasonable assurance level.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Except as described above, there were no changes in our internal control over financial reporting (as defined in Rules 13a-15(f) and 15d-15(f) under the Exchange Act) that occurred during the quarter ended September 30, 2026 that have materially affected, or are reasonably likely to materially affect, our internal control over financial reporting.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legal proceedings and claims in the ordinary course of business. We are not currently aware of any such proceedings or claims that we believe will have, individually or in the aggregate, a material adverse effect on our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Set forth below are the risks that we believe are material to our investors and they should be carefully considered. If any of the following risks and uncertainties actually occurs, our business, prospects, financial condition and results of operations could be materially and adversely affected. The risks described below are not intended to be exhaustive and other factors not presently known to us or that we currently believe are immaterial may affect our business, prospects, financial condition and results of operations if they occur. This section contains forward-looking statements. You should refer to the explanation of the qualifications and limitations on forward-looking statements beginning on page 1 of this Quarterly Report on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commenced operations in 2017 and are a clinical-stage biopharmaceutical company with a limited operating history. Biopharmaceutical product development is a highly speculative undertaking and involves a substantial degree of risk. Since our inception in October 2017, we have devoted substantially all of our efforts to organizing and staffing our company, business planning, capital raising, establishing and maintaining our intellectual property portfolio, building our pipeline of product candidates, conducting drug discovery activities, undertaking preclinical studies, conducting clinical trials, preparing for the potential commercialization of bitopertin, if approved, and providing general and administrative support for these operations. We have not yet demonstrated our ability to successfully develop any product candidate, obtain regulatory approvals, manufacture a commercial-scale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 or a history of successfully developing and commercializing products.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our inception and anticipate that we will continue to incur losses for the foreseeable future.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net losses were $182.6 million and $151.7 million for the nine months ended September 30, 2026 and 2025, respectively. We had an accumulated deficit of $692.8 million as of September 30, 2026. Substantially all of our net losses have resulted from costs incurred in connection with our research and development programs and from selling, general and administrative costs associated with our operations. We expect our research and development expenses to continue to increase significantly in connection with the commencement and continuation of clinical trials of our product candidates. In addition, if we obtain regulatory approval for our product candidates, we will incur significant sales, marketing and manufacturing expenses. We also will continue to incur additional costs associated with operating as a public company and expect to continue to incur significant and increasing operating losses over the next several years and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of our future losses is uncertain and our quarterly and annual operating results may fluctuate significantly in the future due to a variety of factors, many of which are outside of our control and may be difficult to predict, including the following:</w:t>
      </w:r>
    </w:p>
    <w:p>
      <w:pPr>
        <w:spacing w:after="0" w:line="54" w:lineRule="exact"/>
        <w:rPr>
          <w:sz w:val="20"/>
          <w:szCs w:val="20"/>
          <w:color w:val="auto"/>
        </w:rPr>
      </w:pPr>
    </w:p>
    <w:p>
      <w:pPr>
        <w:ind w:left="760" w:right="2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preclinical studies and clinical trials for our product candidates or competing product candidates, or any other change in the competitive landscape of our industry, including consolidation among our competitors or partners;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open clinical trial sites and recruit and retain subjects for clinical trials and any delays caused by difficulties in such efforts;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for our product candidates, and the timing and scope of any such approvals we may receive;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ind w:left="760" w:right="2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product candidates, which may change from time to time;</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and products, should they receive regulatory approval, which may vary depending on the quantity of production and the terms of our agreements with manufacturers;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qualified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develop additional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should they receive regulatory approval, which may vary significantly;</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U.S. and global economic environments;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us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guidance we may provide.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products approved for commercial sale and have not generated any revenue from product sales.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we have not generated collaborative revenue from our product candidates and have not generated revenue from product sales. We do not expect to generate significant revenue unless and until we obtain regulatory approval of, and begin to sell, one or more of our product candidates, which may take longer than we anticipate, or may not occur at all. Our ability to generate revenue depends on a number of factors, including, but not limited to, our ability to:</w:t>
      </w:r>
    </w:p>
    <w:p>
      <w:pPr>
        <w:spacing w:after="0" w:line="72"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our ongoing and planned preclinical studies for our current and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file and receive acceptance of our Investigational New Drug applications, or INDs, in order to commence our planned clinical trials or future clinical trials;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enroll subjects in and complete our ongoing and planned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and efficacy studies necessary to obtain U.S. and foreign regulatory approval for our product candidates;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address the prevalence, duration and severity of potential side effects or other safety issues experienced with our product candidates, if any;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file New Drug Applications, or NDAs, and Biologics License Applications, or BLAs, and receive regulatory approvals for our product candidates from the U.S. Food and Drug Administration, or the FDA, and comparable foreign regulatory authorities;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clinical and commercial manufacturing capabilities or make arrangements with third-party manufacturers for clinical supply and commercial manufacturing;</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patent and trade secret protection or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our products,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 our product candidates to effectively compete with other therapies;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healthcare coverage and adequate reimbursement, if and when our product candidates are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and defend intellectual property rights and claims;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continued acceptable safety profile of our products following approval.</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jc w:val="both"/>
        <w:spacing w:after="0" w:line="266"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and any future indebtedness could adversely affect our ability to operate our business.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we entered into a Loan and Security Agreement, as amended in June 2026, or the Hercules Loan Agreement, with the lenders party thereto, or the Lenders, and Hercules Capital, Inc., as administrative agent and collateral agent, or the Agent. The Hercules Loan Agreement provides for up to $200.0 million of senior secured term loans, or the Term Loan, available to us in multiple tranches. The Term Loan will mature on December 1, 2029. Our obligations under the Hercules Loan Agreement are secured, subject to customary permitted liens and other agreed-upon exceptions, by a first-priority perfected security interest in all of our tangible and intangible assets, other than intellectual property.</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Hercules Loan Agreement contains customary affirmative and negative covenants that could prevent us from taking certain actions without the consent of the Lenders. These covenants may limit our flexibility in operating our business and our ability to take actions that might be advantageous to us and our stockholders. Affirmative covenants include, among others, a financial covenant requiring us to maintain a minimum amount of qualified cash. Negative covenants include, among others: restrictions on transferring any part of our business or intellectual property; incurring additional indebtedness; engaging in mergers or acquisitions; paying dividends or making other distributions; making investments; and creating other liens on our assets, in each case subject to customary exceptions.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Hercules Loan Agreement also contains customary events of default, including the occurrence of a Material Adverse Effect (as defined in the Hercules Loan Agreement), and failure to make payments when due or comply with other covenants therein. We intend to satisfy our current and future debt service obligations with our then-existing cash and cash equivalents. However, we may not have sufficient funds, and may be unable to arrange for additional financing, to pay the amounts due under Hercules Loan Agreement or any other debt instruments. Upon the occurrence and continuance of an event of default, the Lenders may accelerate all of our repayment obligations and take control of our pledged assets, potentially requiring us to renegotiate our agreement on terms less favorable to us or to immediately cease operations. Any declaration by the Lenders of an event of default would therefore significantly harm our business and prospects and could cause the price of our common stock to decline.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raise any additional debt financing, the terms of such additional debt could further restrict our operating and financial flexibility.</w:t>
      </w:r>
    </w:p>
    <w:p>
      <w:pPr>
        <w:spacing w:after="0" w:line="1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substantial additional funding. If we are unable to raise capital when needed or on terms acceptable to us, we may be forced to delay, reduce or eliminate some of our product development programs or commercialization efforts.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development of pharmaceutical products is capital-intensive. We are currently advancing our hematologic disease programs through preclinical and clinical development. We expect our expenses to significantly increase in connection with our ongoing activities, particularly as we continue the research and development of, initiate and complete clinical trials of, and seek regulatory approval for, our product candidates. In addition,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presently anticipated. Furthermore, we expect to continue to incur costs associated with operating as a public company. Accordingly, we may need to obtain substantial additional funding in connection with our continuing operations. If we are unable to raise capital when needed or on attractive terms, we may be forced to delay, reduce or eliminate certain of our research and development programs or future commercialization efforts.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cash, cash equivalents and marketable securities, including the net proceeds of our October 2026 underwritten public offering, will be sufficient to fund our current operating and capital expenditure plans and our debt service obligations into 2030, without taking into account any potential net cash inflows from bitopertin or any other marketed product, if approved during such period. However, we have based this estimate on assumptions that may prove to be wrong, and we could exhaust our available capital resources sooner than expected. Our future capital requirements will depend on and could increase significantly as a result of many factors, including:</w:t>
      </w:r>
    </w:p>
    <w:p>
      <w:pPr>
        <w:spacing w:after="0" w:line="75"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to the extent necessary to complete clinical development of and commercialize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and maintain existing licensing or collaboration arrangements and the progress of the development efforts of third parties with whom we may enter into such arrangements;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programs;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ind w:left="7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enrollment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 for any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for use in production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agreements with third-party manufacturers for supply of product candidate components for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other rights in our intellectual property portfolio;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insurance coverage and adequate reimbursement for any approved products.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 if any, will be derived from sales of products that may take longer than we anticipate to become commercially available, if they become commercially available at all. Accordingly, we may need to continue to rely on additional financing to achieve our business objectives.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Disruptions in the financial markets in general may make equity and debt financing more difficult to obtain and may have a material adverse effect on our ability to meet our fundraising needs. We cannot guarantee that future financing will be available in sufficient amounts or on terms acceptable to us, if at all.</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Until such time, if ever, we can generate substantial product revenue, we expect to finance our cash needs through a combination of private and public equity offerings, debt financings, collaborations, strategic alliances and licensing arrangements. Other than up to $50.0 million of additional advances that may be drawn at our option until April 30, 2027 under the Hercules Loan Agreement,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your ownership interest will be diluted, and the terms of those securities may include liquidation or other preferences that may materially adversely affect your rights as a common stockholder. Additional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could be required to seek funds through arrangements with collaborators or otherwise at an earlier stage than otherwise would be desirable. If we raise funds through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product candidates that we would otherwise prefer to develop and market ourself, any of which may have a material adverse effect on our business, operating results and prospects.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not yet progressed any product candidates other than bitopertin through a Phase 3 clinical trial and may be unable to successfully complete any additional clinical trials for any product candidates we develop. Certain of our programs are still in preclinical development and may never advance to clinical development.</w:t>
      </w:r>
    </w:p>
    <w:p>
      <w:pPr>
        <w:spacing w:after="0" w:line="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currently have three product candidates in clinical development, only one of which has progressed through a Phase 3 clinical trial to the point of producing topline results. We have not yet demonstrated our ability to successfully complete a large-scale, pivotal clinical trial to the point of producing a final clinical study report, obtain regulatory approvals, manufacture a commercial scale product or arrange for a third party to do so on our behalf or conduct sales and marketing activities necessary for successful commercialization. The majority of our programs are still in preclinical and early to mid-stage clinical development. Our clinical programs may not advance to the next stage of clinical development, and our preclinical programs may never advance to clinical development or through clinical development, as applicable. We may not initiate any clinical trial of our product candidates until we have submitted an IND to the FDA or comparable submissions with equivalent regulatory authorities and received regulatory clearance. We may not be able to submit INDs or other regulatory filings for any of our product candidates on the timelines we expect, if at all. For example, we may experience manufacturing delays or other delays with IND-enabling studies. Moreover, we cannot be sure that submission of regulatory filings with the FDA or other regulatory authorities will result in such regulatory authorities allowing clinical trials to begin on a timely basis or at all, or that, once begun, such trials will be completed on schedule, if at all, or that issues will not arise that require us to revise, postpone, suspend or terminate our clinical trials.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we initiated the study in October 2022. Commencing any of our clinical trials is subject to finalizing the trial design based on discussions with the FDA and other regulatory authorities. Any guidance we receive from the FDA or other regulatory authorities is subject to change. The outcomes of our interactions with these regulatory authorities, including interactions critical to successfully advancing through the different phases of clinical development, such as end-of-phase 2 meetings with the FDA, may be difficult to predict ahead of time. In particular, regulatory authorities could change their position, including on the acceptability of our trial designs or the clinical endpoints selected, which may require us to complete additional clinical trials or result in the composition of stricter approval conditions than currently expected. Our ability to successfully advance from preclinical studies through the different phases of clinical development is therefore subject to significant uncertainty. Successful completion of our clinical trials is a prerequisite to submitting an NDA or a BLA to the FDA, a Marketing Authorisation Application, or MAA, to the European Medicines Agency, or EMA, or other marketing applications to regulatory authorities in other jurisdictions, for each product candidate and, consequently, the regulatory approval of each product candidate.</w:t>
      </w:r>
    </w:p>
    <w:p>
      <w:pPr>
        <w:spacing w:after="0" w:line="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single well-controlled clinical trial may not be sufficient for approval. While the FDA recently indicated that its default position will be that one well-controlled clinical trial, combined with confirmatory evidence, will serve as the basis of marketing authorization of novel products, the FDA and other regulators may nonetheless require additional clinical trials to support regulatory approval.</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preclinical studies or clinical trials or other testing of our product candidates beyond those that are currently contemplated, if we are unable to successfully complete clinical trials of our product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regulatory approval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regulatory approval at all;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regulatory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be subject to post-marketing testing requirements;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having the product removed from the market after obtaining regulatory approval.</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discovery and development of therapeutics for patients with hematologic diseases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Although we believe, based on our preclinical work and clinical results to date, that our programs have the potential to provide disease-modifying therapies, future clinical results may not confirm this hypothesis or may only confirm it for certain alterations or certain indications. The patient populations for our product candidates are limited to those with specific hematologic diseases. We cannot be certain that the patient populations for each specific disease will be large enough to allow us to successfully obtain approval for and commercialize our product candidates and achieve profitability.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an uncertain outcome.</w:t>
      </w:r>
    </w:p>
    <w:p>
      <w:pPr>
        <w:spacing w:after="0" w:line="3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7" w:name="page38"/>
    <w:bookmarkEnd w:id="37"/>
    <w:p>
      <w:pPr>
        <w:jc w:val="both"/>
        <w:spacing w:after="0" w:line="253" w:lineRule="auto"/>
        <w:rPr>
          <w:sz w:val="20"/>
          <w:szCs w:val="20"/>
          <w:color w:val="auto"/>
        </w:rPr>
      </w:pPr>
      <w:r>
        <w:rPr>
          <w:rFonts w:ascii="Times New Roman" w:cs="Times New Roman" w:eastAsia="Times New Roman" w:hAnsi="Times New Roman"/>
          <w:sz w:val="18"/>
          <w:szCs w:val="18"/>
          <w:color w:val="auto"/>
        </w:rPr>
        <w:t>Our preclinical studies and future and ongoing clinical trials may not be successful. Currently, the majority of our programs are in preclinical and early to mid-stage clinical development. It is impossible to know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or the safety, purity and potency of our biological product candidates in humans. There is no guarantee that our product candidates will advance in accordance with the timelines we anticipate, if at all. Clinical testing is expensive, difficult to design and implement, can take many years to complete and outcomes are uncertain. Although we design our clinical trials with the intent of mitigating potential risks, a failure of one or more clinical trials can occur at any stage of testing. The outcome of preclinical development testing and early clinical trials may not be predictive of the success of later clinical trials, and interim, top-line, initial or preliminary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Our preclinical studies and future and ongoing clinical trials may not be successful.</w:t>
      </w:r>
    </w:p>
    <w:p>
      <w:pPr>
        <w:spacing w:after="0" w:line="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some of the clinical trials we conduct, such as our completed BEACON Phase 2 clinical trial of bitopertin, our ongoing RALLY-MF Phase 2 clinical trial of selcodebart (DISC-0974), and our ongoing clinical trials of DISC-3405,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clinical trial may not be predictive of future clinical trial results when studied in a controlled environment with a placebo or active control.</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2021, we entered into a license agreement with Roche, or the Roche Agreement, pursuant to which, among other things, Roche granted us an exclusive and sublicensable (subject to Roche’s consent, except with respect to affiliates) worldwide license under certain of Roche’s patent rights and know-how to develop and commercialize bitopertin. Although bitopertin was originally evaluated by Roche in over 4,000 individuals, Roche did not evaluate bitopertin in EPP or XLP, so the safety data generated from Roche’s clinical trials of bitopertin may not be predictive or indicative of the results of our clinical trials. We may face similar challenges with respect to our other product candidates, for which preclinical results or prior clinical trial results may not be indicative or predictive of future clinical trial results.</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product candidates are designed to treat diseases for which there are few available therapeutic options. For example, in the United States there are currently no therapies approved to treat anemia of MF and there is only one approved therapy to treat EPP.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The FDA or other regulatory authorities may not consider the endpoints of our clinical trials to be validated or clinically meaningful and we may need to conduct proof-of-concept studies or additional work to refine our endpoints and inform the design of future studies before initiating pivotal studies of our product candidates. Even if applicable regulatory authorities do not object to our proposed endpoints in an earlier stage clinical trial, such regulatory authorities may require evaluation of additional or different clinical endpoints in later-stage clinical trials.</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Even if the FDA does find our clinical trial success criteria to be sufficiently supported and clinically meaningful at the time,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For example, in the Complete Response Letter, or CRL, that the FDA issued in February 2026 with respect to our NDA for accelerated approval of bitopertin in EPP and XLP, the FDA agreed that clinical data from our AURORA and BEACON clinical trials provided sufficient evidence that bitopertin significantly lowers whole blood metal-free PPIX, but concluded that the trials did not show evidence of association between percent change in PPIX and sunlight exposure-based endpoints as measured in the trials. As such, the FDA determined that there is uncertainty regarding whether bitopertin’s effect on PPIX is reasonably likely to predict clinical benefit, despite the strong mechanistic and biological plausibility supporting the use of the PPIX biomarker in protoporphyria. As a result, the FDA did not approve our NDA and indicated instead that we would need to provide evidence of clinical benefit from an additional trial, such as our Phase 3, randomized, double-blind, placebo-controlled APOLLO clinical trial of bitopertin in EPP and XLP patients, to support a potential traditional approval. We reported positive topline results from APOLLO in October 2026, and plan to engage with the FDA and resubmit an NDA by the end of 2026. The FDA also could change its view or give overriding weight to other</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jc w:val="both"/>
        <w:spacing w:after="0" w:line="261" w:lineRule="auto"/>
        <w:rPr>
          <w:sz w:val="20"/>
          <w:szCs w:val="20"/>
          <w:color w:val="auto"/>
        </w:rPr>
      </w:pPr>
      <w:r>
        <w:rPr>
          <w:rFonts w:ascii="Times New Roman" w:cs="Times New Roman" w:eastAsia="Times New Roman" w:hAnsi="Times New Roman"/>
          <w:sz w:val="18"/>
          <w:szCs w:val="18"/>
          <w:color w:val="auto"/>
        </w:rPr>
        <w:t>efficacy endpoints over a primary endpoint, even if we achieve statistically significant results on that primary endpoint, if for example we do not do so on our secondary efficacy endpoints. The FDA also weighs the benefits of a product candidate against its risks and the FDA may view the efficacy results in the context of safety as not being supportive of approval. Other regulatory authorities in Europe and other countries may make similar findings with respect to these endpoints.</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initial or preliminary data from our clinical trials, which is based on a preliminary analysis of then-available data, and the results and related findings and conclusions are subject to change following a more comprehensive review of the data. For example, we announced initial data from our RALLY-MF Phase 2 selcodebart trial in patients with anemia of MF in December 2025 and additional interim data from this trial in June 2026, and announced initial data from our RESTORE-PV Phase 2 DISC-3405 trial in patients with PV in September 2026. We also may make assumptions, estimations, calculations and conclusions as part of our analyses of data, and may not have received or had the opportunity to fully and carefully evaluate all data. As a result, the interim, top-line, initial or preliminary results that we report may differ from future results of the same trials, or different conclusions or considerations may qualify such results, once additional data have been received and fully evaluated. Interim, top-line, initial and preliminary data from clinical trials are subject to the risk that one or more of the clinical outcomes may materially change as patient enrollment continues and more patient data become available. Interim, top-line, initial and preliminary data also remain subject to audit and verification procedures that may result in the final data being materially different from the interim, top-line, initial or preliminary data we previously published. As a result, interim, top-line, initial and preliminary data should be viewed with caution until the final data are available. Adverse differences between interim, top-line, initial or preliminary data and final data could significantly harm our business prospects and may cause the price of our common stock to fluctuate or decline.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commercialization of any approved product and the business prospects of the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interim, top-line, initial or preliminary data that we report differs from actual results, or if regulatory authorities or others, disagree with the conclusions reached, our ability to obtain approval for, and commercialize, our product candidates may be significantly impaired, which could materially harm our business, operating results, prospects or financial condition.</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experience delays in initiating or completing our preclinical studies or clinical trials, including as a result of delays in obtaining, or failure to obtain, the FDA’s authorization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authorizations, regulatory approval or commercialize our product candidates, including:</w:t>
      </w:r>
    </w:p>
    <w:p>
      <w:pPr>
        <w:spacing w:after="0" w:line="75" w:lineRule="exact"/>
        <w:rPr>
          <w:sz w:val="20"/>
          <w:szCs w:val="20"/>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receive feedback from regulatory authorities that requires us to modify the design or implementation of our preclinical studies or clinical trials or to delay or terminate a clinical trial;</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or ethics committees may delay or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67" w:lineRule="exact"/>
        <w:rPr>
          <w:rFonts w:ascii="Times New Roman" w:cs="Times New Roman" w:eastAsia="Times New Roman" w:hAnsi="Times New Roman"/>
          <w:sz w:val="18"/>
          <w:szCs w:val="18"/>
          <w:color w:val="auto"/>
        </w:rPr>
      </w:pPr>
    </w:p>
    <w:p>
      <w:pPr>
        <w:jc w:val="center"/>
        <w:ind w:left="5540" w:right="260" w:hanging="5158"/>
        <w:spacing w:after="0" w:line="282" w:lineRule="auto"/>
        <w:tabs>
          <w:tab w:leader="none" w:pos="76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trials of our product candidates may not produce differentiated or clinically significant results across indications;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jc w:val="both"/>
        <w:ind w:left="760" w:hanging="378"/>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anticipated, enrollment in these clinical trials may be slower than anticipated or participants may drop out of these clinical trials or fail to return for post-treatment follow-up at a higher rate than anticipated;</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anticipated;</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and any transfer of manufacturing activities may require unforeseen manufacturing or formulation changes;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regulators or IRBs or ethics committees to suspend or terminate the trials, or reports may arise from preclinical or clinical testing of other hematologic disease therapies that raise safety or efficacy concerns about our product candidates;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may conduct clinical trials in ways they view as advantageous to them but that are suboptimal for us;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anticipated.</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or ethics committees of the institutions at which such trials are being conducted or by the FDA or other regulatory authorities, or if the Data Safety Monitoring Board, or DSMB, for such trial recommends suspension or termination of the trial. Such authorities may impose or recommend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initiated the study in October 2022.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current and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rare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jc w:val="both"/>
        <w:spacing w:after="0" w:line="282" w:lineRule="auto"/>
        <w:rPr>
          <w:sz w:val="20"/>
          <w:szCs w:val="20"/>
          <w:color w:val="auto"/>
        </w:rPr>
      </w:pPr>
      <w:r>
        <w:rPr>
          <w:rFonts w:ascii="Times New Roman" w:cs="Times New Roman" w:eastAsia="Times New Roman" w:hAnsi="Times New Roman"/>
          <w:sz w:val="18"/>
          <w:szCs w:val="18"/>
          <w:color w:val="auto"/>
        </w:rPr>
        <w:t>hematologic diseases for the development of our product candidates, our ability to enroll eligible patients may be limited or may result in slower enrollment than we anticipate.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experience difficulties with identifying specific patient populations for any defined trial cohorts. The patient eligibility criteria defined in our trial protocols may limit the patient populations eligible for our clinical trials. We will also rely on the willingness and ability of clinicians to screen their patients, such as for specific genetic hematologic conditions, to indicate which patients may be eligible for enrollment in our clinical trials.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some of our competitors have ongoing clinical trials for product candidates that are intended to treat the same indications as our product candidates, and patients who would otherwise be eligible for our clinical trials may choose instead to enroll in clinical trials of our competitors’ product candidates.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process of finding patients may prove costly. We also may not be able to identify, recruit or enroll a sufficient number of patients to complete our clinical trials because of the small patient populations with rare hematologic diseases,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 enrollment may be affected by other factors, including:</w:t>
      </w:r>
    </w:p>
    <w:p>
      <w:pPr>
        <w:spacing w:after="0" w:line="117"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obtain and maintain patient consents and facilitate timely enrollment in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clinical trials before clinical trial completion;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the preliminary results of any of our clinical trials;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including the impacts of any public health crises, that may limit patients, principal investigators or staff or clinical site availability.</w:t>
      </w:r>
    </w:p>
    <w:p>
      <w:pPr>
        <w:spacing w:after="0" w:line="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results from early preclinical studies and clinical trials of bitopertin, selcodebart, DISC-0998, DISC-3405 or our other product candidates or programs may not necessarily be predictive of the results from later preclinical studies and clinical trials. For example, we previously announced positive initial data from our RALLY-MF Phase 2 clinical trial of selcodebart in patients with anemia of MF and from our RESTORE-PV Phase 2 clinical trial of DISC-3405 in patients with PV. However, there can be no assurance that selcodebart or DISC-3405 will achieve the desired effects in the respective indication.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companies in the biopharmaceutical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products, we must demonstrate through lengthy, complex and expensive preclinical studies and clinical trials that our product candidates regulated as drugs are safe and effective and our product candidates regulated as biologics are safe, pure and potent for use in each target indication.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jc w:val="both"/>
        <w:spacing w:after="0" w:line="256" w:lineRule="auto"/>
        <w:rPr>
          <w:sz w:val="20"/>
          <w:szCs w:val="20"/>
          <w:color w:val="auto"/>
        </w:rPr>
      </w:pPr>
      <w:r>
        <w:rPr>
          <w:rFonts w:ascii="Times New Roman" w:cs="Times New Roman" w:eastAsia="Times New Roman" w:hAnsi="Times New Roman"/>
          <w:sz w:val="18"/>
          <w:szCs w:val="18"/>
          <w:color w:val="auto"/>
        </w:rPr>
        <w:t>and adherence to the clinical trial protocols and the rate of dropout among clinical trial participants. Many product candidates that initially showed promise in early-stage testing have later been found to cause side effects that prevented further development.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have not yet been observed. For example, bitopertin may demonstrate toxicities in patients with hematologic diseases not previously observed by Roche when it was studied in different indications. If significant adverse events or other side effects are observed in any of our current or future clinical trials, we may have difficulty recruiting patients to our clinical trials, patients may drop out of our trials, or we may be required to abandon the trials or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Further, undesirable side effects in one of our clinical trials for a product candidate in one indication could adversely affect enrollment in clinical trials, regulatory approval and commercialization of such product candidate in other indications. Even if the side effects do not preclude the product from obtaining or maintaining regulatory approval, undesirable side effects may inhibit market acceptance of the approved product due to its tolerability versus other therapies. Any of these developments could materially harm our business, operating results, financial condition and prospects.</w:t>
      </w:r>
    </w:p>
    <w:p>
      <w:pPr>
        <w:spacing w:after="0" w:line="7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which may result in uncertainty. We select programs for targets based on compelling biological rationale, including evidence of expected biological effects in humans. We explore new programs based on extensive preclinical data analysis which sometimes cannot predict efficacy or safety in humans. 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If our product candidates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Our product candidates may achieve lower efficacy in patients than expected. Any such events could adversely impact our business prospects, operating results and financial condition.</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are currently conducting clinical trials for bitopertin, and may in the future conduct additional clinical trials of our product candidates, outside the United States, and the FDA and comparable foreign regulatory authorities may not accept data from such trials.</w:t>
      </w:r>
    </w:p>
    <w:p>
      <w:pPr>
        <w:spacing w:after="0" w:line="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conducted BEACON, our Phase 2 open-label, parallel-dose clinical trial of bitopertin in EPP and XLP patients, at sites in Australia. All participants who completed BEACON were eligible to participate in HELIOS, an open-label, long-term extension study of bitopertin in EPP and XLP patients, that we are also conducting in Australia, as well as the United States. We also conducted our Phase 3 APOLLO clinical trial in Canada, Europe and Australia, as well as the United States. We may in the future choose to conduct additional clinical trials of our product candidates outside the United States, including in Europe, Australia,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will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jc w:val="both"/>
        <w:spacing w:after="0" w:line="282" w:lineRule="auto"/>
        <w:rPr>
          <w:sz w:val="20"/>
          <w:szCs w:val="20"/>
          <w:color w:val="auto"/>
        </w:rPr>
      </w:pPr>
      <w:r>
        <w:rPr>
          <w:rFonts w:ascii="Times New Roman" w:cs="Times New Roman" w:eastAsia="Times New Roman" w:hAnsi="Times New Roman"/>
          <w:sz w:val="18"/>
          <w:szCs w:val="18"/>
          <w:color w:val="auto"/>
        </w:rPr>
        <w:t>would result in the need for additional trials, which would be costly and time-consuming and delay aspects of our business plan, and which may result in our product candidates not receiving regulatory approval or clearance for commercialization in the applicable jurisdiction.</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72"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indications and/or product candidates;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after further study, be shown to have harmful adverse effects or other characteristics that indicate they are unlikely to be effective products; or</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6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any of our product candidates, we will not be able to commercialize, or will be delayed in commercializing, such product candidates, and our ability to generate revenue will be materially impaired.</w:t>
      </w:r>
    </w:p>
    <w:p>
      <w:pPr>
        <w:spacing w:after="0" w:line="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Currently, all of our product candidates are in discovery, preclinical or clinical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us from obtaining regulatory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jc w:val="both"/>
        <w:spacing w:after="0" w:line="253"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BLA, or equivalent application types, may cause delays in the approval or rejection of an application. The FDA and comparable foreign regulatory authorities have substantial discretion in the approval process and may refuse to accept any application for review. Even if the FDA or a comparable foreign regulatory authority accepts an application for review, we can provide no assurance that an accepted application will ultimately result in an approval. Any guidance we receive from the FDA or other comparable regulatory authorities during the development or marketing application review processes is subject to change. As such, the outcomes of our interactions with such regulatory authorities during such review processes, such as pre-NDA or Type A meetings with the FDA, and the ultimate approval decision, are subject to significant uncertainty. Among other things, the FDA or a comparable foreign regulatory authority may decide that our data is insufficient for approval and require additional preclinical, clinical or other studies. Our product candidates could be delayed in receiving, or fail to receive, regulatory approval for many reasons, including the following:</w:t>
      </w:r>
    </w:p>
    <w:p>
      <w:pPr>
        <w:spacing w:after="0" w:line="82"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enroll a sufficient number of patients in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BLA or other submission or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such that our clinical data are insufficient for approval.</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example, we submitted an NDA for accelerated approval of bitopertin in EPP and XLP in the United States in September 2025. In February 2026, the FDA issued a CRL. Although the FDA agreed that clinical data from our AURORA and BEACON clinical trials provided sufficient evidence that bitopertin significantly lowers whole blood metal-free PPIX, the FDA concluded that the trials did not show evidence of association between percent change in PPIX and sunlight exposure-based endpoints as measured in the trials. As such, the FDA determined that there is uncertainty regarding whether bitopertin’s effect in PPIX is reasonably likely to predict clinical benefit despite the strong mechanistic and biological plausibility supporting the use of the PPIX biomarker in protoporphyria. As a result, the FDA did not approve our NDA and indicated instead that we would need to provide evidence of a clinical benefit from an additional clinical trial, such as our APOLLO trial, to support a potential traditional approval. With the positive topline results from APOLLO, we plan to engage with the FDA and resubmit an NDA by the end of 2026 and would then anticipate an FDA decision on our NDA by mid-2027.</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or if we fail to obtain, approval of our product candidates, the commercial prospects for our product candidates may be harmed and our ability to generate revenue will be materially impaired.</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public health crisis, pandemic, epidemic, or outbreak of an infectious or highly contagious disease, may materially and adversely affect our business and financial results and could cause a disruption to the development of our product candidates.</w:t>
      </w:r>
    </w:p>
    <w:p>
      <w:pPr>
        <w:spacing w:after="0" w:line="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could adversely impact our business. The extent to which an outbreak of highly infectious or contagious diseases impacts our operations or those of our third-party partners, including our preclinical studies or clinical trial operations, will depend on future developments, which are highly uncertain and cannot be predicted with</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confidence, including the scope, severity and duration of the outbreak, actions taken to contain the outbreak or mitigate its impact, and the direct and indirect economic effects of the outbreak and containment measures, among others.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patient populations that our product candidates target may be particularly susceptible to highly infectious or contagious diseases, which may make it more difficult for us to identify patients able to enroll in our current and future clinical trials and may impact the ability of enrolled patients to complete any such trials.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new products in the biopharmaceutical and related industries is highly competitive. We compete in the segments of the pharmaceutical, biotechnology, and other related markets that develop therapies in the field of hematologic diseases. There are other companies focusing on developing therapies in the field of hematologic diseases. We also compete more broadly across the market for cost-effective and reimbursable treatments. Some of these competitive products and therapies are based on scientific approaches that are the same as or similar to our approach, and others are based on entirely different approaches. These companies include divisions of large pharmaceutical companies and biotechnology companies of various sizes.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See the “Business—Competition” section of our Annual Report on Form 10-K for the year ended December 31, 2025 for examples of the competition that our product candidates face.</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currently approved therapies and new therapies that may become available in the future from segments of the pharmaceutical, biotechnology and other related markets. Key product features that would affect our ability to effectively compete with other therapeutics include the efficacy, safety and convenience of our products. We believe principal competitive factors to our business include, among other things, our ability to successfully transition research programs into clinical development, ability to raise capital and the scalability of the platform, pipeline and business.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If these or other barriers to entry do not remain in place, other companies may be able to more directly or effectively compete with us.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 product candidates,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level of generic competition and availability of reimbursement from government and other third-party payors.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could be materially adversely affected.</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incidence and prevalence for the target patient populations of our programs and product candidates have not been established with precision. Our lead heme biosynthesis modulation product candidate, bitopertin, is an oral, selective inhibitor of GlyT1. We are initially focused on developing bitopertin for the treatment of EPP and XLP, which are both diseases marked by severe photosensitivity and damage to the hepatobiliary system caused by the accumulation of PPIX. We are initially focused on developing selcodebart for anemia of MF and anemia of inflammatory bowel disease, or IBD. We are initially focused on developing DISC-3405 for the treatment of PV and sickle cell disease, or SCD. Our projections of both the number of people who have these diseases, as well as the subset of people with these diseases who have the potential to benefit from treatment with our programs and product candidates, are based on our estimates.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total addressable market opportunity will ultimately depend upon, among other things, the diagnosis criteria included in the final label, the indications for which our product candidates are approved for sale, acceptance by the medical community and patient access, product pricing and reimbursement. The number of patients with EPP, XLP, anemias of MF or IBD, PV, SCD, or other indications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access to capital, we must prioritize development of certain product candidates, which may prove to be the wrong choice and may adversely affect our business.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be certain that the patient populations for each specific disease will be large enough to allow us to successfully obtain approval for our product candidates, or successfully commercialize any of our product candidates, if approved, and achieve profitability.</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current product candidates or any future product candidates do not achieve broad market acceptance, the revenue that we generate from our sales may be limited, and we may never become profitable.</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may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heme biosynthesis modulation therapies or hepcidin-targeted agents is unsafe, whether related to our or our competitors’ products, our products may not be accepted by the general public or the medical community. Future adverse events in the hematologic diseases or the biopharmaceutical industry could also result in greater governmental regulation, stricter labeling requirements and potential regulatory delays in the testing or approvals of our product candidates.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we could be prevented from or significantly delayed in achieving profitability. The degree of market acceptance of any of our current product candidates and any future product candidates will depend on a number of factors, including:</w:t>
      </w:r>
    </w:p>
    <w:p>
      <w:pPr>
        <w:spacing w:after="0" w:line="72"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associated with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jc w:val="center"/>
        <w:ind w:left="5540" w:right="1060" w:hanging="5158"/>
        <w:spacing w:after="0" w:line="282" w:lineRule="auto"/>
        <w:tabs>
          <w:tab w:leader="none" w:pos="76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 and the approved claims that we may make for the products;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6" w:name="page47"/>
    <w:bookmarkEnd w:id="46"/>
    <w:p>
      <w:pPr>
        <w:jc w:val="both"/>
        <w:ind w:left="76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FDA-approved labeling or those of comparable foreign regulatory authorities, including potential limitations or warnings for our current product candidates and any future product candidates that may be more restrictive than other competitive products;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our current product candidates and any future product candidates, which could reduce the marketing impact of any claims that we could make following FDA approval or approval by comparable foreign regulatory authorities, if obtained;</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compared with the economic and clinical benefit of alternative treatments or therapies;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or reimbursement by third-party payors, including government healthcare programs such as Medicare and Medicaid and other healthcare payors;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concessions required by third-party payors to obtain coverage;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adequate coverage and reimbursement;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or comparable foreign regulatory authorities with respect to our current product candidates and any future product candidates or to which we agree as part of a Risk Evaluation and Mitigation Strategy, or REMS, or voluntary risk management plan;</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current product candidates and any future product candidates, as well as competitive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current product candidates and any future product candidates for sale at competitive prices;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third-party manufacturer and supplier support;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our current product candidates and any future product candidates or favorable publicity about competitive products;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not be successful in addressing these or other factors that might affect the market acceptance of our product candidates. Failure to achieve widespread market acceptance of our product candidates would materially harm our business, financial condition and results of operations.</w:t>
      </w:r>
    </w:p>
    <w:p>
      <w:pPr>
        <w:spacing w:after="0" w:line="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jc w:val="both"/>
        <w:spacing w:after="0" w:line="253" w:lineRule="auto"/>
        <w:rPr>
          <w:sz w:val="20"/>
          <w:szCs w:val="20"/>
          <w:color w:val="auto"/>
        </w:rPr>
      </w:pPr>
      <w:r>
        <w:rPr>
          <w:rFonts w:ascii="Times New Roman" w:cs="Times New Roman" w:eastAsia="Times New Roman" w:hAnsi="Times New Roman"/>
          <w:sz w:val="18"/>
          <w:szCs w:val="18"/>
          <w:color w:val="auto"/>
        </w:rPr>
        <w:t>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For certain commercial prescription drug and biological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Additionally, under the Food and Drug Omnibus Reform Act of 2022, or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6" w:lineRule="exact"/>
        <w:rPr>
          <w:sz w:val="20"/>
          <w:szCs w:val="20"/>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and supply disruptions where regulatory inspections identify observations of noncompliance requiring remediation;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REMS which may include distribution or use restrictions;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additional post-market clinical trials to assess the safety of the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holds;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other regulatory enforcement action;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brought against us could cause us to incur substantial liabilities and could limit commercialization of any product candidates that we may develop.</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lawsuits related to the testing of any product candidates in human clinical trials and will face an even greater risk if we commercially sell such product candidates. If we cannot successfully defend ourselves against any such claims, we may incur substantial liabilities. Regardless of merit or eventual outcome, liability claims may result in:</w:t>
      </w:r>
    </w:p>
    <w:p>
      <w:pPr>
        <w:spacing w:after="0" w:line="68"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or costly settlements with patients or other claimants;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a change in the indications for which products may be used;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highly dependent upon consumer perceptions of us and the safety and quality of any product candidate we commercialize. We could be adversely affected if we are subject to negative publicity. We could also be adversely affected if any of our future products or any similar products distributed by other companies prove to be, or are asserted to be, harmful to patients. Although we maintain product liability insurance coverage, it may not be adequate to cover all liabilities that we may incur. We anticipate that we may need to further increase our insurance coverage as we begin additional clinical trials or if we successfully commercialize additional product candidates. Insurance coverage is increasingly expensive. We may not be able to maintain insurance coverage at a reasonable cost or in an amount adequate to satisfy any liability that may arise.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for our product candidates, as well as potential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We have relied on and expect to continue to rely on medical institutions, clinical investigators, contract laboratories and other third parties, such as CROs, to conduct or otherwise support the Phase 3 APOLLO clinical trial of bitopertin in EPP and XLP, as well as clinical trials for our other product candidates.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w:t>
      </w:r>
    </w:p>
    <w:p>
      <w:pPr>
        <w:spacing w:after="0" w:line="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Nevertheless, we are responsible for ensuring that each of our clinical trials is conducted in accordance with the applicable protocol, legal and regulatory requirements and scientific standards, and our reliance on CROs or other third parties will not relieve us of our regulatory responsibilities. For any violations of laws and regulations during the conduct of our clinical trials, we could be subject to warning letters or enforcement action that may include civil penalties up to and including criminal prosecution. For example, we, our principal investigators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or the EEA, and comparable foreign regulatory authorities for any products in clinical development. The FDA enforces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must be conducted with product candidates produced under current Good Manufacturing Practice, or cGMP, regulations. Our failure or the failure of our principal investigators or CROs to comply with these regulations may require us to repeat clinical trials, which would delay the regulatory approval process, significantly increase our expenditures and could also subject us to enforcement action. We also are required to register ongoing</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9" w:name="page50"/>
    <w:bookmarkEnd w:id="49"/>
    <w:p>
      <w:pPr>
        <w:spacing w:after="0" w:line="282" w:lineRule="auto"/>
        <w:rPr>
          <w:sz w:val="20"/>
          <w:szCs w:val="20"/>
          <w:color w:val="auto"/>
        </w:rPr>
      </w:pPr>
      <w:r>
        <w:rPr>
          <w:rFonts w:ascii="Times New Roman" w:cs="Times New Roman" w:eastAsia="Times New Roman" w:hAnsi="Times New Roman"/>
          <w:sz w:val="18"/>
          <w:szCs w:val="18"/>
          <w:color w:val="auto"/>
        </w:rPr>
        <w:t>clinical trials and post the results of completed clinical trials on a government-sponsored database, ClinicalTrials.gov, within certain timeframes. Failure to do so can result in fines, adverse publicity and civil and criminal sanctions.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Communicating with outside parties can also be challenging, potentially leading to mistakes as well as difficulties in coordinating activities. Outside parties may:</w:t>
      </w:r>
    </w:p>
    <w:p>
      <w:pPr>
        <w:spacing w:after="0" w:line="54"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or if any of our relationships with these third-party principal investigators or CROs terminate,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also rely on academic and private non-academic institutions to conduct and sponsor clinical trials relating to our product candidates, such as the clinical trial of bitopertin in DBA, which is being conducted by NIH under a collaborative research and development agreement. We will not control the design or conduct of any investigator-sponsored trials, and it is possible that the FDA or non-U.S. regulatory authorities will not view these investigator-sponsored trials as providing adequate support for future clinical trials, whether controlled by us or third parties, for any one or more reasons, including elements of the design or execution of the trials or safety concerns or other trial results. 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ourself may be adversely affected.</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might not realize the anticipated benefits of our current collaborations with Mabwell or NIH, or any other collaborations we enter into in the future.</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development, commercialization and/or strategic collaborations, including those that we have with Mabwell and NIH, are subject to numerous risks, which include the following:</w:t>
      </w:r>
    </w:p>
    <w:p>
      <w:pPr>
        <w:spacing w:after="0" w:line="54" w:lineRule="exact"/>
        <w:rPr>
          <w:sz w:val="20"/>
          <w:szCs w:val="20"/>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have significant control or discretion in determining the efforts and resources that they will apply to a collaboration, and might not commit sufficient efforts and resources or might misapply those efforts and resources;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limited influence or control over the approaches to research, development and/or commercialization of product candidates in the territories in which our collaboration partners lead research, development and/or commercialization;</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pursue research, development and/or commercialization of collaboration product candidates or might elect not to continue or renew research, development and/or commercialization programs based on preclinical studies and/or clinical trial results, changes in their strategic focus, availability of funding or other factors, such as a business combination that diverts resources or creates competing priorities;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delay, provide insufficient resources to, or modify or stop research or clinical development for collaboration product candidates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sales, marketing and distribution rights to one or more product candidates might not commit sufficient resources to sales, marketing and distribution or might otherwise fail to successfully commercialize those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properly maintain or defend our intellectual property rights or might use our intellectual property improperly or in a way that jeopardizes our intellectual property or exposes us to potential liability;</w:t>
      </w: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ind w:left="7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activities might result in the collaborator having intellectual property covering our activities or product candidates, which could limit our rights or ability to research, develop and/or commercialize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be in compliance with laws applicable to their activities under the collaboration, which could impact the collaboration and us;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might arise between a collaborator and us that could cause a delay or termination of the collaboration or result in costly litigation that diverts management attention and resources;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might be terminated, which could result in a need for additional capital to pursue further research, development and/or commercialization of our product candidates.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funding provided by a collaborator might not be sufficient to advance product candidates under the collaboration. 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the development of the relevant product candidate could be significantly delayed, and our cash expenditures could increase significantly if we are to continue research, development and/or commercialization of the relevant product candidates.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established collaborations with Mabwell and NIH and may seek to establish additional collaborations, and, if we are not able to establish them on commercially reasonable terms, or at all, we may have to alter our development and commercialization plans.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development programs and the potential commercialization of our product candidates will require substantial additional cash to fund expenses. For some of our product candidates, we may decide to collaborate with pharmaceutical and biotechnology companies, such as our collaborations with Mabwell and NIH, for the development and potential commercialization of those product candidates.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Such factors a potential collaborator will use to evaluate a collaboration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are also restricted by Roche’s right of first negotiation under our current license agreement with them and may in the future be restricted under other license or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companies and other third parties often are terminated or allowed to expire by the other party. Any such termination or expiration would adversely affect us financially and could harm our business reputation.</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As such, we rely, and expect to continue to rely, on third parties such as contract development and manufacturing organizations, or CDMOs, for the manufacture of our product candidates for preclinical development and clinical testing. We also expect to rely on third parties for the commercial manufacture of our products if any of our product candidates receive regulatory approval. This reliance on third parties increases the risk that we will not have sufficient quantities of our product candidates or products or such quantities at an acceptable time, cost or quality, which could delay, prevent or impair our development or commercialization efforts.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facilities used by our CDMOs to manufacture our product candidates must be inspected by the FDA pursuant to pre-approval inspections that will be conducted after we submit our marketing applications to the FDA. We do not control the manufacturing process of, and will be completely dependent on, our CDMOs for compliance with cGMPs in connection with the manufacture of our product candidates. If our CDMOs cannot successfully manufacture material that conforms to our specifications and the strict regulatory requirements of the FDA or others, they will not be able to pass regulatory inspections and/or maintain regulatory compliance. In addition, we have no control over the ability of our CDMOs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any CDMO with whom we contract fails to perform its obligations, we may be forced to enter into an agreement with a different CDMO, which we may not be able to do on reasonable terms, if at all. In such a scenario, our clinical trials supply could be delayed significantly as we establish alternative supply sources. In 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CDMO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supply used in our clinical trials and that of any new manufacturer. We may be unsuccessful in demonstrating the comparability of clinical supplies which could require the conduct of additional clinical trials.</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our failure, or the failure of our CDMOs, to comply with applicable regulations could result in sanctions,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be unable to establish any additional agreements with CDMOs or do so on acceptable terms. Reliance on CDMOs entails additional risks, including:</w:t>
      </w:r>
    </w:p>
    <w:p>
      <w:pPr>
        <w:spacing w:after="0" w:line="54"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approved products for access to manufacturing facilities. There are a limited number of CDMOs that operate under cGMP regulations and that might be capable of manufacturing for us.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regulatory approval. If our current CDMOs cannot perform as agreed, we may be required to replace such CDMOs. In addition, there has been increased governmental focus in the U.S. on contracting with Chinese companies for the development or manufacturing of pharmaceutical products. For example, Section 851 of the National Defense Authorization Act for Fiscal Year 2026, enacted in December 2025 and commonly referred to as the BIOSECURE Act, establishes restrictions on federal procurement of biotechnology equipment and services from designated “biotechnology companies of concern,” federal contracting with entities that use, or enter into contracts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jc w:val="both"/>
        <w:spacing w:after="0" w:line="253" w:lineRule="auto"/>
        <w:rPr>
          <w:sz w:val="20"/>
          <w:szCs w:val="20"/>
          <w:color w:val="auto"/>
        </w:rPr>
      </w:pPr>
      <w:r>
        <w:rPr>
          <w:rFonts w:ascii="Times New Roman" w:cs="Times New Roman" w:eastAsia="Times New Roman" w:hAnsi="Times New Roman"/>
          <w:sz w:val="18"/>
          <w:szCs w:val="18"/>
          <w:color w:val="auto"/>
        </w:rPr>
        <w:t>they know will require the use of, such equipment or services in performing federal contracts, and certain uses of federal loan and grant funds involving such equipment or services. Covered companies are designated through an interagency process incorporating the Department of Defense’s Section 1260H list of Chinese military companies and specified foreign adversary and national security criteria. The Office of Management and Budget is required to publish an initial list by December 18, 2026. The prohibitions take effect in phases following implementing amendments to the Federal Acquisition Regulation, subject to exceptions and a five-year transition period for certain existing arrangements In addition, in 2025, the United States imposed substantial tariffs on imports from China as well as on other trading partners, including Canada, Mexico, and the EU. We currently rely on certain foreign or foreign-owned third-party vendors to manufacture certain materials used in clinical trials of our product candidates or to provide services in connection with certain clinical trials or certain discovery activities. Our engagement with these foreign and foreign-owned vendors may be subject to additional U.S. legislation, investigations, sanctions, further escalation of tariffs, trade restrictions and other foreign regulatory requirements, which could cause us to need to identify alternate service providers, increase the cost or reduce the supply of materials available to us, delay the procurement or supply of these materials, delay or impact clinical trials, or have an adverse effect on our ability to secure significant commitments from governments to purchase our potential therapies, any of which could adversely affect our financial condition and business prospects. We continue to assess the legislation and the tariffs as they develop to determine the effect, if any, on our contractual relationships.</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regulatory approval on a timely and competitive basis.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active pharmaceutical ingredients used in our product candidates are our sole sources of supply, and the loss of any of these suppliers could significantly harm our business.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active pharmaceutical ingredients, or API, used in certain of our product candidates are supplied to us from single-source suppliers. Our ability to successfully develop such product candidates, and to ultimately supply any resulting commercial products in quantities sufficient to meet the market demand, depends in part on our ability to obtain the API for these products in accordance with regulatory requirements and in sufficient quantities for clinical testing and commercialization. We do not currently have arrangements in place for a redundant or second-source supply of any such API in the event any of our current suppliers of such API cease their operations for any reason. We are also unable to predict how changing global economic conditions or potential global health concerns or crises will affect our third-party suppliers and manufacturers. Regional issues may in some cases accentuate these risks. For example, the pharmaceutical industry generally, and in some instances we or other third parties on which we rely, depend on China-based suppliers or service providers for certain raw materials, products and services, or other activities. Our ability or the ability of our collaborators or such other third parties to continue to engage these China-based suppliers or service providers for certain preclinical research programs and clinical development programs could be restricted due to geopolitical developments between the United States and China, including as a result of the further escalation of tariffs or other trade restrictions or if the proposed federal legislation that would prohibit U.S. federal funding in connection with biotechnology equipment or services produced or provided by certain named Chinese “biotechnology companies of concern” or a similar law were to be enacted. Any negative impact of such matters on our third-party suppliers and manufacturers may also have an adverse impact on our results of operations or financial condition.</w:t>
      </w:r>
    </w:p>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all of our product candidates, we intend to identify and qualify additional manufacturers to provide such API.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our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Establishing additional or replacement suppliers for the API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used in our product candidates, any interruption or delay in the supply of components or materials, or our inability to obtain such API from alternate sources at acceptable prices in a timely manner could impede, delay, limit or prevent our development and commercialization efforts, which could harm our business, results of operations, financial condition and prospects.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biologics is complex and our third-party manufacturers may encounter difficulties in production. If any of our third-party manufacturers encounter such difficulties, our ability to provide supply of product candidates for clinical trials or products for patients, if approved, could be delayed or prevented.</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Selcodebart, DISC-0998, and DISC-3405 are monoclonal antibodies. Manufacturing biologics, like monoclonal antibodies, especially in large quantities, is often complex and may require the use of innovative technologies to handle living cells. Each lot of an approved biologic must undergo thorough testing for identity, strength, quality, purity and potency. Manufacturing biologics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manufacturers, such facilities may need to be closed for an extended period of time to investigate and remedy the contamination, which could delay clinical trials and adversely harm our business.</w:t>
      </w:r>
    </w:p>
    <w:p>
      <w:pPr>
        <w:spacing w:after="0" w:line="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third-party manufacturer of any of our product candidates is unable to increase the scale of its production of such product candidates or increase the product yield of its manufacturing, then our costs to manufacture such product or product candidate may increase and any commercialization may be delayed.</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components and raw materials. Even if we obtain regulatory approval for any of our current product candidates or any future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such product or to meet potential future demand.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in the U.S. and other countries for our current or future product candidates, including our current lead product candidates, bitopertin, selcodebart and DISC-3405, and our other current or future programs, including DISC-0998, as well as for their respective compositions, formulations, methods used to manufacture them and methods of treatment, in addition to successfully defending these patents against third-party challenges.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Our ability to stop unauthorized third parties from making, using, selling, offering to sell, or importing our product candidates is dependent upon the extent to which we have rights under valid and enforceable patents or trade secrets that cover these activities. We also rely on trade secrets, know-how and continuing technological innovation to develop and maintain our proprietary and intellectual property position.</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in-licensed, and may in the future in-license, a portion of our intellectual property, and, if we fail to comply with our obligations under these license arrangements, we could lose such intellectual property rights or owe damages to the licensor of such intellectual property. In particular, we have exclusively licensed intellectual property rights from Roche to develop and commercialize bitopertin, including certain back-up compounds and derivatives, for all prophylactic and therapeutic uses. The Roche license covers know-how, and certain specified Roche patent rights, including a composition of matter patent for bitopertin that expires in 2026. We also have exclusively licensed intellectual property rights from AbbVie Deutschland GmbH &amp; Co. KG, or AbbVie, to develop and commercialize selcodebart and DISC-0998. The AbbVie license covers know-how, and certain specified AbbVie patent rights, including composition of matter and methods of use patents and patent applications for selcodebart and DISC-0998. We also have exclusively licensed intellectual property rights from Mabwell to develop and commercialize antibody products containing Mabwell’s MWTX-001, MWTX-002, and MWTX-003 antibodies. The Mabwell license covers know-how and certain specified Mabwell patent rights, including composition of matter and methods of use patents and patent applications for MWTX-001, MWTX-002 and MWTX-003.</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8"/>
          <w:szCs w:val="18"/>
          <w:color w:val="auto"/>
        </w:rPr>
        <w:t>scope sufficient to protect bitopertin, selcodebart, DISC-3405 or our other current or future product candidates. In addition, if the breadth or strength of protection provided by our patent applications or any patents we may own or in-license is threatened, we could dissuade companies from collaborating with us to license, develop or commercialize current or future product candidates.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Additionally, our product candidates may or may not be eligible for such extensions or we may not be able to obtain such protections due to procedural or other reasons.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Prosecution could require that claim scope narrow such that a clinical or product candidate or program is not adequately protected by the patent.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post-grant proceedings such as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invalidation, or interference proceedings challenging our patent rights or the patent rights of others from whom we may in the future obtain licenses to such rights, in the U.S. Patent and Trademark Office, or USPTO, the European Patent Office, or EPO, or in other countries. In addition, we may be subject to a third-party submission to the USPTO, the EPO, or elsewhere, that may reduce the scope or preclude the granting of claims from our pending patent applications. Competitors may allege that they invented the inventions claimed in our issued patents or patent applications prior to us, or may file patent applications before we do. Competitors may also claim that we are infringing their patents and that we therefore cannot practice our technology as claimed under our patents or patent applications. Competitors may also contest our patents by claiming to an administrative patent authority or judge that the invention was not patent-eligible, was not original, was not novel, was obvious, and/or lacked inventive step, and/or that the patent application filing failed to meet relevant requirements relating to description, basis, enablement, clarity, and/or support; in litigation, a competitor could claim that our patents, if issued, are not valid or are unenforceable for a number of reasons. If a court or administrative patent authority agrees, we would lose our protection of those challenged patents.</w:t>
      </w:r>
    </w:p>
    <w:p>
      <w:pPr>
        <w:spacing w:after="0" w:line="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it, or could limit the duration of the patent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jc w:val="both"/>
        <w:spacing w:after="0" w:line="261" w:lineRule="auto"/>
        <w:rPr>
          <w:sz w:val="20"/>
          <w:szCs w:val="20"/>
          <w:color w:val="auto"/>
        </w:rPr>
      </w:pPr>
      <w:r>
        <w:rPr>
          <w:rFonts w:ascii="Times New Roman" w:cs="Times New Roman" w:eastAsia="Times New Roman" w:hAnsi="Times New Roman"/>
          <w:sz w:val="18"/>
          <w:szCs w:val="18"/>
          <w:color w:val="auto"/>
        </w:rPr>
        <w:t>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products in a non-infringing manner. For example, a third-party may develop a competitive product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 Furthermore, generic manufacturers may develop, seek approval for and launch generic versions of our products, and may challenge the scope, validity or enforceability of our patents, requiring us to engage in complex, lengthy and costly litigation or other proceedings.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intend to rely on regulatory exclusivity for protection of our product candidates, if approved for commercial sale. Implementation and enforcement of regulatory exclusivity, which may consist of regulatory data protection and market protection, varies widely from country to country. Failure to qualify for regulatory exclusivity or failure to obtain or to maintain the extent or duration of such protections that we expect for our product candidates, if approved, could affect our decision on whether to market the products in a particular country or countries or could otherwise have an adverse impact on our revenue or results of operations.</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deadlines, fee payment and other requirements imposed by governmental patent agencies, and our patent protection could be reduced or eliminated if we fail to comply with these requirements. We may miss a filing deadline for patent protection on these inventions.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or from comparable agencies in foreign jurisdictions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such proceedings. If we are unable to obtain a registered trademark or establish name recognition based on our trademarks and trade names, we may not be able to compete effectively and our business may be adversely affected.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and enforce our trade secrets, our business and competitive position would be harmed.</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jc w:val="both"/>
        <w:spacing w:after="0" w:line="261" w:lineRule="auto"/>
        <w:rPr>
          <w:sz w:val="20"/>
          <w:szCs w:val="20"/>
          <w:color w:val="auto"/>
        </w:rPr>
      </w:pPr>
      <w:r>
        <w:rPr>
          <w:rFonts w:ascii="Times New Roman" w:cs="Times New Roman" w:eastAsia="Times New Roman" w:hAnsi="Times New Roman"/>
          <w:sz w:val="18"/>
          <w:szCs w:val="18"/>
          <w:color w:val="auto"/>
        </w:rPr>
        <w:t>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If any of our trade secrets were to be lawfully obtained or independently developed by a competitor or other third party, we would have no right to prevent them from using that technology or information to compete with us.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ineffective or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Competitors may infringe any patents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There is also the risk that, even if the validity of these patents is upheld, the court may refuse to stop the other party from using the technology at issue on the grounds that any patents we may own or in-license do not cover the technology in question or that such third-party’s activities do not infringe our patent applications or any patents we may own or in-license. An adverse result in any litigation or defense proceedings could put one or more of any patents we may own or in-license at risk of being invalidated, held unenforceable, or interpreted narrowly and could put our patent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its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Post-grant proceedings provoked by third parties or brought by or before the USPTO or other patent granting authority may be necessary to determine the validity or priority of inventions with respect to our patent applications or any patents we may own or in-license. These proceedings are expensive and an unfavorable outcome could result in a loss of our current patent rights and could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jc w:val="both"/>
        <w:spacing w:after="0" w:line="254" w:lineRule="auto"/>
        <w:rPr>
          <w:sz w:val="20"/>
          <w:szCs w:val="20"/>
          <w:color w:val="auto"/>
        </w:rPr>
      </w:pPr>
      <w:r>
        <w:rPr>
          <w:rFonts w:ascii="Times New Roman" w:cs="Times New Roman" w:eastAsia="Times New Roman" w:hAnsi="Times New Roman"/>
          <w:sz w:val="18"/>
          <w:szCs w:val="18"/>
          <w:color w:val="auto"/>
        </w:rPr>
        <w:t>require us to cease using the related technology or to attempt to license rights to us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not be able to detect infringement against any patents we may own or in-license. Even if we detect infringement by a third party of any patents we may own or in-license, we may choose not to pursue litigation against or settlement with the third party. If we later sue such third-party for patent infringement, the third-party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and administrative patent office patent validity challenges in one or more countries could cause us to spend substantial resources and distract our personnel from their normal responsibilities.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and other technologies that we have developed, are developing or may develop in the future do not or will not infringe, misappropriate or otherwise violate existing or future patents or other valid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jc w:val="both"/>
        <w:spacing w:after="0" w:line="266" w:lineRule="auto"/>
        <w:rPr>
          <w:sz w:val="20"/>
          <w:szCs w:val="20"/>
          <w:color w:val="auto"/>
        </w:rPr>
      </w:pPr>
      <w:r>
        <w:rPr>
          <w:rFonts w:ascii="Times New Roman" w:cs="Times New Roman" w:eastAsia="Times New Roman" w:hAnsi="Times New Roman"/>
          <w:sz w:val="18"/>
          <w:szCs w:val="18"/>
          <w:color w:val="auto"/>
        </w:rPr>
        <w:t>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certain activities related to development and clinical testing of our current or future product candidates may be subject to safe harbor of patent infringement, such as under 35 U.S.C. §271(e)(1), upon receiving regulatory approval for such candidates we or any of our current or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its intellectual property rights, we may face a number of issues, including, but not limited to:</w:t>
      </w:r>
    </w:p>
    <w:p>
      <w:pPr>
        <w:spacing w:after="0" w:line="54" w:lineRule="exact"/>
        <w:rPr>
          <w:sz w:val="20"/>
          <w:szCs w:val="20"/>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current product candidates, including bitopertin, selcodebart and DISC-3405, or future product candidates, or from using our proprietary technologies, unless the third-party licenses its product rights to us, which we are not required to do, on commercially reasonable terms or at all;</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may choose to challenge the patentability of claims in a third party’s U.S. patent by requesting that the USPTO review the patent claims in an ex-parte re-exam,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current or future product candidates or proprietary technologies.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jc w:val="both"/>
        <w:spacing w:after="0" w:line="252" w:lineRule="auto"/>
        <w:rPr>
          <w:sz w:val="20"/>
          <w:szCs w:val="20"/>
          <w:color w:val="auto"/>
        </w:rPr>
      </w:pPr>
      <w:r>
        <w:rPr>
          <w:rFonts w:ascii="Times New Roman" w:cs="Times New Roman" w:eastAsia="Times New Roman" w:hAnsi="Times New Roman"/>
          <w:sz w:val="18"/>
          <w:szCs w:val="18"/>
          <w:color w:val="auto"/>
        </w:rPr>
        <w:t>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may be impaired or delayed, which could in turn significantly harm our business. Even if we obtain a license, it may be nonexclusive, thereby giving our competitors access to the same technologies licensed to us.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which could harm our business significantly.</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not be able to pursue patent coverage of our current or future product candidates in all countries. Filing, prosecuting and defending patents on current or future product candidates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an early stage. We will need to decide whether and in which jurisdictions to pursue protection for the various inventions in our portfolio prior to applicable deadlines.</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and/or methods of using biopharmaceutical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jc w:val="both"/>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obtain licenses or sublicenses to intellectual property rights in all markets on equally or sufficiently favorable terms with third parties.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party to license agreements with Roche, AbbVie and Mabwell and we may from time to time in the future be party to other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See “Business-Collaborations and License Agreement” of our Annual Report on Form 10-K for the year ended December 31, 2025 for more information regarding our license agreements with Roche, AbbVie and Mabwell.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Disputes may also arise between us and our licensors regarding intellectual property subject to a license agreement, including:</w:t>
      </w:r>
    </w:p>
    <w:p>
      <w:pPr>
        <w:spacing w:after="0" w:line="117"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rights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any patented technology;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current or future licensors and us and our partners.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jc w:val="both"/>
        <w:spacing w:after="0" w:line="261" w:lineRule="auto"/>
        <w:rPr>
          <w:sz w:val="20"/>
          <w:szCs w:val="20"/>
          <w:color w:val="auto"/>
        </w:rPr>
      </w:pPr>
      <w:r>
        <w:rPr>
          <w:rFonts w:ascii="Times New Roman" w:cs="Times New Roman" w:eastAsia="Times New Roman" w:hAnsi="Times New Roman"/>
          <w:sz w:val="18"/>
          <w:szCs w:val="18"/>
          <w:color w:val="auto"/>
        </w:rPr>
        <w:t>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w:t>
      </w:r>
    </w:p>
    <w:p>
      <w:pPr>
        <w:spacing w:after="0" w:line="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granted patents we may own or in-license covering our current or future product candidates or other valuable technology could be narrowed or found invalid or unenforceable if challenged in court or before administrative bodies in the U.S. or abroad, including the USPTO and the EPO. A patent asserted in a judicial court could be found invalid or unenforceable during the enforcement proceeding. Administrative or judicial proceedings challenging the validity of our patents or individual patent claims could take months or years to resolve.</w:t>
      </w:r>
    </w:p>
    <w:p>
      <w:pPr>
        <w:spacing w:after="0" w:line="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If we or our licensors or strategic partners initiate legal proceedings against a third party to enforce a patent covering one of our current or future product candidates, the defendant could counterclaim that such patent, as applicable, is invalid and/or unenforceable. In patent litigation in the U.S.,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or judicial requirements, including lack of patentable subject matter, lack of written description, lack of novelty, obviousness, non-enablement, or double patenting. Grounds for an unenforceability assertion could be an allegation that someone connected with prosecution of the patent withheld relevant information from the USPTO that was material to patentability, or made a misleading statement, with an intent to deceive the USPTO, in the process of obtaining the patent during patent prosecution. Third parties may also raise similar claims before administrative bodies in the U.S. or abroad, even outside the context of litigation. Such mechanisms include re-examination, inter partes review, post grant review and equivalent proceedings in foreign jurisdictions (such as opposition proceedings). Such proceedings could result in revocation or amendment to our patent applications or any patents we may own or in-license in such a way that they no longer cover our current or future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allow third parties to commercialize our current or future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our current or future licensors’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current or future product candidates and other technologies. With respect to the validity question, for example, we cannot be certain that there is no invalidating prior art, of which we or our current or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current or future product candidates. Such a loss of patent protection could have a material adverse impact on our business and our ability to commercialize or license our technology and current or future product candidates.</w:t>
      </w:r>
    </w:p>
    <w:p>
      <w:pPr>
        <w:spacing w:after="0" w:line="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current or future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current or future product candidates.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Patent reform legislation in the U.S.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inventor to file” system.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and/or validity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that are held to be infringing. We might, if possible, also be forced to redesign current or future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72" w:lineRule="exact"/>
        <w:rPr>
          <w:sz w:val="20"/>
          <w:szCs w:val="20"/>
          <w:color w:val="auto"/>
        </w:rPr>
      </w:pPr>
    </w:p>
    <w:p>
      <w:pPr>
        <w:ind w:left="5540" w:right="4660" w:hanging="5158"/>
        <w:spacing w:after="0" w:line="282" w:lineRule="auto"/>
        <w:tabs>
          <w:tab w:leader="none" w:pos="76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that we own or may in-license may not lead to issued patents;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3" w:name="page64"/>
    <w:bookmarkEnd w:id="63"/>
    <w:p>
      <w:pPr>
        <w:ind w:left="760" w:right="2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should they issue, that we may own or in-license, may not provide us with any competitive advantages, may be narrowed in scope, or may be challenged and held invalid or unenforceable;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a patent application that we own or may in-license;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a particular invention;</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misappropriating or otherwise violating our intellectual property rights;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licenses on reasonable terms or at all;</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third-party may subsequently file a patent covering such trade secrets or know-how;</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regulatory approvals, our target market will be reduced and our ability to realize the full market potential of our product candidates will be harmed.</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jc w:val="both"/>
        <w:spacing w:after="0" w:line="256" w:lineRule="auto"/>
        <w:rPr>
          <w:sz w:val="20"/>
          <w:szCs w:val="20"/>
          <w:color w:val="auto"/>
        </w:rPr>
      </w:pPr>
      <w:r>
        <w:rPr>
          <w:rFonts w:ascii="Times New Roman" w:cs="Times New Roman" w:eastAsia="Times New Roman" w:hAnsi="Times New Roman"/>
          <w:sz w:val="18"/>
          <w:szCs w:val="18"/>
          <w:color w:val="auto"/>
        </w:rPr>
        <w:t>of ten months. We previously requested and received priority review for our NDA for bitopertin for EPP and XLP, and may request priority review of applications for our other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received orphan drug designation from the FDA for bitopertin for the treatment of EPP and for DISC-3405 for the treatment of PV. As part of our business strategy, we may seek orphan drug designation for certain of our product candidates and indications, as appropriate. Regulatory authorities in some jurisdictions, including the United States and Europe, may designate drugs for relatively small patient populations as orphan drugs. Under the Orphan Drug Act, the FDA may designate a drug or biologic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Similarly, in the European Union, the European Commission, upon the recommendation of the EMA’s Committee for Orphan Medicinal Products, grants orphan designation in respect of products that are intended for the diagnosis, prevention or treatment of life-threatening or chronically debilitating conditions affecting no more than 5 in 10,000 persons in the European Union. Additionally, designation may be granted for products intended for the diagnosis, prevention, or treatment of a life-threatening, seriously debilitating or serious and chronic condition when, without incentives, it is unlikely that sales of the product in the European Union would generate sufficient return to justify the necessary investment in developing the product. In each case, there must be no satisfactory method of diagnosis, prevention, or treatment of the applicable condition which is authorized for marketing in the European Union (or, if such a method exists, the applicable product would be of significant benefit to those affected by the condition). In the European Union, orphan designation entitles a party to financial incentives such as reduction of fees or fee waivers. The European Commission has granted orphan designation for bitopertin for treatment of EPP and for selcodebart for treatment of myelofibrosis.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Generally, if a product with an orphan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the European Union. The European Union market exclusivity period can be reduced to six years if, at the end of the fifth year, it is determined that a product no longer meets the criteria for orphan designation, including if the product is sufficiently profitable so that market exclusivity is no longer justified.</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we obtain orphan drug exclusivity for one of our product candidates, that exclusivity may not effectively protect our product candidate from competition because different products can be approved for the same condition.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 or represents a major contribution to patient care. Orphan drug designation neither shortens the development time or regulatory review time of a product nor gives the product any advantage in the regulatory review or approval process. While we may seek orphan drug designation for our product candidates, we may never receive such designations. Even if we do receive such designations, there is no guarantee that we will enjoy the benefits of those designations.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FDA may further reevaluate its regulations and policies under the Orphan Drug Act. We do not know if, when or how the FDA may change its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received rare pediatric disease designation for bitopertin. However, a marketing application for bitopertin, if approved, may not meet the eligibility criteria for a rare pediatric disease priority review voucher.</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May 2024, we received rare pediatric disease designation for bitopertin in patients with EPP and XLP. The FDA defines “rare pediatric disease” as a (i) serious or life-threatening disease in which the serious or life-threatening manifestations primarily affect ages from birth to 18 years, including age groups often called neonates, infants, children and adolescents; and (ii) a rare disease or condition within the meaning of the Orphan Drug Act. Vouchers for rare pediatric disease drugs are awarded for qualifying applications when the drug receives approval. However, designation of a product candidate as a product for a rare pediatric disease does not guarantee that a marketing application for such product candidate will meet the eligibility criteria for a rare pediatric disease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5" w:name="page66"/>
    <w:bookmarkEnd w:id="65"/>
    <w:p>
      <w:pPr>
        <w:jc w:val="both"/>
        <w:spacing w:after="0" w:line="256" w:lineRule="auto"/>
        <w:rPr>
          <w:sz w:val="20"/>
          <w:szCs w:val="20"/>
          <w:color w:val="auto"/>
        </w:rPr>
      </w:pPr>
      <w:r>
        <w:rPr>
          <w:rFonts w:ascii="Times New Roman" w:cs="Times New Roman" w:eastAsia="Times New Roman" w:hAnsi="Times New Roman"/>
          <w:sz w:val="18"/>
          <w:szCs w:val="18"/>
          <w:color w:val="auto"/>
        </w:rPr>
        <w:t>priority review voucher at the time the application is approved. In September 2025, we submitted an NDA for accelerated approval of bitopertin in EPP and XLP in the United States and we requested a rare pediatric disease review voucher. In February 2026, the FDA issued a CRL indicating that, while accelerated approval was not warranted, results from an additional clinical trial, such as our APOLLO clinical trial, could serve as evidence to support a potential traditional approval. With the positive topline results from APOLLO, we plan to engage with the FDA and resubmit an NDA by the end of 2026 and would then anticipate an FDA decision on our NDA by mid-2027. However, even if the FDA ultimately approves our NDA for bitopertin, the FDA may determine that the NDA does not meet the eligibility criteria for a priority review voucher.</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current law, after September 30, 2029, the FDA may not award any rare pediatric disease priority review vouchers. However, it is possible that the FDA's authority to do so may be extended by Congress in the future.</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seek a breakthrough therapy designation for certain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are designated as breakthrough therapies, the FDA may later withdraw the designation if it determines that such product candidates no longer meet the conditions for such designation.</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were granted fast track designation by the FDA for DISC-3405 for the treatment of PV in September 2023 and for selcodebart for the treatment of anemia in non-dialysis dependent chronic kidney disease in February 2024, and we may seek fast track designation for certain of our product candidates.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the FDA may disagree and instead decide not to grant it. Even if we do receive fast track designation, we may not experience a faster development process, review or approval compared to conventional FDA procedures. The FDA may withdraw fast track designation if it believes that the designation no longer meets the conditions for such designation. Fast track designation alone does not guarantee qualification for the FDA’s priority review procedures.</w:t>
      </w:r>
    </w:p>
    <w:p>
      <w:pPr>
        <w:spacing w:after="0" w:line="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sought approval from the FDA for bitopertin for EPP and XLP, and we may seek approval for any of our other product candidates, under the Accelerated Approval Program. If we are not able to use such program, we may be required to conduct additional clinical trials beyond those that are contemplated, which would increase the expense of obtaining, and delay the receipt of, necessary marketing approvals, if we receive them at all. In addition, even if the Accelerated Approval Program is available to us, it may not lead to expedited approval of our product candidates, or approval at all.</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sought accelerated approval of bitopertin for EPP and XLP, and we may seek accelerated approval for our other product candidates, as appropriate.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It is possible that at the time of submission of a marketing application or as a result of the FDA's review of the marketing application, the FDA may determine that our product candidate is not eligible for accelerated approval or that accelerated approval is not warranted. For example, in February 2026, the FDA issued a CRL in response to our NDA for accelerated approval of bitopertin for EPP and XLP. Although the FDA agreed that clinical data from AURORA and BEACON provided sufficient evidence that bitopertin significantly lowers whole blood metal-free PPIX, the FDA concluded that the trials did not show evidence of association between percent change in PPIX and sunlight exposure-based endpoints as measured in the trials. As such, the FDA determined that there is uncertainty regarding whether bitopertin’s effect on PPIX is reasonably likely to predict clinical benefit, despite the strong mechanistic and biological plausibility supporting the use of the PPIX biomarker in protoporphyria, and therefore decided that accelerated approval was not warranted. Moreover, FDA may revise how it implements accelerated approval, which could negatively affect the development of our current or future product candidates.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jc w:val="both"/>
        <w:spacing w:after="0" w:line="253" w:lineRule="auto"/>
        <w:rPr>
          <w:sz w:val="20"/>
          <w:szCs w:val="20"/>
          <w:color w:val="auto"/>
        </w:rPr>
      </w:pPr>
      <w:r>
        <w:rPr>
          <w:rFonts w:ascii="Times New Roman" w:cs="Times New Roman" w:eastAsia="Times New Roman" w:hAnsi="Times New Roman"/>
          <w:sz w:val="18"/>
          <w:szCs w:val="18"/>
          <w:color w:val="auto"/>
        </w:rPr>
        <w:t>As a condition of approval, the FDA generally requires that a sponsor of a drug or biologic receiving accelerated approval perform adequate and well-controlled post-marketing clinical trials. These confirmatory trials must be completed with due diligence. Under FDORA, the FDA is permitted to require that a post-approval confirmatory trial or trials be underway prior to approval or within a specified time period after the date accelerated approval is granted. FDORA also requires sponsors to send updates to the FDA every 180 days on the status of such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confirmatory studies in a timely manner, send the necessary updates to the FDA, or if such post-approval trials fail to verify the product’s predicted clinical benefit. Under FDORA, the FDA is empowered to take action, such as issuing fines, against companies that fail to conduct with due diligence any post-approval confirmatory trial or submit timely reports to the agency on their progress. In addition, the FDA currently requires, unless the sponsor is otherwise informed by the agency, submission of launch promotional materials during the pre-approval period, which could adversely impact the timing of the commercial launch of the product.</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are not able to obtain accelerated approval for a product candidate, we may be required to conduct additional clinical trials beyond those that are contemplated, which would increase the expense of obtaining, and delay the receipt of, traditional FDA approval, if received at all. For example, as we were not able to obtain accelerated approval for bitopertin in EPP or XLP, we will need to successfully complete at least one additional clinical trial, such as our Phase 3 APOLLO trial, before responding to the FDA's CRL in support of a potential traditional approval. With the positive topline results from APOLLO, we plan to engage with the FDA and resubmit an NDA by the end of 2026 and would then anticipate an FDA decision on our NDA by mid-2027.</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drug product candidates or any of our future drug product candidates obtain regulatory approval, additional competitors could enter the market with generic versions of such products, which may result in a material decline in sales of our competing products.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or the Hatch-Waxman Amendments to the Federal Food, Drug, and Cosmetic Act, or the FDCA, a company may file an abbreviated new drug application, or ANDA, seeking approval of a generic version of an approved innovator product. Under the Hatch-Waxman Amendments, a company may also submit an NDA under section 505(b)(2) of the FDCA that references the FDA’s prior approval of the innovator product or preclinical studies and/or clinical trials that were not conducted by, or for, the applicant and for which the applicant has not obtained a right of reference.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the applicable, approved innovator product, a generic or 505(b)(2) applicant that seeks to market our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Accordingly, if any of our product candidates that are regulated as drugs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not be successful in securing or maintaining proprietary patent protection for products and technologies we develop or licenses,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our sales would likely decline rapidly and materially.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approved, our investigational products regulated as biologics may face competition from biosimilars or interchangeable products approved through an abbreviated regulatory pathway.</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created an abbreviated approval pathway for biologic products that are biosimilar to or interchangeable with an FDA-licensed reference biologic product. Under the BPCIA, an application for a biosimilar or interchangeable product may not be submitted to the FDA until four years following the date that the reference product was first licensed by the FDA. In addition, the approval of a biosimilar or interchangeable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investigational medicines to be reference products, potentially creating the opportunity for biosimilar competition sooner than anticipated. Other aspects of the BPCIA, some of which may impact the BPCIA exclusivity provisions, have also been the subject of litigation. Moreover, the extent to which a biosimilar or interchangeable product, once licensed, will be substituted for any one of our reference products in a way that is similar to traditional generic substitution for non-biologic products is not yet clear, and will depend on a number of marketplace and regulatory factors that are still developing. If competitors are able to obtain regulatory approval for biosimilars or interchangeable products referencing our products, our products may become subject to competition from such biosimilars or interchangeable products, with the attendant competitive pressure and consequences.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continue to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NIH, CMS, FDA, the SEC and other government agencies, including from government shut downs, or other disruptions to these agencies’ operations, including significant leadership, personnel, or policy changes,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NIH’s ability to conduct and partner with industry on important research, and CMS’s ability to operate efficiently can be affected by a variety of factors, including government budget and funding</w:t>
      </w: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8" w:name="page69"/>
    <w:bookmarkEnd w:id="68"/>
    <w:p>
      <w:pPr>
        <w:jc w:val="both"/>
        <w:spacing w:after="0" w:line="282" w:lineRule="auto"/>
        <w:rPr>
          <w:sz w:val="20"/>
          <w:szCs w:val="20"/>
          <w:color w:val="auto"/>
        </w:rPr>
      </w:pPr>
      <w:r>
        <w:rPr>
          <w:rFonts w:ascii="Times New Roman" w:cs="Times New Roman" w:eastAsia="Times New Roman" w:hAnsi="Times New Roman"/>
          <w:sz w:val="18"/>
          <w:szCs w:val="18"/>
          <w:color w:val="auto"/>
        </w:rPr>
        <w:t>levels, ability to hire and retain key personnel and accept the payment of user fees, and statutory, regulatory and policy changes. Average review times at the agency have fluctuated in recent years as a result.</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example, over the last several years the U.S. government has shut down several times, including in October 2025, and certain regulatory agencies, such as the FDA and the SEC, have had to furlough critical FDA, SEC and other government employees and stop critical activities. If a prolonged government shutdown or a widespread freeze on federal funding occurs in the future, it could significantly impact the ability of the FDA to timely review and process our regulatory submissions, NIH to conduct research or provide grants, or other agencies to slow their work, which could have a material adverse effect on our business. Further, future government shutdowns could impact our ability to access the public markets and obtain necessary capital in order to properly capitalize and continue our operations. In addition, the current administration has previously sought to reduce the NIH budget and bar disbursements for funding of medical research, and may seek to do so in the future, which could decrease the ability of facilities that rely on NIH funding to enroll and conduct clinical trials or increase the costs to us of conducting clinical trials.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disruptions at the FDA and other federal agencies, including substantial leadership departures, personnel cuts, and policy changes, could result in delays in the FDA’s responsiveness or in its ability to review and/or approve new drug submissions or applications, issue regulations or guidance, or implement or enforce regulatory requirements in a timely fashion, any of which could adversely affect our business. For example, during 2025, certain federal agencies, including the FDA, conducted significant layoffs and it is currently unclear whether and how such staff reductions may impact our business.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there is substantial uncertainty as how the current administration's modifications to the requirements and policies of the FDA and other relevant regulatory agencies may affect our product candidates and any products for which we obtain approval. This uncertainty could present new challenges as we navigate development and approval of our product candidates. The current administration could also issue or promulgate executive orders, regulations, policies or guidance that adversely affect us or create a more challenging or costly environment to pursue the development of new therapeutic candidates.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healthcare reform measures may have a material adverse effect on our business and results of operations.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United States and many foreign jurisdictions have enacted and/or proposed legislative and regulatory changes affecting the healthcare system that could prevent or delay regulatory approval of our current or future product candidates or any future product candidates, restrict or regulate post-approval activities, and affect our ability to profitably sell a product for which we obtain regulatory approval. Changes in laws, regulations, statutes or the interpretation of existing laws and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For more information, see “Business— Government Regulation—Current and Future U.S. Healthcare Reform Legislation” in our Annual Report on Form 10-K for the year ended December 31, 2025.</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there have been, and continue to be, a significant number of legislative initiatives to contain healthcare costs, including at the state level where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 For example, CMS may develop new payment and delivery models, including most-favored nation proposals, bundled payment models, or other drug pricing reforms, any of which could have a material adverse effect on our business.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The continuing efforts of the government, insurance companies, managed care organizations and other payors of healthcare services to contain or reduce costs of healthcare and/or impose price controls may adversely affect the demand for our current or future product candidates, if we obtain regulatory approval; our ability to set a price that we believe is fair for our products; our ability to obtain coverage and reimbursement approval for a product; our ability to generate revenue and achieve or maintain profitability; the level of taxes that we are required to pay; and the availability of capital.</w:t>
      </w:r>
    </w:p>
    <w:p>
      <w:pPr>
        <w:spacing w:after="0" w:line="8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expect that these existing laws and other healthcare reform measures that may be adopted in the future may result in additional reductions in Medicare and other healthcare funding, more rigorous coverage criteria, new payment methodologies and additional</w:t>
      </w: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9" w:name="page70"/>
    <w:bookmarkEnd w:id="69"/>
    <w:p>
      <w:pPr>
        <w:jc w:val="both"/>
        <w:spacing w:after="0" w:line="282" w:lineRule="auto"/>
        <w:rPr>
          <w:sz w:val="20"/>
          <w:szCs w:val="20"/>
          <w:color w:val="auto"/>
        </w:rPr>
      </w:pPr>
      <w:r>
        <w:rPr>
          <w:rFonts w:ascii="Times New Roman" w:cs="Times New Roman" w:eastAsia="Times New Roman" w:hAnsi="Times New Roman"/>
          <w:sz w:val="18"/>
          <w:szCs w:val="18"/>
          <w:color w:val="auto"/>
        </w:rPr>
        <w:t>downward pressure on the price that we receive for any approved product. Any reduction in reimbursement from Medicare or other government programs may result in a similar reduction in payments from private payors, which may adversely affect our future profitability.</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will play a primary role in the recommendation and prescription of any product candidates for which we obtain regulatory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Restrictions under applicable federal and state healthcare laws and regulations, include the following:</w:t>
      </w:r>
    </w:p>
    <w:p>
      <w:pPr>
        <w:spacing w:after="0" w:line="81" w:lineRule="exact"/>
        <w:rPr>
          <w:sz w:val="20"/>
          <w:szCs w:val="20"/>
          <w:color w:val="auto"/>
        </w:rPr>
      </w:pPr>
    </w:p>
    <w:p>
      <w:pPr>
        <w:jc w:val="both"/>
        <w:ind w:left="760" w:hanging="378"/>
        <w:spacing w:after="0" w:line="253"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of up to ten years,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 The Anti-Kickback Statute has been interpreted to apply to arrangements between pharmaceutical manufacturers, on the one hand, and prescribers, purchasers and formulary managers, on the other. The HHS, Office of Inspector General, or OIG, heavily scrutinizes relationships between pharmaceutical companies and persons in a position to generate referrals for or the purchase of their products, such as physicians, other healthcare providers, and pharmacy benefit managers, among others. However, there are a number of statutory exceptions and regulatory safe harbors protecting some common activities from prosecution;</w:t>
      </w:r>
    </w:p>
    <w:p>
      <w:pPr>
        <w:spacing w:after="0" w:line="81" w:lineRule="exact"/>
        <w:rPr>
          <w:rFonts w:ascii="Times New Roman" w:cs="Times New Roman" w:eastAsia="Times New Roman" w:hAnsi="Times New Roman"/>
          <w:sz w:val="18"/>
          <w:szCs w:val="18"/>
          <w:color w:val="auto"/>
        </w:rPr>
      </w:pPr>
    </w:p>
    <w:p>
      <w:pPr>
        <w:jc w:val="both"/>
        <w:ind w:left="760" w:hanging="378"/>
        <w:spacing w:after="0" w:line="254"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and civil monetary penalties laws, including the federal False Claims Act, or FCA,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of fraudulent claim for purposes of the False Claims Act. The federal False Claims Act also permits a private individual acting as a “whistleblower” to bring actions on behalf of the federal government alleging violations of the federal False Claims Act and to share in any monetary recovery;</w:t>
      </w:r>
    </w:p>
    <w:p>
      <w:pPr>
        <w:spacing w:after="0" w:line="83"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imposes criminal and civil liability for executing a scheme to defraud any healthcare benefit program (e.g. public or private),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jc w:val="both"/>
        <w:ind w:left="760" w:hanging="378"/>
        <w:spacing w:after="0" w:line="255"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transparency requirements, sometimes referred to as the “Sunshine Act” under the ACA, which require manufacturers of drugs, devices, biologics and medical supplies that are reimbursable under Medicare, Medicaid, or the Children’s Health Insurance Program to report to HHS information related to transfers of value made to physicians, nurse practitioners, certified nurse anesthetists, physician assistants, clinical nurse specialists, and certified nurse midwives as well as teaching hospitals. Manufacturers are also required to</w:t>
      </w:r>
    </w:p>
    <w:p>
      <w:pPr>
        <w:spacing w:after="0" w:line="3" w:lineRule="exact"/>
        <w:rPr>
          <w:sz w:val="20"/>
          <w:szCs w:val="20"/>
          <w:color w:val="auto"/>
        </w:rPr>
      </w:pPr>
    </w:p>
    <w:p>
      <w:pPr>
        <w:ind w:left="5540" w:right="3180" w:hanging="4777"/>
        <w:spacing w:after="0" w:line="260" w:lineRule="auto"/>
        <w:rPr>
          <w:sz w:val="20"/>
          <w:szCs w:val="20"/>
          <w:color w:val="auto"/>
        </w:rPr>
      </w:pPr>
      <w:r>
        <w:rPr>
          <w:rFonts w:ascii="Times New Roman" w:cs="Times New Roman" w:eastAsia="Times New Roman" w:hAnsi="Times New Roman"/>
          <w:sz w:val="18"/>
          <w:szCs w:val="18"/>
          <w:color w:val="auto"/>
        </w:rPr>
        <w:t>disclose ownership and investment interests held by physicians and their immediate family members;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also be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General Data Protection Regulation, also govern the privacy and security of health information, many of which differ from each other in significant ways and often are not preempted by HIPAA, thus complicating compliance efforts. Any failure or perceived failure to comply with an applicable legal requirement could result in penalties and reputational harm.</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United States, to help patients afford our approved product, we may utilize programs to assist them, including patient assistance programs and co-pay coupon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co-pay coupons for certain specialty drugs the insurer identified. Our co-pay coupon programs could become the target of similar insurer actions. In addition, in November 2013, the CMS issued guidance to the issuers of qualified health plans sold through the ACA’s marketplaces encouraging such plans to reject patient cost-sharing support from third parties and indicating that the CMS intends to monitor the provision of such support and may take regulatory action to limit it in the future. The CMS subsequently issued a rule requiring individual market qualified health plans to accept third-party premium and cost-sharing payments from certain government-related entities. In September 2014, the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spacing w:after="0" w:line="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Third party patient assistance programs that receive financial support from companies have become the subject of enhanced government and regulatory scrutiny. The OIG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foundation support for our patients who need assistance.</w:t>
      </w:r>
    </w:p>
    <w:p>
      <w:pPr>
        <w:spacing w:after="0" w:line="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jc w:val="both"/>
        <w:spacing w:after="0" w:line="255" w:lineRule="auto"/>
        <w:rPr>
          <w:sz w:val="20"/>
          <w:szCs w:val="20"/>
          <w:color w:val="auto"/>
        </w:rPr>
      </w:pPr>
      <w:r>
        <w:rPr>
          <w:rFonts w:ascii="Times New Roman" w:cs="Times New Roman" w:eastAsia="Times New Roman" w:hAnsi="Times New Roman"/>
          <w:sz w:val="18"/>
          <w:szCs w:val="18"/>
          <w:color w:val="auto"/>
        </w:rPr>
        <w:t>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disgorgement, imprisonment, the exclusion from participation in federal and state government funded healthcare programs, such as Medicare and Medicaid, reputational harm, and the curtailment or restructuring of our operations. It may also subject us to additional reporting obligations and oversight, if we become subject to a corporate integrity agreement, deferred prosecution agreement, or other agreement to resolve allegations of non-compliance with these laws. If any of the physicians or other providers or entities with whom we expect to do business is found not to be in compliance with applicable laws, they may be subject to similar criminal, civil or administrative sanctions, including exclusions from government funded healthcare programs.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U.S. and global privacy and security requirements could result in additional costs and liabilities to us or inhibit our ability to collect and process data globally, and the failure to comply with such requirements could expose us to criminal sanctions, civil penalties, contractual damages, reputational harm, administrative burdens and diminished profits and future earnings.</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regulatory framework for the collection, use, safeguarding, sharing, transfer and other processing of personal information worldwide is rapidly evolving and is likely to remain uncertain for the foreseeable future. We possess and process sensitive information, including patient health information. In the U.S., there are numerous federal and state privacy and data security laws and regulations governing the collection, use, disclosure and protection of personal information, including health information privacy laws, security breach notification laws and consumer protection laws. These federal and state laws, in many cases, are not preempted by HIPAA and may be subject to varying interpretations by the courts and government agencies. These varying interpretations can create complex compliance issues for us and our partners and potentially expose us to additional expense, adverse publicity and liability, any of which could adversely affect our business. There is ongoing concern from privacy advocates, regulators and others regarding data privacy and security issues, and the number of jurisdictions with data privacy and security laws has been increasing. Also, there are ongoing public policy discussions regarding whether the standards for de-identification, anonymization or pseudonymization of health information are sufficient, and the risk of re-identification sufficiently small, to adequately protect patient privacy. We expect that there will continue to be new proposed and amended laws, regulations and industry standards concerning privacy, data protection and information security in the United States. For example, California enacted the California Consumer Privacy Act, or CCPA, as amended by the California Privacy Rights Act, is a comprehensive privacy law that broadly defines personal information, gives California residents expanded rights to access and delete their personal information, and places stringent privacy and security obligations on businesses covered by the law, including obligations to provide detailed disclosures to California consumers about their data collection, use and sharing practices, and to provide such consumers with ways to opt out of certain sales or transfers of personal information. A state agency was created to regulate the implementation and enforcement of the CCPA which may increase the risk of regulatory fines and penalties. The CCPA also provides for civil penalties, and allows for a private right of action for certain types of data breaches, which may lead to increased data breach litigation risk.</w:t>
      </w:r>
    </w:p>
    <w:p>
      <w:pPr>
        <w:spacing w:after="0" w:line="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Comprehensive laws similar to the CCPA have been passed in numerous other states outside of California. These laws are substantially similar in scope and contain many of the same requirements and exceptions as the CCPA, including a general exemption for clinical trial data and limited obligations for entities regulated by HIPAA. We cannot yet determine the full impact these laws or other such future laws, regulations and standards may have on our current or future business. Any of these laws may broaden their scope in the future, and similar laws have been proposed on both federal and state levels. Such proposed legislation, if enacted, may add additional complexity, variation in requirements, restrictions and potential legal risk, require additional</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2" w:name="page73"/>
    <w:bookmarkEnd w:id="72"/>
    <w:p>
      <w:pPr>
        <w:jc w:val="both"/>
        <w:spacing w:after="0" w:line="282" w:lineRule="auto"/>
        <w:rPr>
          <w:sz w:val="20"/>
          <w:szCs w:val="20"/>
          <w:color w:val="auto"/>
        </w:rPr>
      </w:pPr>
      <w:r>
        <w:rPr>
          <w:rFonts w:ascii="Times New Roman" w:cs="Times New Roman" w:eastAsia="Times New Roman" w:hAnsi="Times New Roman"/>
          <w:sz w:val="18"/>
          <w:szCs w:val="18"/>
          <w:color w:val="auto"/>
        </w:rPr>
        <w:t>investment of resources in compliance programs, impact strategies and the availability of previously useful data and could result in increased compliance costs and/or changes in our business practices and policies.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comprehensive consumer privacy laws, certain states have enacted privacy laws with more limited focus. For example, the state of Washington passed the “My Health My Data Act” to protect medical and health information not subject to HIPAA. This law has a private right of action, which increases the relevant compliance risk. A small number of states have also passed similar laws regulating consumer health data. Other states have proposed and/or passed legislation that regulates the privacy and/or security of certain specific types of information. For example, a small number of states have passed laws that regulate biometric information. The existence of comprehensive privacy laws in different states in the country make our compliance obligations more complex and costly and may increase the likelihood that we may be subject to enforcement actions or otherwise incur liability for noncompliance. These various privacy and security laws may impact our business activities, including our identification of research subjects, relationships with business partners and ultimately the marketing and distribution of our products.</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collection, use, storage, disclosure, transfer or other processing of personal data regarding individuals in the EEA and UK, including personal health data, is subject to the EU General Data Protection Regulation 2016/679, or EU GDPR, with respect to individuals in the EEA and the UK General Data Protection Regulation (following the incorporation of the EU GDPR into UK law), or UK GDPR, with respect to individuals in the UK, and together with the EU GDPR, GDPR. The GDPR is wide-ranging in scope and imposes numerous requirements on companies that process personal data, including requirements relating to having a legal basis or condition for processing personal data, stricter requirements relating to processing sensitive data (including health data), where required by GDPR obtaining consent of the individuals to whom the personal data relates, providing information to individuals regarding data processing activities, implementing safeguards to protect the security and confidentiality of personal data, providing notification of data breaches, requiring data protection impact assessments for high risk processing and taking certain measures when engaging third-party processors. The GDPR permits data protection authorities to impose large penalties for violations of the GDPR, including potential fines of up to €20 million (£17.5 million for the UK)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GDPR provides that EEA Member States may make their own further laws and regulations in relation to the processing of genetic, biometric or health data, which could result in differences between Member States, limit our ability to use and share personal data or could cause our costs to increase, and harm our business and financial condition.</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GDPR also imposes strict rules on the transfer of personal data to countries outside the EEA and UK not deemed adequate for the transfer of such personal data by competent data protection authorities, or third countries, including the United States in certain circumstances unless a derogation exists or we may need to incorporate a GDPR transfer mechanism (such as the European Commission approved standard contractual clauses, or SCCs or the UK International Data Transfer Addendum, or IDTA) into our agreements with third parties to govern such transfers of personal data and carry out transfer impact assessments. Further, the European Union and United States have adopted its adequacy decision for the EU-U.S. Data Privacy Framework, or the Framework, which entered into force on July 11, 2023. This Framework provides that the protection of personal data transferred between the European Union and the United States is comparable to that offered in the European Union. This provides a further avenue to ensuring transfers to the United States are carried out in line with GDPR. There has been an extension to the Framework to cover UK transfers to the United States. The Framework could be challenged like its predecessor frameworks. The international transfer obligations under the EEA and UK data protection regimes will require effort and cost and may result in us needing to make strategic considerations around where EEA/UK personal data is located and which service providers we can utilize for the processing of EEA/UK personal data.</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UK is regarded as a third country under the EU GDPR, the European Commission has issued an “Adequacy Decision” recognizing the UK as providing adequate protection under the EU GDPR and, therefore, transfers of personal data subject to the EU GDPR to the UK remain unrestricted. The UK government has confirmed that personal data transfers from the UK to the EEA remain free flowing.</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Despite Brexit, the UK and EEA data protection regimes remain largely aligned. However, going forward, there is increasing risk for divergence in application, interpretation and enforcement of the data protection laws as between the UK and EEA, creating additional regulatory uncertainty. For example, the UK Data (Use and Access) Act 2025, or the UK Act, now in force, further differentiates the UK’s data protection regime. In December 2025, the European Commission adopted a decision determining that the UK continues to provide a level of data protection that is “essentially equivalent” to the EU standards and extended the validity of the UK adequacy decision for six years, through December 2031. While this renewal reduces immediate adequacy concerns, uncertainty remains regarding how UK data protection laws will evolve in the medium to longer term. The lack of clarity on future UK laws and regulations and their interaction with EU laws and regulations may affect our efforts to maintain a harmonized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3" w:name="page74"/>
    <w:bookmarkEnd w:id="73"/>
    <w:p>
      <w:pPr>
        <w:jc w:val="both"/>
        <w:spacing w:after="0" w:line="252" w:lineRule="auto"/>
        <w:rPr>
          <w:sz w:val="20"/>
          <w:szCs w:val="20"/>
          <w:color w:val="auto"/>
        </w:rPr>
      </w:pPr>
      <w:r>
        <w:rPr>
          <w:rFonts w:ascii="Times New Roman" w:cs="Times New Roman" w:eastAsia="Times New Roman" w:hAnsi="Times New Roman"/>
          <w:sz w:val="18"/>
          <w:szCs w:val="18"/>
          <w:color w:val="auto"/>
        </w:rPr>
        <w:t>approach to processing European personal data and expose us to two parallel regimes where the UK GDPR and EU GDPR both apply with differing interpretation and enforcement approaches. This could increase our legal risk, uncertainty, complexity and compliance cost associated with the handling of European personal data, and may require us to adapt our privacy and data security compliance programs to account for legal and regulatory divergence between the UK and EEA. The European Commission has also proposed reforms under the “Digital Omnibus” package which, if adopted, may further modify GDPR-related requirements, including by clarifying the scope of “personal data” and the treatment of coded or de-identified data, potentially requiring further adjustments to our European privacy compliance framework. In the EEA, the NIS 2 Directive, or NIS 2, is replacing the cybersecurity legal framework under the current NIS framework, aiming to ensure a high level of cybersecurity in the region. NIS 2 expands on the scope of the current NIS framework, extending to additional sectors and expanding the list of in-scope healthcare organizations providing services in the EEA, including to certain providers engaged in research and development of medicinal products. To the extent applicable, the new regime imposes direct obligations on management regarding compliance with NIS 2, requiring covered organizations to put in place certain cyber risk management measures, and strengthens incident reporting requirements and provides supervisory authorities with greater oversight. The majority of these obligations will not come into force until national legislation implementing NIS 2 becomes effective in the relevant EU Member State. EU Member States had until October 17, 2024 to transpose NIS 2 into national legislation, although many countries have still not completed this process. As such, the cybersecurity regulatory landscape in the EU is currently fragmented and uncertain. To the extent we become subject to NIS 2, we may need to increase investment in our cybersecurity compliance programs. Under NIS 2, companies may be subject to administrative fines of up to the higher amount of €10 million or 2% of worldwide annual revenue.</w:t>
      </w:r>
    </w:p>
    <w:p>
      <w:pPr>
        <w:spacing w:after="0" w:line="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European law further regulates our digital activities through the ePrivacy Directive in the EU and the Privacy and Electronic Communications Regulations in the UK, each of which establishes obligations concerning our deployment of cookies and tracking technologies on our website and imposes requirements applicable to direct marketing communications. Failure to adhere to these obligations could subject us to regulatory fines, the magnitude of which varies by jurisdiction. Compliance with these requirements may affect our business operations and give rise to additional compliance burdens.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of these evolving compliance and operational requirements impose potentially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If we or third-party CDMOs,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financial condition, results of operations and prospects.</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use of new and evolving technologies, such as artificial intelligence, in our business may result in spending material resources and presents risks and challenges that can impact our business including by posing security and other risks to our confidential and/or proprietary information, including personal information, and as a result we may be exposed to reputational harm and liability.</w:t>
      </w:r>
    </w:p>
    <w:p>
      <w:pPr>
        <w:spacing w:after="0" w:line="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may use and integrate artificial intelligence, or AI, into our business processes, and this innovation presents risks and challenges that could affect its adoption, and therefore our business. If we enable or offer solutions that draw controversy due to perceived or actual negative societal impact, we may experience brand or reputational harm, competitive harm or legal liability. The use of certain AI technology can give rise to cybersecurity and intellectual property risks, including compromises to personal or other confidential information, proprietary intellectual property and intellectual property infringement. To the extent we develop our own AI systems, then the risk of intellectual property infringement could arise from third party data sources being used to train our AI models, and from the output of AI systems reproducing or incorporating third party intellectual property rights, in each case without the right to do so. Further, a risk of our proprietary intellectual property rights being compromised through the use of AI could arise through third party vendors using our data to train their models and/or to generate output for other users of their systems. If our third party vendors use our data (which includes personal data) to train their AI models and/or to generate output for other users of their systems, this could also give rise to regulatory risks. Additionally, we expect to see increasing government and supranational regulation related to AI use and ethics, which may also significantly increase the burden and cost of research, development and compliance in this area. For example, the European Union’s Artificial Intelligence Act, or the AI Act, the world’s first comprehensive AI law, is currently in effect with respect to most of its provisions. As currently enacted, the AI Act, which may be amended as part of the EU’s Digital Omnibus, imposes significant obligations on providers and deployers of high risk AI systems, and encourages providers and deployers of AI systems to account for European Union ethical principles in their development and use of these systems.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4" w:name="page75"/>
    <w:bookmarkEnd w:id="74"/>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the AI regulatory environment is complex and uncertain. States have advanced numerous AI-focused laws, such as the Colorado ADMT Act and CCPA regulations on automated decision-making, including on deployment of AI in healthcare settings, creating a fragmented compliance landscape that may heighten regulatory scrutiny and legal exposure. Certain privacy laws further regulate automated decision-making and confer individual rights, such as data deletion, that may be difficult to reconcile with AI-driven processes. At the federal level, the current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rapid evolution of AI will require the application of significant resources to design, develop, test and maintain our products and services to help ensure that AI is implemented in accordance with applicable law and regulation and in a socially responsible manner and to minimize any real or perceived unintended harmful impacts. 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experienced scientists and to attract, retain, and motivate qualified personnel.</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highly dependent on many of our key employees and members of our executive management team as well as the other principal members of our management, scientific and clinical teams. Although we have entered 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5" w:name="page76"/>
    <w:bookmarkEnd w:id="75"/>
    <w:p>
      <w:pPr>
        <w:jc w:val="both"/>
        <w:spacing w:after="0" w:line="256" w:lineRule="auto"/>
        <w:rPr>
          <w:sz w:val="20"/>
          <w:szCs w:val="20"/>
          <w:color w:val="auto"/>
        </w:rPr>
      </w:pPr>
      <w:r>
        <w:rPr>
          <w:rFonts w:ascii="Times New Roman" w:cs="Times New Roman" w:eastAsia="Times New Roman" w:hAnsi="Times New Roman"/>
          <w:sz w:val="18"/>
          <w:szCs w:val="18"/>
          <w:color w:val="auto"/>
        </w:rPr>
        <w:t>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particular, we have experienced a very competitive hiring environment in the greater Boston area of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information systems and infrastructure from cyberattacks or security compromises, cybersecurity incidents or data breaches, which could result in the disclosure of confidential or proprietary information, including personal data, damage our reputation, and subject us to significant financial and legal exposure.</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information technology systems and infrastructure that we or our third-party providers operate to process, transmit and store electronic information in our day-to-day operations. In connection with our product discovery efforts, we may collect and use a variety of personal data and other confidential and/or proprietary data, such as names, mailing addresses, email addresses, phone numbers and clinical trial information. A successful cyberattack could result in the theft, destruction or misuse of intellectual property, data, or other misappropriation of assets, or otherwise compromise our confidential or proprietary information and disrupt our operations. Cyberattacks generally are increasing in their frequency, sophistication and intensity, including in relation to the proliferation of artificial intelligence-enabled systems, and have become increasingly difficult to detect. Cyberattacks could include wrongful conduct by hostile foreign governments, insiders such as employees, contractors or other third-parties and industrial espionage, wire fraud and other forms of cyber fraud, the deployment of harmful malware, ransomware, denial-of-service, social engineering fraud (including phishing attacks) or other means to threaten or compromise the security, confidentiality, integrity and availability of systems and information. A successful cyberattack could cause serious negative consequences for us, including, without limitation, the disruption of operations, the misappropriation of protected information or confidential business information, including personal data, financial information, trade secrets, financial loss and the disclosure of corporate strategic plans.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Like other companies in our industry, we, and our third party vendors, have experienced, and will continue to experience, cybersecurity threats and incidents relating to our information technology systems and infrastructure. Although we devote resources designed to protect our information systems and infrastructure, we realize that cyberattacks are a threat, and there can be no assurance that our efforts will prevent or adequately address information security compromises, incidents or breaches that would result in business, legal, financial or reputational harm to it, or would have a material adverse effect on our results of operations and financial condition. Any failure to prevent or mitigate cybersecurity incidents, data breaches, compromises or other improper access to, use of, or disclosure of protected information, including our clinical data or patients’ personal data could require us to notify impacted stakeholders (including affected individuals, regulators and investors) and result in significant liability through litigation and regulatory investigations and enforcement actions, including under state (e.g., state breach notification and consumer protection laws), federal (e.g., HIPAA, as amended by the Health Information Technology for Economic and Clinical Health Act of 2009, or HITECH), and international law (e.g., the GDPR), and may cause a material adverse impact to our reputation, affect our ability to conduct new studies and potentially disrupt our business.</w:t>
      </w:r>
    </w:p>
    <w:p>
      <w:pPr>
        <w:spacing w:after="0" w:line="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rely on our third-party providers to implement effective security measures and identify and correct for any such failures, deficiencies, vulnerabilities, compromises, cybersecurity incidents or data breaches. We also rely on our employees and consultants to safeguard their security credentials and follow our policies and procedures regarding use and access of computers and other devices that may contain protected information and our sensitive information. If we or our third-party providers fail to maintain or protect our information technology systems, infrastructure and data integrity effectively or fail to anticipate, plan for or manage significant disruptions to our information technology systems and infrastructure,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 or other adverse consequences, any of which could have a material adverse effect on our business, results of operations, financial condition, prospects and cash flows. Any failure by such third parties to prevent or adequately mitigate cybersecurity incidents, data breaches, compromises or other improper access to or disclosure of such information could have similarly adverse consequences for us. If we are unable to prevent or adequately mitigate the impact of such cybersecurity incidents, compromises or data breaches, we could be exposed to litigation and governmental investigations, inquiries, orders, penalties or fines, which could lead to a potential disruption to our business and financial penalties or losses. By way of example, the CCPA creates individual privacy rights for California consumers and increases the privacy and security obligations of entities handling certain personal data. The CCPA provides for civil penalties of up to $7,500 per violation, as well as a private right of action for certain types of data breaches that has, and is expected to continue to, increase the volume of data breach related litigation filed in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p>
      <w:pPr>
        <w:jc w:val="both"/>
        <w:spacing w:after="0" w:line="261" w:lineRule="auto"/>
        <w:rPr>
          <w:sz w:val="20"/>
          <w:szCs w:val="20"/>
          <w:color w:val="auto"/>
        </w:rPr>
      </w:pPr>
      <w:r>
        <w:rPr>
          <w:rFonts w:ascii="Times New Roman" w:cs="Times New Roman" w:eastAsia="Times New Roman" w:hAnsi="Times New Roman"/>
          <w:sz w:val="18"/>
          <w:szCs w:val="18"/>
          <w:color w:val="auto"/>
        </w:rPr>
        <w:t>California. Our contracts may not contain limitations of liability for data breaches we experience, and even where they do, there can be no assurance that such limits are sufficient to protect us from material damages or claims related to our privacy and data security obligations. Further, although we maintain cyber liability insurance, this insurance may not provide adequate coverage against potential liabilities related to cybersecurity incidents or data breaches we may experience.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Technological developments, including advances in frontier artificial intelligence models, may increase the sophistication and speed of cybersecurity incidents and other malicious attacks that we experience. These technologies may enable threat actors to better identify vulnerabilities, develop targeted exploits, conduct phishing or social engineering campaigns, or otherwise compromise or breach our information systems more efficiently. Vulnerabilities that affect us or our third-party service providers may be exploited more rapidly, and although we maintain cybersecurity risk management processes designed to address cybersecurity threats, evolving artificial intelligence capabilities may reduce these safeguards’ effectiveness and require additional investments and resources.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2026, we had 173 full-time employees and no part-time employees. We expect to experience significant growth in the number of our employees and the scope of our operations, particularly as we mature as a public company and in the areas of product development, regulatory affairs and, in anticipation of the potential regulatory approval of bitopertin,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acquired, and in the future may acquire additional, businesses or products, and we may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Similarly, on March 12, 2023, Signature Bank and Silvergate Capital Corp. were each placed into receivership. Although a statement by the Department of the Treasury, the Federal Reserve and the FDIC indicated that all depositors of SVB (such as our Company)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Subsequent to these events, additional financial institutions have experienced similar failures and have been placed into receivership. It is possible that other banks will face similar difficulty in the future.</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the Company, the financial institutions with which the Company has credit agreements or arrangements directly, such as Hercules Capital,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w:t>
      </w: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7" w:name="page78"/>
    <w:bookmarkEnd w:id="77"/>
    <w:p>
      <w:pPr>
        <w:jc w:val="both"/>
        <w:spacing w:after="0" w:line="258" w:lineRule="auto"/>
        <w:rPr>
          <w:sz w:val="20"/>
          <w:szCs w:val="20"/>
          <w:color w:val="auto"/>
        </w:rPr>
      </w:pPr>
      <w:r>
        <w:rPr>
          <w:rFonts w:ascii="Times New Roman" w:cs="Times New Roman" w:eastAsia="Times New Roman" w:hAnsi="Times New Roman"/>
          <w:sz w:val="18"/>
          <w:szCs w:val="18"/>
          <w:color w:val="auto"/>
        </w:rPr>
        <w:t>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may adversely affect us or our investors.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such changes have been made and changes are likely to continue to occur in the future. For example, on July 4, 2025, the “One Big Beautiful Bill Act,” or OBBBA, was signed into law, which is considered the enactment date under U.S. GAAP. Key corporate tax provisions include the restoration of 100% bonus depreciation, immediate expensing for domestic research and experimental expenditures, changes to Section 163(j) interest limitations, updates to GILTI and FDII rules, amendments to energy credits, and expanded Section 162(m) aggregation requirements. In accordance with ASC Topic 740, the effects of the new tax law will be recognized in the period of enactment. The Company has evaluated the impact of the OBBBA, and although we do not expect the legislation to have a material financial statement effect, it cannot be predicted whether, when, in what form or with what effective dates other tax laws, regulations and rulings may be enacted, promulgated or issued, which could result in an increase in our or our stockholders’ tax liability or require changes in the manner in which we operate in order to minimize or mitigate any adverse effects of changes in tax law. Further, existing tax laws, statutes, rules, regulations, rulings or ordinances could be interpreted, changed, modified or applied adversely to us. Prospective investors should consult their tax advisors regarding the potential consequences of changes in tax law on our business and on the ownership and disposition of our common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taxable income may be subject to certain limitations.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December 31, 2025, we had federal and state net operating loss carryforwards of $342.9 million and $331.8 million, respectively. Substantially all of the federal net operating loss carryforwards are not subject to expiration and the state net operating loss carryforwards begin to expire in 2037. As of December 31, 2025, we also had federal and state research and development tax credit carryforwards of $32.1 million and $4.3 million, respectively, which begin to expire in 2037. These net operating loss and tax credit carryforwards could expire unused and be unavailable to offset future income tax liabilities. Under current law, unused U.S. federal and certain state net operating losses generated for tax years beginning after December 31, 2017 are not subject to expiration and may be carried forward indefinitely. Such U.S. federal net operating losses generally may not be carried back to prior taxable years, except that, net operating losses generated in 2018, 2019 and 2020 may be carried back to each of the five tax years preceding the tax years of such losses. For taxable years beginning after December 31, 2020, the deductibility of U.S. federal net operating losses generated for tax years beginning after December 31, 2017 is limited to 80% of our taxable income in any future taxable year. In addition, in general, under Sections 382 and 383 of the Internal Revenue Code of 1986, as amended, or the Code, a corporation that undergoes an “ownership change” is subject to limitations on its ability to utilize its pre-change net operating losses or tax credits, or NOLs or credits, to offset future taxable income or taxes. For these purposes, an ownership change generally occurs when one or more stockholders or groups of stockholders who each owns at least 5% of a corporation’s stock increase their aggregate stock ownership by more than 50 percentage points over their lowest ownership percentage (by value) within a specified testing period. Our existing NOLs or credits may be subject to limitations arising from previous ownership changes, and if we undergo an ownership change, our ability to utilize NOLs or credits could be further limited by Sections 382 and 383 of the Code. In addition, future changes in our stock ownership, many of which are outside of our control, could result in an ownership change under Sections 382 and 383 of the Code. Our NOLs or credits may also be impaired under state law. Accordingly, we may not be able to utilize a material portion of our NOLs or credits.</w:t>
      </w:r>
    </w:p>
    <w:p>
      <w:pPr>
        <w:spacing w:after="0" w:line="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currently engage, and expect to continue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8" w:name="page79"/>
    <w:bookmarkEnd w:id="7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political, trade or regulatory developments, unfavorable global economic conditions, and other circumstances beyond our control, could have a material adverse effect on our business, financial condition or results of operations.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COVID-19 pandemic caused significant volatility and uncertainty in U.S. and international markets. See “Risks Related to the Discovery and Development of Our Product Candidates-A public health crisis, pandemic, epidemic, or outbreak of an infectious or highly contagious disease may materially and adversely affect our business and financial results and could cause a disruption to the development of our product candidates.” In addition, the impact of geopolitical tension, such as a deterioration in the bilateral relationship between the United States and China or an escalation in conflict between Russia and Ukraine, the United States and Iran, and in the Middle East, including any resulting sanctions, export controls or other restrictive actions, also could lead to disruption, instability and volatility in the global markets. For example, in 2025, the United States imposed tariffs on imports on its trading partners, including Canada, Mexico, the EU and China. Historically, tariffs have led to increased political and trade tensions.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products.</w:t>
      </w:r>
    </w:p>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other circumstances beyond our control could cause business disruptions that could seriously harm our future revenue and financial condition and increase our costs and expenses. Our operations, and those of our vendors and suppliers, could be subject to power shortages, telecommunications failures, water shortages, civil unrest, labor disputes, violence, earthquakes, floods, hurricanes, typhoons, fires, extreme weather conditions, and other natural or man-made disasters or business interruptions. The occurrence of any of these business disruptions could seriously harm our operations and financial condition and increase our costs and expenses.</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of the foregoing could harm our business and we cannot anticipate all of the ways in which the current economic climate and financial market conditions or other circumstances beyond our control could adversely impact our business.</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or insider trading.</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ourself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may continue to be, volatile.</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Historically, the market price of our common stock has fluctuated over a wide range, and it is likely that the price of our common stock will continue to be volatile in the future. Some of the factors that may cause the market price of our common stock to fluctuate include:</w:t>
      </w:r>
    </w:p>
    <w:p>
      <w:pPr>
        <w:spacing w:after="0" w:line="54" w:lineRule="exact"/>
        <w:rPr>
          <w:sz w:val="20"/>
          <w:szCs w:val="20"/>
          <w:color w:val="auto"/>
        </w:rPr>
      </w:pPr>
    </w:p>
    <w:p>
      <w:pPr>
        <w:ind w:left="5540" w:right="200" w:hanging="5023"/>
        <w:spacing w:after="0" w:line="282" w:lineRule="auto"/>
        <w:tabs>
          <w:tab w:leader="none" w:pos="103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our existing or future collaborators;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9" w:name="page80"/>
    <w:bookmarkEnd w:id="79"/>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and manufacturing processes, our ability to receive regulatory approval for product candidates, and the terms of such approvals;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or macroeconomic conditions or 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or our security holders in the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our operations and continued development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our hematology-focused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products and services;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and increased demands upon management as a result of complying with the laws and regulations affecting public companies.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continue to incur significant legal, accounting and other expenses as a public company that we did not incur as a private company, including costs associated with public company reporting obligations under the Securities Exchange Act of 1934, as amended, or the Exchange Act.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 regulations have increased and will continue to increase our legal and financial compliance costs and will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the board of directors or on board committees or to serve as executive officers, or to obtain certain types of insurance, including directors’ and officers’ insurance, on acceptable terms.</w:t>
      </w:r>
    </w:p>
    <w:p>
      <w:pPr>
        <w:spacing w:after="0" w:line="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0" w:name="page81"/>
    <w:bookmarkEnd w:id="80"/>
    <w:p>
      <w:pPr>
        <w:jc w:val="both"/>
        <w:spacing w:after="0" w:line="256"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As described further below, we have previously identified a material weakness in our internal control over financial reporting. Any testing by us conducted in connection with Section 404, or any testing by our independent registered public accounting firm, may reveal additional deficiencies in our internal control over financial reporting that are deemed to be material weaknesses or that may require prospective or retroactive changes to our financial statements or identify other areas for further attention or improvement.</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Section 404, we are required to furnish a report by our management on our internal control over financial reporting. To continue to achieve and maintain compliance with Section 404, we engage in a process to document and evaluate our internal control over financial reporting, which is both costly and challenging. In this regard, we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from time to time we may not be able to conclude that our internal control over financial reporting is effective as required by Section 404.</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as we no longer qualify as a non-accelerated filer or an emerging growth company, we are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and our independent registered public accounting firm may issue a report that is adverse. A material weakness could result in a restatement of our financial statements, failure to meet our reporting obligations in a timely manner,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Ineffective internal control over financial reporting could also reduce our ability to obtain financing or could increase the cost of any financing we obtain. Any of these could, in turn, result in an adverse reaction in the financial markets due to a loss of confidence in the reliability of our financial statements.</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previously identified a material weakness in our internal controls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As disclosed under Item 9A of our Annual Report on Form 10-K for the fiscal year ended December 31, 2024, we previously identified a material weakness in internal controls related to a lack of design and maintenance of effective Information Technology General Controls, or ITGCs, over certain key financial IT systems. As a result, the related business process controls (specifically, the IT application controls and IT-dependent manual controls) that are dependent on the ineffective ITGCs, or that use information produced from the systems impacted by the ineffective ITGCs, were also ineffective. Although the material weakness did not result in any material misstatements in our consolidated financial statements for the periods presented and there were no changes to previously released financial results, our management concluded that these control deficiencies constituted a material weakness and that our internal control over financial reporting was not effective as of December 31, 2024.</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material weakness, we (i) developed and implemented additional training and awareness programs addressing ITGCs and policies, including educating control owners concerning the principles and requirements of each control, with a focus on user access; (ii) increased the extent of oversight and verification checks included in the operation of user access and program change management controls and processes; (iii) deployed additional tools to support administration of user access and program change management; and (iv) enhanced quarterly management reporting on the remediation measures to the Audit Committee of the Board of Directors. As of December 31, 2025, the material weakness had been remediated.</w:t>
      </w:r>
    </w:p>
    <w:p>
      <w:pPr>
        <w:spacing w:after="0" w:line="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Although we have remediated this material weakness, investor perceptions of our company may suffer as a result of this previous material weakness or any future material weakness in our internal controls and cause a decline in the price of our common stock.</w:t>
      </w:r>
    </w:p>
    <w:p>
      <w:pPr>
        <w:spacing w:after="0" w:line="5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make an acquisition of us more difficult and may discourage any takeover attempts our stockholders may consider favorable, and may lead to entrenchment of management.</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amended and restated bylaws could delay or prevent changes in control or changes in management without the consent of the board of directors. These provisions will include the following:</w:t>
      </w:r>
    </w:p>
    <w:p>
      <w:pPr>
        <w:spacing w:after="0" w:line="54" w:lineRule="exact"/>
        <w:rPr>
          <w:sz w:val="20"/>
          <w:szCs w:val="20"/>
          <w:color w:val="auto"/>
        </w:rPr>
      </w:pPr>
    </w:p>
    <w:p>
      <w:pPr>
        <w:ind w:left="76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1" w:name="page82"/>
    <w:bookmarkEnd w:id="81"/>
    <w:p>
      <w:pPr>
        <w:ind w:left="7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means that all stockholder action must be taken at an annual or special meeting of the stockholders;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chairman of the board of directors, the Chief Executive Officer or by a majority of the total number of authorized directors;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the board of directors;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the board of directors may be removed from office by stockholders except for cause and, in addition to any other vote required by law, upon the approval of not less than two-thirds of all outstanding shares of voting stock then entitled to vote in the election of directors;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voting stock to amend any bylaws by stockholder action or to amend specific provisions of the certificate of incorporation;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these provisions would apply even if we were to receive an offer that some stockholders may consider beneficial.</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also be subject to the anti-takeover provisions contained in Section 203 of the DGCL, or Section 203.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6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exclusive forum provision does not apply to actions arising under the Exchange Act. Our amended and restated bylaws also provide that the federal district courts of the United States of America will be the exclusive forum for the resolution of any complaint asserting a cause of action under the Securities Act.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certificate of incorporation and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current expectation is that we will retain our future earnings, if any, to fund the growth of our business as opposed to paying dividends. As a result, capital appreciation, if any, of our common stock will be your sole source of gain, if any, for the foreseeable future.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significant number of shares by existing stockholders could cause our stock price to decline.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existing securityholders sell, or indicate an intention to sell, substantial amounts of our common stock in the public market, the trading price of our common stock could decline. As of September 30, 2026, we had 38,619,312 shares of common stock outstanding. All outstanding shares of common stock, other than shares held by our affiliates are freely tradable, without restriction, in the public market. In addition, shares of common stock that are subject to outstanding options of ours are or will become eligible for sale in the public market to the extent permitted by the provisions of various vesting agreements and Rules 144 and 701 under the Securities Act. If these shares are sold, the trading price of our common stock could decline.</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have the ability to significantly influence all matters submitted to our stockholders for approval.</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2026, our executive officers, directors and principal stockholders, in the aggregate, beneficially owned approximately 30% of our outstanding shares of common stock. As a result, if these stockholders were to choose to act together, they would be able to significantly influence all matters submitted to our stockholders for approval, as well as our management and affairs. For example, these persons, if they choose to act together, would significantly influence the election of directors and approval of any merger, consolidation or sale of all or substantially all of our assets. This concentration of voting power could delay or prevent an acquisition of us on terms that other stockholders may desire.</w:t>
      </w:r>
    </w:p>
    <w:p>
      <w:pPr>
        <w:spacing w:after="0" w:line="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2" w:name="page83"/>
    <w:bookmarkEnd w:id="82"/>
    <w:p>
      <w:pPr>
        <w:jc w:val="both"/>
        <w:spacing w:after="0" w:line="253"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 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 Use of Proceeds from Initial Public Offering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Cantor ATM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4, 2026, Cantor acknowledged and accepted our prior written notice to terminate the Cantor ATM Agreement, effective November 4, 2026.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Entry into TD Cowen Sales Agreement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5, 2026, we entered into a Sales Agreement, or the TD Cowen ATM Agreement, with TD Securities (USA) LLC, or TD Cowen, with respect to an “at-the-market” offering program under which we may issue and sell, from time to time at our sole discretion, shares of our common stock, having an aggregate offering price of up to approximately $189.9 million, or the Shares, through TD Cowen. The issuance and sale, if any, of the Shares may be by any method permitted by law deemed to be an “at the market offering” as defined in Rule 415 of the Securities Act, including, without limitation, sales made directly on Nasdaq.</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not obligated to sell any of the Shares, and TD Cowen is not required to sell any specific number or dollar amount of the Shares under the TD Cowen ATM Agreement. We or TD Cowen may suspend or terminate the offering of the Shares upon notice to the other party and subject to other conditions.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our request to sell the Shares, TD Cowen will act on a best efforts basis and use commercially reasonable efforts to sell the Shares on our behalf, from time to time consistent with its normal sales practices and applicable state and federal laws, rules and regulations and Nasdaq rules, based upon instructions from us (including any price, time or size limits or other customary parameters or conditions we may impose). We will pay TD Cowen a commission of up to 3.0 percent (3.0%) of the gross proceeds of any of the Shares sold through TD Cowen under the TD Cowen ATM Agreement. Pursuant to the TD Cowen ATM Agreement we have also provided TD Cowen with customary indemnification and contribution rights.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TD Cowen ATM Agreement is not complete and is qualified in its entirety by reference to the full text of such agreement, a copy of which is filed herewith as Exhibit 10.6 and incorporated herein by reference. This Quarterly Report on Form 10-Q shall not constitute an offer to sell or the solicitation of an offer to buy the securities discussed herein, nor shall there be any offer, solicitation, or sale of the securities in any state in which such offer, solicitation or sale would be unlawful prior to registration or qualification under the securities laws of any such state.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(c)</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discloses any officer (as defined in Rule 16a-1(f) under the Exchange Act) or director who entered into, modified or terminated a Rule 10b5-1 trading arrangement or non-Rule 10b5-1 trading arrangement (as such terms are defined in Item 408 of Regulation S-K) during the three months ended September 30, 2026:</w:t>
      </w:r>
    </w:p>
    <w:tbl>
      <w:tblPr>
        <w:tblLayout w:type="fixed"/>
        <w:tblInd w:w="0" w:type="dxa"/>
        <w:tblCellMar>
          <w:top w:w="0" w:type="dxa"/>
          <w:left w:w="0" w:type="dxa"/>
          <w:bottom w:w="0" w:type="dxa"/>
          <w:right w:w="0" w:type="dxa"/>
        </w:tblCellMar>
      </w:tblPr>
      <w:tr>
        <w:trPr>
          <w:trHeight w:val="133"/>
        </w:trPr>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2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w:t>
            </w:r>
          </w:p>
        </w:tc>
        <w:tc>
          <w:tcPr>
            <w:tcW w:w="0" w:type="dxa"/>
            <w:vAlign w:val="bottom"/>
          </w:tcPr>
          <w:p>
            <w:pPr>
              <w:spacing w:after="0"/>
              <w:rPr>
                <w:sz w:val="1"/>
                <w:szCs w:val="1"/>
                <w:color w:val="auto"/>
              </w:rPr>
            </w:pPr>
          </w:p>
        </w:tc>
      </w:tr>
      <w:tr>
        <w:trPr>
          <w:trHeight w:val="68"/>
        </w:trPr>
        <w:tc>
          <w:tcPr>
            <w:tcW w:w="3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40" w:type="dxa"/>
            <w:vAlign w:val="bottom"/>
          </w:tcPr>
          <w:p>
            <w:pPr>
              <w:spacing w:after="0"/>
              <w:rPr>
                <w:sz w:val="5"/>
                <w:szCs w:val="5"/>
                <w:color w:val="auto"/>
              </w:rPr>
            </w:pPr>
          </w:p>
        </w:tc>
        <w:tc>
          <w:tcPr>
            <w:tcW w:w="14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Action Taken</w:t>
            </w:r>
          </w:p>
        </w:tc>
        <w:tc>
          <w:tcPr>
            <w:tcW w:w="120" w:type="dxa"/>
            <w:vAlign w:val="bottom"/>
          </w:tcPr>
          <w:p>
            <w:pPr>
              <w:spacing w:after="0"/>
              <w:rPr>
                <w:sz w:val="5"/>
                <w:szCs w:val="5"/>
                <w:color w:val="auto"/>
              </w:rPr>
            </w:pPr>
          </w:p>
        </w:tc>
        <w:tc>
          <w:tcPr>
            <w:tcW w:w="122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Duration or End</w:t>
            </w:r>
          </w:p>
        </w:tc>
        <w:tc>
          <w:tcPr>
            <w:tcW w:w="120" w:type="dxa"/>
            <w:vAlign w:val="bottom"/>
          </w:tcPr>
          <w:p>
            <w:pPr>
              <w:spacing w:after="0"/>
              <w:rPr>
                <w:sz w:val="5"/>
                <w:szCs w:val="5"/>
                <w:color w:val="auto"/>
              </w:rPr>
            </w:pPr>
          </w:p>
        </w:tc>
        <w:tc>
          <w:tcPr>
            <w:tcW w:w="10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06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Name and Title</w:t>
            </w:r>
          </w:p>
        </w:tc>
        <w:tc>
          <w:tcPr>
            <w:tcW w:w="316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Type of Trading Arrangement</w:t>
            </w:r>
          </w:p>
        </w:tc>
        <w:tc>
          <w:tcPr>
            <w:tcW w:w="1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Trading</w:t>
            </w:r>
          </w:p>
        </w:tc>
        <w:tc>
          <w:tcPr>
            <w:tcW w:w="0" w:type="dxa"/>
            <w:vAlign w:val="bottom"/>
          </w:tcPr>
          <w:p>
            <w:pPr>
              <w:spacing w:after="0"/>
              <w:rPr>
                <w:sz w:val="1"/>
                <w:szCs w:val="1"/>
                <w:color w:val="auto"/>
              </w:rPr>
            </w:pPr>
          </w:p>
        </w:tc>
      </w:tr>
      <w:tr>
        <w:trPr>
          <w:trHeight w:val="68"/>
        </w:trPr>
        <w:tc>
          <w:tcPr>
            <w:tcW w:w="3060" w:type="dxa"/>
            <w:vAlign w:val="bottom"/>
            <w:vMerge w:val="continue"/>
          </w:tcPr>
          <w:p>
            <w:pPr>
              <w:spacing w:after="0"/>
              <w:rPr>
                <w:sz w:val="5"/>
                <w:szCs w:val="5"/>
                <w:color w:val="auto"/>
              </w:rPr>
            </w:pPr>
          </w:p>
        </w:tc>
        <w:tc>
          <w:tcPr>
            <w:tcW w:w="3160" w:type="dxa"/>
            <w:vAlign w:val="bottom"/>
            <w:gridSpan w:val="2"/>
            <w:vMerge w:val="continue"/>
          </w:tcPr>
          <w:p>
            <w:pPr>
              <w:spacing w:after="0"/>
              <w:rPr>
                <w:sz w:val="5"/>
                <w:szCs w:val="5"/>
                <w:color w:val="auto"/>
              </w:rPr>
            </w:pPr>
          </w:p>
        </w:tc>
        <w:tc>
          <w:tcPr>
            <w:tcW w:w="14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(Date of Action)</w:t>
            </w:r>
          </w:p>
        </w:tc>
        <w:tc>
          <w:tcPr>
            <w:tcW w:w="120" w:type="dxa"/>
            <w:vAlign w:val="bottom"/>
          </w:tcPr>
          <w:p>
            <w:pPr>
              <w:spacing w:after="0"/>
              <w:rPr>
                <w:sz w:val="5"/>
                <w:szCs w:val="5"/>
                <w:color w:val="auto"/>
              </w:rPr>
            </w:pPr>
          </w:p>
        </w:tc>
        <w:tc>
          <w:tcPr>
            <w:tcW w:w="122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5"/>
                <w:szCs w:val="5"/>
                <w:color w:val="auto"/>
              </w:rPr>
            </w:pPr>
          </w:p>
        </w:tc>
        <w:tc>
          <w:tcPr>
            <w:tcW w:w="10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0" w:type="dxa"/>
            <w:vAlign w:val="bottom"/>
          </w:tcPr>
          <w:p>
            <w:pPr>
              <w:spacing w:after="0"/>
              <w:rPr>
                <w:sz w:val="1"/>
                <w:szCs w:val="1"/>
                <w:color w:val="auto"/>
              </w:rPr>
            </w:pPr>
          </w:p>
        </w:tc>
      </w:tr>
      <w:tr>
        <w:trPr>
          <w:trHeight w:val="109"/>
        </w:trPr>
        <w:tc>
          <w:tcPr>
            <w:tcW w:w="3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Sold</w:t>
            </w:r>
          </w:p>
        </w:tc>
        <w:tc>
          <w:tcPr>
            <w:tcW w:w="1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0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306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8"/>
                <w:szCs w:val="18"/>
                <w:color w:val="auto"/>
              </w:rPr>
              <w:t>William Savage, M.D., Ph.D.</w:t>
            </w:r>
          </w:p>
        </w:tc>
        <w:tc>
          <w:tcPr>
            <w:tcW w:w="3160" w:type="dxa"/>
            <w:vAlign w:val="bottom"/>
            <w:gridSpan w:val="2"/>
            <w:shd w:val="clear" w:color="auto" w:fill="CFF0FC"/>
          </w:tcPr>
          <w:p>
            <w:pPr>
              <w:ind w:left="120"/>
              <w:spacing w:after="0" w:line="171" w:lineRule="exact"/>
              <w:rPr>
                <w:sz w:val="20"/>
                <w:szCs w:val="20"/>
                <w:color w:val="auto"/>
              </w:rPr>
            </w:pPr>
            <w:r>
              <w:rPr>
                <w:rFonts w:ascii="Times New Roman" w:cs="Times New Roman" w:eastAsia="Times New Roman" w:hAnsi="Times New Roman"/>
                <w:sz w:val="18"/>
                <w:szCs w:val="18"/>
                <w:color w:val="auto"/>
              </w:rPr>
              <w:t>Trading plan intended to satisfy the</w:t>
            </w:r>
          </w:p>
        </w:tc>
        <w:tc>
          <w:tcPr>
            <w:tcW w:w="1420" w:type="dxa"/>
            <w:vAlign w:val="bottom"/>
            <w:gridSpan w:val="2"/>
            <w:shd w:val="clear" w:color="auto" w:fill="CFF0FC"/>
          </w:tcPr>
          <w:p>
            <w:pPr>
              <w:ind w:left="120"/>
              <w:spacing w:after="0" w:line="171" w:lineRule="exact"/>
              <w:rPr>
                <w:sz w:val="20"/>
                <w:szCs w:val="20"/>
                <w:color w:val="auto"/>
              </w:rPr>
            </w:pPr>
            <w:r>
              <w:rPr>
                <w:rFonts w:ascii="Times New Roman" w:cs="Times New Roman" w:eastAsia="Times New Roman" w:hAnsi="Times New Roman"/>
                <w:sz w:val="18"/>
                <w:szCs w:val="18"/>
                <w:color w:val="auto"/>
              </w:rPr>
              <w:t>Adoption</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8"/>
                <w:szCs w:val="18"/>
                <w:color w:val="auto"/>
              </w:rPr>
              <w:t>End Date</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center"/>
              <w:spacing w:after="0" w:line="171" w:lineRule="exact"/>
              <w:rPr>
                <w:sz w:val="20"/>
                <w:szCs w:val="20"/>
                <w:color w:val="auto"/>
              </w:rPr>
            </w:pPr>
            <w:r>
              <w:rPr>
                <w:rFonts w:ascii="Times New Roman" w:cs="Times New Roman" w:eastAsia="Times New Roman" w:hAnsi="Times New Roman"/>
                <w:sz w:val="18"/>
                <w:szCs w:val="18"/>
                <w:color w:val="auto"/>
              </w:rPr>
              <w:t>Up to</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center"/>
              <w:spacing w:after="0" w:line="171" w:lineRule="exact"/>
              <w:rPr>
                <w:sz w:val="20"/>
                <w:szCs w:val="20"/>
                <w:color w:val="auto"/>
              </w:rPr>
            </w:pPr>
            <w:r>
              <w:rPr>
                <w:rFonts w:ascii="Times New Roman" w:cs="Times New Roman" w:eastAsia="Times New Roman" w:hAnsi="Times New Roman"/>
                <w:sz w:val="18"/>
                <w:szCs w:val="18"/>
                <w:color w:val="auto"/>
                <w:w w:val="96"/>
              </w:rPr>
              <w:t>Sale</w:t>
            </w:r>
          </w:p>
        </w:tc>
        <w:tc>
          <w:tcPr>
            <w:tcW w:w="0" w:type="dxa"/>
            <w:vAlign w:val="bottom"/>
          </w:tcPr>
          <w:p>
            <w:pPr>
              <w:spacing w:after="0"/>
              <w:rPr>
                <w:sz w:val="1"/>
                <w:szCs w:val="1"/>
                <w:color w:val="auto"/>
              </w:rPr>
            </w:pPr>
          </w:p>
        </w:tc>
      </w:tr>
      <w:tr>
        <w:trPr>
          <w:trHeight w:val="236"/>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Medical Officer</w:t>
            </w:r>
          </w:p>
        </w:tc>
        <w:tc>
          <w:tcPr>
            <w:tcW w:w="31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affirmative defense conditions of</w:t>
            </w:r>
          </w:p>
        </w:tc>
        <w:tc>
          <w:tcPr>
            <w:tcW w:w="1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(September 15,</w:t>
            </w: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19,</w:t>
            </w:r>
          </w:p>
        </w:tc>
        <w:tc>
          <w:tcPr>
            <w:tcW w:w="1120" w:type="dxa"/>
            <w:vAlign w:val="bottom"/>
            <w:gridSpan w:val="2"/>
            <w:shd w:val="clear" w:color="auto" w:fill="CFF0FC"/>
          </w:tcPr>
          <w:p>
            <w:pPr>
              <w:jc w:val="center"/>
              <w:ind w:left="30"/>
              <w:spacing w:after="0" w:line="236" w:lineRule="exact"/>
              <w:rPr>
                <w:sz w:val="20"/>
                <w:szCs w:val="20"/>
                <w:color w:val="auto"/>
              </w:rPr>
            </w:pPr>
            <w:r>
              <w:rPr>
                <w:rFonts w:ascii="Times New Roman" w:cs="Times New Roman" w:eastAsia="Times New Roman" w:hAnsi="Times New Roman"/>
                <w:sz w:val="18"/>
                <w:szCs w:val="18"/>
                <w:color w:val="auto"/>
                <w:w w:val="97"/>
              </w:rPr>
              <w:t>23,886</w:t>
            </w:r>
            <w:r>
              <w:rPr>
                <w:rFonts w:ascii="Times New Roman" w:cs="Times New Roman" w:eastAsia="Times New Roman" w:hAnsi="Times New Roman"/>
                <w:sz w:val="24"/>
                <w:szCs w:val="24"/>
                <w:color w:val="auto"/>
                <w:w w:val="97"/>
                <w:vertAlign w:val="superscript"/>
              </w:rPr>
              <w:t>1</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060" w:type="dxa"/>
            <w:vAlign w:val="bottom"/>
            <w:shd w:val="clear" w:color="auto" w:fill="CFF0FC"/>
          </w:tcPr>
          <w:p>
            <w:pPr>
              <w:spacing w:after="0"/>
              <w:rPr>
                <w:sz w:val="20"/>
                <w:szCs w:val="20"/>
                <w:color w:val="auto"/>
              </w:rPr>
            </w:pPr>
          </w:p>
        </w:tc>
        <w:tc>
          <w:tcPr>
            <w:tcW w:w="31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Securities Exchange Act Rule 10b5-1(c)</w:t>
            </w:r>
          </w:p>
        </w:tc>
        <w:tc>
          <w:tcPr>
            <w:tcW w:w="1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13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8"/>
        <w:spacing w:after="0" w:line="266" w:lineRule="auto"/>
        <w:tabs>
          <w:tab w:leader="none" w:pos="25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available for sale cannot yet be determined, as it will be reduced by the number of shares sold to cover tax withholding obligations upon the vesting of Restricted Stock Units (RSUs). For disclosure purposes, the figures in this table reflect the maximum number of shares underlying the RSUs, without deducting shares that may be sold to cover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filed as part of this Quarterly Report are set forth on the Exhibit Index, which is incorporated herein by reference.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540" w:type="dxa"/>
            <w:vAlign w:val="bottom"/>
            <w:gridSpan w:val="10"/>
          </w:tcPr>
          <w:p>
            <w:pPr>
              <w:ind w:left="2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56"/>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00" w:type="dxa"/>
            <w:vAlign w:val="bottom"/>
          </w:tcPr>
          <w:p>
            <w:pPr>
              <w:spacing w:after="0"/>
              <w:rPr>
                <w:sz w:val="22"/>
                <w:szCs w:val="22"/>
                <w:color w:val="auto"/>
              </w:rPr>
            </w:pPr>
          </w:p>
        </w:tc>
        <w:tc>
          <w:tcPr>
            <w:tcW w:w="10000" w:type="dxa"/>
            <w:vAlign w:val="bottom"/>
            <w:tcBorders>
              <w:bottom w:val="single" w:sz="8" w:color="auto"/>
            </w:tcBorders>
            <w:gridSpan w:val="17"/>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4"/>
                <w:szCs w:val="14"/>
                <w:color w:val="auto"/>
              </w:rPr>
            </w:pPr>
          </w:p>
        </w:tc>
        <w:tc>
          <w:tcPr>
            <w:tcW w:w="10000" w:type="dxa"/>
            <w:vAlign w:val="bottom"/>
            <w:gridSpan w:val="17"/>
          </w:tcPr>
          <w:p>
            <w:pPr>
              <w:ind w:left="20"/>
              <w:spacing w:after="0" w:line="169"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Agreement and Plan of Merger and Reorganization, dated as of August 9, 2022, by and among Gemini Therapeutics, Inc. Gemstone</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34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FF"/>
            </w:tcBorders>
            <w:gridSpan w:val="17"/>
          </w:tcPr>
          <w:p>
            <w:pPr>
              <w:ind w:left="20"/>
              <w:spacing w:after="0" w:line="196"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Merger Sub, Inc. and Disc Medicine, Inc. (incorporated by reference to Annex A to the Registrant’s Proxy Statement/Prospectus on Form</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7"/>
          </w:tcPr>
          <w:p>
            <w:pPr>
              <w:ind w:left="20"/>
              <w:spacing w:after="0" w:line="196"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S-4 filed on September 2, 2022).</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10000" w:type="dxa"/>
            <w:vAlign w:val="bottom"/>
            <w:tcBorders>
              <w:bottom w:val="single" w:sz="8" w:color="0000FF"/>
            </w:tcBorders>
            <w:gridSpan w:val="17"/>
          </w:tcPr>
          <w:p>
            <w:pPr>
              <w:ind w:left="20"/>
              <w:spacing w:after="0" w:line="196"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Amended and Restated Certificate of Incorporation of Disc Medicine, Inc., dated February 5, 2021 (incorporated by reference to Exhibit</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7"/>
          </w:tcPr>
          <w:p>
            <w:pPr>
              <w:ind w:left="20"/>
              <w:spacing w:after="0" w:line="196"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Registrant’s Current Report on Form 8-K filed on February 11, 2021).</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234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10000" w:type="dxa"/>
            <w:vAlign w:val="bottom"/>
            <w:tcBorders>
              <w:bottom w:val="single" w:sz="8" w:color="0000FF"/>
            </w:tcBorders>
            <w:gridSpan w:val="17"/>
          </w:tcPr>
          <w:p>
            <w:pPr>
              <w:ind w:left="20"/>
              <w:spacing w:after="0" w:line="196"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Certificate of Amendment to the Amended and Restated Certificate of Incorporation of Disc Medicine, Inc., dated December 28, 2022</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7"/>
          </w:tcPr>
          <w:p>
            <w:pPr>
              <w:ind w:left="20"/>
              <w:spacing w:after="0" w:line="196"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(incorporated by reference to Exhibit 3.1 to the Registrant’s Current Report on Form 8-K filed on December 29, 2022).</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350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7"/>
                <w:szCs w:val="17"/>
                <w:color w:val="auto"/>
              </w:rPr>
            </w:pPr>
          </w:p>
        </w:tc>
        <w:tc>
          <w:tcPr>
            <w:tcW w:w="10000" w:type="dxa"/>
            <w:vAlign w:val="bottom"/>
            <w:tcBorders>
              <w:bottom w:val="single" w:sz="8" w:color="0000FF"/>
            </w:tcBorders>
            <w:gridSpan w:val="17"/>
          </w:tcPr>
          <w:p>
            <w:pPr>
              <w:ind w:left="20"/>
              <w:spacing w:after="0" w:line="196"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Certificate of Amendment to the Amended and Restated Certificate of Incorporation of Disc Medicine, Inc., dated December 29, 2022</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7"/>
          </w:tcPr>
          <w:p>
            <w:pPr>
              <w:ind w:left="20"/>
              <w:spacing w:after="0" w:line="196"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(incorporated by reference to Exhibit 3.2 to the Registrant’s Current Report on Form 8-K filed on December 29, 2022).</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350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7"/>
                <w:szCs w:val="17"/>
                <w:color w:val="auto"/>
              </w:rPr>
            </w:pPr>
          </w:p>
        </w:tc>
        <w:tc>
          <w:tcPr>
            <w:tcW w:w="10000" w:type="dxa"/>
            <w:vAlign w:val="bottom"/>
            <w:tcBorders>
              <w:bottom w:val="single" w:sz="8" w:color="0000FF"/>
            </w:tcBorders>
            <w:gridSpan w:val="17"/>
          </w:tcPr>
          <w:p>
            <w:pPr>
              <w:ind w:left="20"/>
              <w:spacing w:after="0" w:line="196"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Amended  and  Restated  By-laws  of  Disc  Medicine,  Inc.  (incorporated  by  reference  to  Annex  C  to  the  Registrant's  Proxy</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7"/>
          </w:tcPr>
          <w:p>
            <w:pPr>
              <w:ind w:left="20"/>
              <w:spacing w:after="0" w:line="196"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Statement/Prospectus on Form S-4/A filed on January 19, 2021 (Registration No. 333-249785)).</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3500" w:type="dxa"/>
            <w:vAlign w:val="bottom"/>
            <w:tcBorders>
              <w:right w:val="single" w:sz="8" w:color="0000EE"/>
            </w:tcBorders>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10000" w:type="dxa"/>
            <w:vAlign w:val="bottom"/>
            <w:tcBorders>
              <w:bottom w:val="single" w:sz="8" w:color="0000FF"/>
            </w:tcBorders>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FF"/>
              </w:rPr>
              <w:t>Amended and Restated Employment Agreement, dated as of July 29, 2026, by and between Disc Medicine, Inc. and John Quisel, J.D.,</w:t>
            </w: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0000FF"/>
            </w:tcBorders>
          </w:tcPr>
          <w:p>
            <w:pPr>
              <w:ind w:left="20"/>
              <w:spacing w:after="0" w:line="196" w:lineRule="exact"/>
              <w:rPr>
                <w:sz w:val="20"/>
                <w:szCs w:val="20"/>
                <w:color w:val="auto"/>
              </w:rPr>
            </w:pPr>
            <w:r>
              <w:rPr>
                <w:rFonts w:ascii="Times New Roman" w:cs="Times New Roman" w:eastAsia="Times New Roman" w:hAnsi="Times New Roman"/>
                <w:sz w:val="18"/>
                <w:szCs w:val="18"/>
                <w:color w:val="0000FF"/>
                <w:w w:val="92"/>
              </w:rPr>
              <w:t>Ph.D.</w:t>
            </w:r>
          </w:p>
        </w:tc>
        <w:tc>
          <w:tcPr>
            <w:tcW w:w="20" w:type="dxa"/>
            <w:vAlign w:val="bottom"/>
            <w:tcBorders>
              <w:bottom w:val="single" w:sz="8" w:color="0000EE"/>
            </w:tcBorders>
          </w:tcPr>
          <w:p>
            <w:pPr>
              <w:spacing w:after="0"/>
              <w:rPr>
                <w:sz w:val="17"/>
                <w:szCs w:val="17"/>
                <w:color w:val="auto"/>
              </w:rPr>
            </w:pPr>
          </w:p>
        </w:tc>
        <w:tc>
          <w:tcPr>
            <w:tcW w:w="9560" w:type="dxa"/>
            <w:vAlign w:val="bottom"/>
            <w:gridSpan w:val="15"/>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7"/>
                <w:szCs w:val="17"/>
                <w:color w:val="auto"/>
              </w:rPr>
            </w:pPr>
          </w:p>
        </w:tc>
        <w:tc>
          <w:tcPr>
            <w:tcW w:w="9380" w:type="dxa"/>
            <w:vAlign w:val="bottom"/>
            <w:tcBorders>
              <w:bottom w:val="single" w:sz="8" w:color="0000FF"/>
            </w:tcBorders>
            <w:gridSpan w:val="15"/>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Amended and Restated Employment Agreement, dated as of July 29, 2026, by and between Disc Medicine, Inc. and Jean Franchi.</w:t>
            </w:r>
          </w:p>
        </w:tc>
        <w:tc>
          <w:tcPr>
            <w:tcW w:w="20" w:type="dxa"/>
            <w:vAlign w:val="bottom"/>
            <w:tcBorders>
              <w:bottom w:val="single" w:sz="8" w:color="0000EE"/>
            </w:tcBorders>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7"/>
                <w:szCs w:val="17"/>
                <w:color w:val="auto"/>
              </w:rPr>
            </w:pPr>
          </w:p>
        </w:tc>
        <w:tc>
          <w:tcPr>
            <w:tcW w:w="10000" w:type="dxa"/>
            <w:vAlign w:val="bottom"/>
            <w:tcBorders>
              <w:bottom w:val="single" w:sz="8" w:color="0000FF"/>
            </w:tcBorders>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FF"/>
              </w:rPr>
              <w:t>Amended and Restated Employment Agreement, dated as of July 29, 2026, by and between Disc Medicine, Inc. and Pamela Stephenson,</w:t>
            </w: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0000FF"/>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w w:val="95"/>
              </w:rPr>
              <w:t>M.P.H.</w:t>
            </w:r>
          </w:p>
        </w:tc>
        <w:tc>
          <w:tcPr>
            <w:tcW w:w="20" w:type="dxa"/>
            <w:vAlign w:val="bottom"/>
            <w:tcBorders>
              <w:bottom w:val="single" w:sz="8" w:color="0000EE"/>
            </w:tcBorders>
          </w:tcPr>
          <w:p>
            <w:pPr>
              <w:spacing w:after="0"/>
              <w:rPr>
                <w:sz w:val="17"/>
                <w:szCs w:val="17"/>
                <w:color w:val="auto"/>
              </w:rPr>
            </w:pPr>
          </w:p>
        </w:tc>
        <w:tc>
          <w:tcPr>
            <w:tcW w:w="9440" w:type="dxa"/>
            <w:vAlign w:val="bottom"/>
            <w:gridSpan w:val="13"/>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7"/>
                <w:szCs w:val="17"/>
                <w:color w:val="auto"/>
              </w:rPr>
            </w:pPr>
          </w:p>
        </w:tc>
        <w:tc>
          <w:tcPr>
            <w:tcW w:w="10000" w:type="dxa"/>
            <w:vAlign w:val="bottom"/>
            <w:tcBorders>
              <w:bottom w:val="single" w:sz="8" w:color="0000FF"/>
            </w:tcBorders>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FF"/>
              </w:rPr>
              <w:t>Amended and Restated Employment Agreement, dated as of July 29, 2026, by and between Disc Medicine, Inc. and William Savage,</w:t>
            </w: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FF"/>
              </w:rPr>
              <w:t>M.D., Ph.D.</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right w:val="single" w:sz="8" w:color="0000EE"/>
            </w:tcBorders>
            <w:gridSpan w:val="5"/>
            <w:shd w:val="clear" w:color="auto" w:fill="0000FF"/>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7"/>
                <w:szCs w:val="17"/>
                <w:color w:val="auto"/>
              </w:rPr>
            </w:pPr>
          </w:p>
        </w:tc>
        <w:tc>
          <w:tcPr>
            <w:tcW w:w="10000" w:type="dxa"/>
            <w:vAlign w:val="bottom"/>
            <w:tcBorders>
              <w:bottom w:val="single" w:sz="8" w:color="0000FF"/>
            </w:tcBorders>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Amended and Restated Employment Agreement, dated as of July 29, 2026, by and between Disc Medicine, Inc. and Jonathan Yu, M.B.A.</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7"/>
                <w:szCs w:val="17"/>
                <w:color w:val="auto"/>
              </w:rPr>
            </w:pPr>
          </w:p>
        </w:tc>
        <w:tc>
          <w:tcPr>
            <w:tcW w:w="8480" w:type="dxa"/>
            <w:vAlign w:val="bottom"/>
            <w:tcBorders>
              <w:bottom w:val="single" w:sz="8" w:color="0000FF"/>
            </w:tcBorders>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Sales Agreement, dated as of November 5, 2026, by and between Disc Medicine, Inc. and TD Securities (USA) LLC.</w:t>
            </w:r>
          </w:p>
        </w:tc>
        <w:tc>
          <w:tcPr>
            <w:tcW w:w="1520" w:type="dxa"/>
            <w:vAlign w:val="bottom"/>
            <w:gridSpan w:val="4"/>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10000" w:type="dxa"/>
            <w:vAlign w:val="bottom"/>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the Sarbanes-Oxley Act of 2002</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7"/>
                <w:szCs w:val="17"/>
                <w:color w:val="auto"/>
              </w:rPr>
            </w:pPr>
          </w:p>
        </w:tc>
        <w:tc>
          <w:tcPr>
            <w:tcW w:w="7400" w:type="dxa"/>
            <w:vAlign w:val="bottom"/>
            <w:tcBorders>
              <w:top w:val="single" w:sz="8" w:color="0000FF"/>
              <w:bottom w:val="single" w:sz="8" w:color="0000FF"/>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302 of the Sarbanes-Oxley Act of 2002</w:t>
            </w:r>
          </w:p>
        </w:tc>
        <w:tc>
          <w:tcPr>
            <w:tcW w:w="20" w:type="dxa"/>
            <w:vAlign w:val="bottom"/>
            <w:tcBorders>
              <w:top w:val="single" w:sz="8" w:color="0000FF"/>
              <w:bottom w:val="single" w:sz="8" w:color="0000EE"/>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560" w:type="dxa"/>
            <w:vAlign w:val="bottom"/>
            <w:gridSpan w:val="5"/>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10000" w:type="dxa"/>
            <w:vAlign w:val="bottom"/>
            <w:tcBorders>
              <w:bottom w:val="single" w:sz="8" w:color="0000FF"/>
            </w:tcBorders>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18"/>
                <w:szCs w:val="18"/>
                <w:color w:val="auto"/>
              </w:rPr>
            </w:pPr>
          </w:p>
        </w:tc>
        <w:tc>
          <w:tcPr>
            <w:tcW w:w="3460" w:type="dxa"/>
            <w:vAlign w:val="bottom"/>
            <w:tcBorders>
              <w:top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540" w:type="dxa"/>
            <w:vAlign w:val="bottom"/>
            <w:gridSpan w:val="10"/>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8"/>
                <w:szCs w:val="18"/>
                <w:color w:val="auto"/>
              </w:rPr>
            </w:pPr>
          </w:p>
        </w:tc>
        <w:tc>
          <w:tcPr>
            <w:tcW w:w="1000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000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8">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jc w:val="both"/>
        <w:ind w:firstLine="8"/>
        <w:spacing w:after="0" w:line="266" w:lineRule="auto"/>
        <w:tabs>
          <w:tab w:leader="none" w:pos="2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68" w:lineRule="exact"/>
        <w:rPr>
          <w:sz w:val="20"/>
          <w:szCs w:val="20"/>
          <w:color w:val="auto"/>
        </w:rPr>
      </w:pPr>
    </w:p>
    <w:p>
      <w:pPr>
        <w:ind w:firstLine="8"/>
        <w:spacing w:after="0" w:line="282" w:lineRule="auto"/>
        <w:tabs>
          <w:tab w:leader="none" w:pos="15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annexes, schedules, and certain exhibits to the Merger Agreement have been omitted pursuant to Item 601(b)(2) of Regulation S-K. The Registrant hereby agrees to furnish supplementally a copy of any omitted annex, schedule or exhibit to the Commission upon request.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contract or compensatory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74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DISC MEDICINE, INC.</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24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Quisel</w:t>
            </w:r>
          </w:p>
        </w:tc>
      </w:tr>
      <w:tr>
        <w:trPr>
          <w:trHeight w:val="191"/>
        </w:trPr>
        <w:tc>
          <w:tcPr>
            <w:tcW w:w="37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John Quisel, J.D., Ph.D.</w:t>
            </w:r>
          </w:p>
        </w:tc>
      </w:tr>
      <w:tr>
        <w:trPr>
          <w:trHeight w:val="216"/>
        </w:trPr>
        <w:tc>
          <w:tcPr>
            <w:tcW w:w="37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4"/>
        </w:trPr>
        <w:tc>
          <w:tcPr>
            <w:tcW w:w="37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81"/>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24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Jean Franchi</w:t>
            </w:r>
          </w:p>
        </w:tc>
      </w:tr>
      <w:tr>
        <w:trPr>
          <w:trHeight w:val="211"/>
        </w:trPr>
        <w:tc>
          <w:tcPr>
            <w:tcW w:w="37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Jean Franchi</w:t>
            </w:r>
          </w:p>
        </w:tc>
      </w:tr>
    </w:tbl>
    <w:p>
      <w:pPr>
        <w:jc w:val="center"/>
        <w:ind w:left="6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EMPLOYMENT AGREEMENT</w:t>
      </w:r>
    </w:p>
    <w:p>
      <w:pPr>
        <w:spacing w:after="0" w:line="33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This Amended and Restated Employment Agreement (“Agreement”) is made between Disc Medicine, Inc., (the “Company”), and John D. Quisel, J.D., Ph.D. (“You”) and is effective as of July 29, 2026 (the “Effective Date”). Except with respect to the Restrictive Covenants Agreements and the Equity Documents (each as defined below), this Agreement supersedes in all respects all prior agreements between you and the Company regarding the subject matter herein, including without limitation the prior employment agreement between you and the Company, executed on or about December 29, 2022 (the “Prior Agreement”).</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WHEREAS, the Company desires to continue to employ you and you desire to continue to be employed by the Company on the new terms and conditions contained herein.</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62" w:lineRule="exact"/>
        <w:rPr>
          <w:sz w:val="20"/>
          <w:szCs w:val="20"/>
          <w:color w:val="auto"/>
        </w:rPr>
      </w:pPr>
    </w:p>
    <w:p>
      <w:pPr>
        <w:ind w:left="1020" w:hanging="26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Company shall employ you and you shall be employed by the Company pursuant to this Agreement commencing as of the Effective Date and continuing until such employment is terminated in accordance with the provisions hereof (the “Term”). Your employment with the Company will continue to be “at will,” meaning that your employment may be terminated by the Company or you at any time and for any reason subject to the terms of this Agreement.</w:t>
      </w:r>
    </w:p>
    <w:p>
      <w:pPr>
        <w:spacing w:after="0" w:line="179"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 You shall serve as the Chief Executive Officer (“CEO”) of the Company and shall report directly to the Board of Directors (including any committee thereof, the “Board”). You shall have supervision and control over, and responsibility for, the day-to-day business and affairs of the Company, and you shall have such other powers and duties as may from time to time be prescribed by the Board which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8" w:name="page89"/>
    <w:bookmarkEnd w:id="88"/>
    <w:p>
      <w:pPr>
        <w:jc w:val="both"/>
        <w:spacing w:after="0" w:line="254" w:lineRule="auto"/>
        <w:rPr>
          <w:sz w:val="20"/>
          <w:szCs w:val="20"/>
          <w:color w:val="auto"/>
        </w:rPr>
      </w:pPr>
      <w:r>
        <w:rPr>
          <w:rFonts w:ascii="Times New Roman" w:cs="Times New Roman" w:eastAsia="Times New Roman" w:hAnsi="Times New Roman"/>
          <w:sz w:val="18"/>
          <w:szCs w:val="18"/>
          <w:color w:val="auto"/>
        </w:rPr>
        <w:t>consistent with your position as CEO. In addition, you shall have the Board’s recommendation to the Company’s stockholders to continue to serve on the Board as long as you remain the CEO of the Company. You shall devote your full working time and efforts to the business and affairs of the Company. Notwithstanding the foregoing, you may serve on other boards of directors, with the approval of the Board, which approval shall not unreasonably be withheld by the Board, or engage in religious, charitable or other community activities as long as such services and activities are disclosed to the Board and do not interfere with your performance of your duties to the Company. Your service as a board member of each of Gossamer Therapeutics, Inc., Lask Pharma, Inc., Spolia Therapeutics, Inc. and Calytrix Bio, Inc. remain approved. To the extent applicable, you shall be deemed to have resigned from all officer and board member positions that you hold with the Company or any of its respective subsidiaries and affiliates upon the termination of your employment for any reason. You shall execute any documents in reasonable form as may be requested to confirm or effectuate any such resignations.</w:t>
      </w:r>
    </w:p>
    <w:p>
      <w:pPr>
        <w:spacing w:after="0" w:line="192" w:lineRule="exact"/>
        <w:rPr>
          <w:sz w:val="20"/>
          <w:szCs w:val="20"/>
          <w:color w:val="auto"/>
        </w:rPr>
      </w:pPr>
    </w:p>
    <w:p>
      <w:pPr>
        <w:ind w:left="1020" w:hanging="26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Related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05"/>
        <w:spacing w:after="0" w:line="258" w:lineRule="auto"/>
        <w:tabs>
          <w:tab w:leader="none" w:pos="203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Your initial base salary shall be paid at the rate of $735,000 per year. Your base salary shall be subject to periodic review and increase (but not decrease, except for an across-the-board reduction of no greater than 10% based on the Company’s financial performance similarly affecting all or substantially all senior management employees of the Company) by the Board or the Compensation Committee of the Board (the “Compensation Committee”). The base salary in effect at any given time is referred to herein as “Base Salary.” The Base Salary shall be payable in a manner that is consistent with the Company’s usual payroll practices for executive officers.</w:t>
      </w:r>
    </w:p>
    <w:p>
      <w:pPr>
        <w:spacing w:after="0" w:line="183" w:lineRule="exact"/>
        <w:rPr>
          <w:rFonts w:ascii="Times New Roman" w:cs="Times New Roman" w:eastAsia="Times New Roman" w:hAnsi="Times New Roman"/>
          <w:sz w:val="18"/>
          <w:szCs w:val="18"/>
          <w:color w:val="auto"/>
        </w:rPr>
      </w:pPr>
    </w:p>
    <w:p>
      <w:pPr>
        <w:jc w:val="both"/>
        <w:ind w:firstLine="1505"/>
        <w:spacing w:after="0" w:line="256" w:lineRule="auto"/>
        <w:tabs>
          <w:tab w:leader="none" w:pos="203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You shall be eligible to receive cash incentive compensation as determined by the Board or the Compensation Committee from time to time. Your target annual incentive compensation shall be sixty percent (60%) of your Base Salary. The target annual incentive compensation in effect at any given time is referred to herein as “Target Bonus.” The actual amount of your annual incentive compensation, if any, shall be determined in the sole discretion of the Board or the Compensation Committee, subject to the terms of any applicable incentive compensation plan that may be in effect from time to time (the “Bonus”). Except as otherwise provided herein, to earn incentive compensation, you must be employed by the Company on the day such incentive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compensation is paid. The incentive compensation for each fiscal year will be paid no later than two and a half months following such fiscal year.</w:t>
      </w:r>
    </w:p>
    <w:p>
      <w:pPr>
        <w:spacing w:after="0" w:line="225" w:lineRule="exact"/>
        <w:rPr>
          <w:sz w:val="20"/>
          <w:szCs w:val="20"/>
          <w:color w:val="auto"/>
        </w:rPr>
      </w:pPr>
    </w:p>
    <w:p>
      <w:pPr>
        <w:ind w:firstLine="1505"/>
        <w:spacing w:after="0" w:line="282" w:lineRule="auto"/>
        <w:tabs>
          <w:tab w:leader="none" w:pos="2036"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You shall be entitled to receive prompt reimbursement for all reasonable expenses incurred by you during the Term in performing services hereunder, in accordance with the policies and procedures then in effect and established by the Company for its executive officers.</w:t>
      </w:r>
    </w:p>
    <w:p>
      <w:pPr>
        <w:spacing w:after="0" w:line="161"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 You shall be eligible to participate in or receive benefits under the Company’s employee benefit plans in effect from time to time, subject to the terms of such plans.</w:t>
      </w:r>
    </w:p>
    <w:p>
      <w:pPr>
        <w:spacing w:after="0" w:line="161" w:lineRule="exact"/>
        <w:rPr>
          <w:rFonts w:ascii="Times New Roman" w:cs="Times New Roman" w:eastAsia="Times New Roman" w:hAnsi="Times New Roman"/>
          <w:sz w:val="18"/>
          <w:szCs w:val="18"/>
          <w:color w:val="auto"/>
        </w:rPr>
      </w:pPr>
    </w:p>
    <w:p>
      <w:pPr>
        <w:ind w:right="20" w:firstLine="1505"/>
        <w:spacing w:after="0" w:line="282" w:lineRule="auto"/>
        <w:tabs>
          <w:tab w:leader="none" w:pos="2036"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Paid Time Off</w:t>
      </w:r>
      <w:r>
        <w:rPr>
          <w:rFonts w:ascii="Times New Roman" w:cs="Times New Roman" w:eastAsia="Times New Roman" w:hAnsi="Times New Roman"/>
          <w:sz w:val="18"/>
          <w:szCs w:val="18"/>
          <w:color w:val="auto"/>
        </w:rPr>
        <w:t>. You shall be entitled to take paid time off in accordance with the Company’s applicable paid time off policy for executives, as may be in effect from time to time. You shall also be entitled to all paid holidays given by the Company to its employees.</w:t>
      </w:r>
    </w:p>
    <w:p>
      <w:pPr>
        <w:spacing w:after="0" w:line="161" w:lineRule="exact"/>
        <w:rPr>
          <w:rFonts w:ascii="Times New Roman" w:cs="Times New Roman" w:eastAsia="Times New Roman" w:hAnsi="Times New Roman"/>
          <w:sz w:val="18"/>
          <w:szCs w:val="18"/>
          <w:color w:val="auto"/>
        </w:rPr>
      </w:pPr>
    </w:p>
    <w:p>
      <w:pPr>
        <w:jc w:val="both"/>
        <w:ind w:firstLine="1505"/>
        <w:spacing w:after="0" w:line="255" w:lineRule="auto"/>
        <w:tabs>
          <w:tab w:leader="none" w:pos="2036"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The equity awards held by you shall continue to be governed by the terms and conditions of the Company’s applicable equity incentive plan(s) and the applicable award agreement(s) governing the terms of such equity awards held by you (collectively, the “Equity Documents”); provided, however, and notwithstanding anything to the contrary in the Equity Documents, Section 5(d) of this Agreement shall apply in the event of termination by the Company without Cause or by you for Good Reason, in either event outside of the Change of Control Period, and Section 6(a)</w:t>
      </w:r>
    </w:p>
    <w:p>
      <w:pPr>
        <w:spacing w:after="0" w:line="2" w:lineRule="exact"/>
        <w:rPr>
          <w:rFonts w:ascii="Times New Roman" w:cs="Times New Roman" w:eastAsia="Times New Roman" w:hAnsi="Times New Roman"/>
          <w:sz w:val="18"/>
          <w:szCs w:val="18"/>
          <w:color w:val="auto"/>
        </w:rPr>
      </w:pPr>
    </w:p>
    <w:p>
      <w:pPr>
        <w:ind w:right="20" w:firstLine="8"/>
        <w:spacing w:after="0" w:line="260" w:lineRule="auto"/>
        <w:tabs>
          <w:tab w:leader="none" w:pos="28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Agreement shall apply in the event of a termination by the Company without Cause or by you for Good Reason in either event within the Change in Control Period (as such terms are defined below).</w:t>
      </w:r>
    </w:p>
    <w:p>
      <w:pPr>
        <w:spacing w:after="0" w:line="181"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Your employment hereunder may be terminated without any breach of this Agreement under the following circumstances:</w:t>
      </w:r>
    </w:p>
    <w:p>
      <w:pPr>
        <w:spacing w:after="0" w:line="22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Your employment hereunder shall terminate upon your death.</w:t>
      </w:r>
    </w:p>
    <w:p>
      <w:pPr>
        <w:spacing w:after="0" w:line="225"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The Company may terminate your employment due to your “Disability” if you are unable to perform the essential functions of your then existing position or positions under this Agreement with or without reasonable accommodation for a period of 180 days (which need not be consecutive) in any 12-month period. If any question shall arise as to whether during any period you are disabled so as to be unable to perform the essential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0" w:name="page91"/>
    <w:bookmarkEnd w:id="90"/>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functions of your then existing position or positions with or without reasonable accommodation, you may, and at the request of the Company shall, submit to the Company a certification in reasonable detail by a physician selected by the Company who is board certified in the specialty relevant to your medical condition to whom you or your guardian has no reasonable objection as to whether you are disabled or how long such disability is expected to continue, and such certification shall for the purposes of this Agreement be conclusive of the issue. You shall cooperate with any reasonable request of the physician in connection with such certification. If such question shall arise and you shall fail to submit such certification, the Company’s reasonable determination of such issue shall be binding on you. Nothing in this Section 3(b) shall be construed to waive your rights, if any, under existing law including, without limitation, the Family and Medical Leave Act of 1993, 29 U.S.C. §2601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the Americans with Disabilities Act, 42 U.S.C. §12101 </w:t>
      </w:r>
      <w:r>
        <w:rPr>
          <w:rFonts w:ascii="Times New Roman" w:cs="Times New Roman" w:eastAsia="Times New Roman" w:hAnsi="Times New Roman"/>
          <w:sz w:val="18"/>
          <w:szCs w:val="18"/>
          <w:i w:val="1"/>
          <w:iCs w:val="1"/>
          <w:color w:val="auto"/>
        </w:rPr>
        <w:t>et seq.</w:t>
      </w:r>
    </w:p>
    <w:p>
      <w:pPr>
        <w:spacing w:after="0" w:line="189" w:lineRule="exact"/>
        <w:rPr>
          <w:sz w:val="20"/>
          <w:szCs w:val="20"/>
          <w:color w:val="auto"/>
        </w:rPr>
      </w:pPr>
    </w:p>
    <w:p>
      <w:pPr>
        <w:ind w:firstLine="1505"/>
        <w:spacing w:after="0" w:line="282" w:lineRule="auto"/>
        <w:tabs>
          <w:tab w:leader="none" w:pos="203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Company for Cause</w:t>
      </w:r>
      <w:r>
        <w:rPr>
          <w:rFonts w:ascii="Times New Roman" w:cs="Times New Roman" w:eastAsia="Times New Roman" w:hAnsi="Times New Roman"/>
          <w:sz w:val="18"/>
          <w:szCs w:val="18"/>
          <w:color w:val="auto"/>
        </w:rPr>
        <w:t>. The Company may terminate your employment hereunder for Cause. For purposes of this Agreement, “Cause” shall mean any of the following:</w:t>
      </w:r>
    </w:p>
    <w:p>
      <w:pPr>
        <w:spacing w:after="0" w:line="161" w:lineRule="exact"/>
        <w:rPr>
          <w:rFonts w:ascii="Times New Roman" w:cs="Times New Roman" w:eastAsia="Times New Roman" w:hAnsi="Times New Roman"/>
          <w:sz w:val="18"/>
          <w:szCs w:val="18"/>
          <w:color w:val="auto"/>
        </w:rPr>
      </w:pPr>
    </w:p>
    <w:p>
      <w:pPr>
        <w:jc w:val="both"/>
        <w:ind w:firstLine="2254"/>
        <w:spacing w:after="0" w:line="261" w:lineRule="auto"/>
        <w:tabs>
          <w:tab w:leader="none" w:pos="254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conduct by you constituting a material act of intentional misconduct in connection with the performance of your duties, including, without limitation, (A) willful failure or willful refusal to perform material responsibilities that have been lawfully requested by the Board; (B) intentional dishonesty to the Board with respect to any material matter; or (C) intentional misappropriation of funds or property of the Company or any of its subsidiaries or affiliates other than the occasional, customary and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use of Company property for personal purposes;</w:t>
      </w:r>
    </w:p>
    <w:p>
      <w:pPr>
        <w:spacing w:after="0" w:line="179"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 by you of (A) any felony or (B) a misdemeanor involving moral turpitude, deceit, dishonesty or fraud;</w:t>
      </w:r>
    </w:p>
    <w:p>
      <w:pPr>
        <w:spacing w:after="0" w:line="225" w:lineRule="exact"/>
        <w:rPr>
          <w:rFonts w:ascii="Times New Roman" w:cs="Times New Roman" w:eastAsia="Times New Roman" w:hAnsi="Times New Roman"/>
          <w:sz w:val="18"/>
          <w:szCs w:val="18"/>
          <w:color w:val="auto"/>
        </w:rPr>
      </w:pPr>
    </w:p>
    <w:p>
      <w:pPr>
        <w:jc w:val="both"/>
        <w:ind w:firstLine="2254"/>
        <w:spacing w:after="0" w:line="266" w:lineRule="auto"/>
        <w:tabs>
          <w:tab w:leader="none" w:pos="254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intentional misconduct by you, regardless of whether or not in the course of your employment, that results in material injury or material reputational harm to the Company or any of its subsidiaries or affiliates if you were to continue to be employed in the same position;</w:t>
      </w:r>
    </w:p>
    <w:p>
      <w:pPr>
        <w:spacing w:after="0" w:line="175" w:lineRule="exact"/>
        <w:rPr>
          <w:rFonts w:ascii="Times New Roman" w:cs="Times New Roman" w:eastAsia="Times New Roman" w:hAnsi="Times New Roman"/>
          <w:sz w:val="18"/>
          <w:szCs w:val="18"/>
          <w:color w:val="auto"/>
        </w:rPr>
      </w:pPr>
    </w:p>
    <w:p>
      <w:pPr>
        <w:ind w:firstLine="2254"/>
        <w:spacing w:after="0" w:line="282" w:lineRule="auto"/>
        <w:tabs>
          <w:tab w:leader="none" w:pos="254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continued willful non-performance by you of your duties hereunder (other than by reason of your physical or mental illness, incapacity or Disability) which has continued for more than 30 days following written notice of such non-performance from the Board;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1" w:name="page92"/>
    <w:bookmarkEnd w:id="91"/>
    <w:p>
      <w:pPr>
        <w:ind w:firstLine="2254"/>
        <w:spacing w:after="0" w:line="282" w:lineRule="auto"/>
        <w:tabs>
          <w:tab w:leader="none" w:pos="254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you of any of the provisions contained in Section 8 of this Agreement or the Restrictive Covenants Agreements and, if such breach is curable, has continued for more than 30 days following written notice of such material breach (as defined below); or</w:t>
      </w:r>
    </w:p>
    <w:p>
      <w:pPr>
        <w:spacing w:after="0" w:line="161" w:lineRule="exact"/>
        <w:rPr>
          <w:rFonts w:ascii="Times New Roman" w:cs="Times New Roman" w:eastAsia="Times New Roman" w:hAnsi="Times New Roman"/>
          <w:sz w:val="18"/>
          <w:szCs w:val="18"/>
          <w:color w:val="auto"/>
        </w:rPr>
      </w:pPr>
    </w:p>
    <w:p>
      <w:pPr>
        <w:jc w:val="both"/>
        <w:ind w:firstLine="2254"/>
        <w:spacing w:after="0" w:line="261" w:lineRule="auto"/>
        <w:tabs>
          <w:tab w:leader="none" w:pos="254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willful failure to reasonably cooperate with a bona fide internal investigation or an investigation by regulatory or law enforcement authorities, after being reasonably instructed by the Company to cooperate, or the willful destruction or failure to preserve documents or other materials known to be relevant to such investigation or the willful inducement of others to fail to cooperate or to produce documents or other materials in connection with such investigation.</w:t>
      </w:r>
    </w:p>
    <w:p>
      <w:pPr>
        <w:spacing w:after="0" w:line="179"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without Cause</w:t>
      </w:r>
      <w:r>
        <w:rPr>
          <w:rFonts w:ascii="Times New Roman" w:cs="Times New Roman" w:eastAsia="Times New Roman" w:hAnsi="Times New Roman"/>
          <w:sz w:val="18"/>
          <w:szCs w:val="18"/>
          <w:color w:val="auto"/>
        </w:rPr>
        <w:t>. The Company may terminate your employment hereunder at any time without Cause. Any termination by the Company of your employment under this Agreement which does not constitute a termination for Cause under Section 3(c) and does not result from the death or Disability of you under Section 3(a) or (b) shall be deemed a termination without Cause.</w:t>
      </w:r>
    </w:p>
    <w:p>
      <w:pPr>
        <w:spacing w:after="0" w:line="175"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You</w:t>
      </w:r>
      <w:r>
        <w:rPr>
          <w:rFonts w:ascii="Times New Roman" w:cs="Times New Roman" w:eastAsia="Times New Roman" w:hAnsi="Times New Roman"/>
          <w:sz w:val="18"/>
          <w:szCs w:val="18"/>
          <w:color w:val="auto"/>
        </w:rPr>
        <w:t>. You may terminate employment hereunder at any time for any reason, including but not limited to, Good Reason. For purposes of this Agreement, “Good Reason” shall mean that you have completed all steps of the Good Reason Process (hereinafter defined) following the occurrence of any of the following events without your written consent (each, a “Good Reason Condition”):</w:t>
      </w:r>
    </w:p>
    <w:p>
      <w:pPr>
        <w:spacing w:after="0" w:line="175"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your responsibilities, authority or duties</w:t>
      </w:r>
    </w:p>
    <w:p>
      <w:pPr>
        <w:spacing w:after="0" w:line="225" w:lineRule="exact"/>
        <w:rPr>
          <w:rFonts w:ascii="Times New Roman" w:cs="Times New Roman" w:eastAsia="Times New Roman" w:hAnsi="Times New Roman"/>
          <w:sz w:val="18"/>
          <w:szCs w:val="18"/>
          <w:color w:val="auto"/>
        </w:rPr>
      </w:pPr>
    </w:p>
    <w:p>
      <w:pPr>
        <w:ind w:left="760" w:firstLine="1494"/>
        <w:spacing w:after="0" w:line="282" w:lineRule="auto"/>
        <w:tabs>
          <w:tab w:leader="none" w:pos="255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your Base Salary except for across-the-board salary reductions of no greater than 10% based on the Company’s financial performance similarly affecting all or substantially all senior management employees of the Company;</w:t>
      </w:r>
    </w:p>
    <w:p>
      <w:pPr>
        <w:spacing w:after="0" w:line="161" w:lineRule="exact"/>
        <w:rPr>
          <w:rFonts w:ascii="Times New Roman" w:cs="Times New Roman" w:eastAsia="Times New Roman" w:hAnsi="Times New Roman"/>
          <w:sz w:val="18"/>
          <w:szCs w:val="18"/>
          <w:color w:val="auto"/>
        </w:rPr>
      </w:pPr>
    </w:p>
    <w:p>
      <w:pPr>
        <w:ind w:left="760" w:firstLine="1494"/>
        <w:spacing w:after="0" w:line="282" w:lineRule="auto"/>
        <w:tabs>
          <w:tab w:leader="none" w:pos="255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of at least thirty (30) miles of the location of the physical Company office to which you report (which to avoid doubt does not include any home office you may have);</w:t>
      </w:r>
    </w:p>
    <w:p>
      <w:pPr>
        <w:spacing w:after="0" w:line="161"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by the Company of the material terms of this Agreement or any other written agreement between the Company</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you; 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2" w:name="page93"/>
    <w:bookmarkEnd w:id="92"/>
    <w:p>
      <w:pPr>
        <w:ind w:right="3480" w:firstLine="2254"/>
        <w:spacing w:after="0" w:line="500" w:lineRule="auto"/>
        <w:tabs>
          <w:tab w:leader="none" w:pos="25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requiring you to report to someone other than the Board. The “Good Reason Process” consists of the following steps:</w:t>
      </w:r>
    </w:p>
    <w:p>
      <w:pPr>
        <w:spacing w:after="0" w:line="1"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reasonably determine in good faith that a Good Reason Condition has occurred;</w:t>
      </w:r>
    </w:p>
    <w:p>
      <w:pPr>
        <w:spacing w:after="0" w:line="225" w:lineRule="exact"/>
        <w:rPr>
          <w:sz w:val="20"/>
          <w:szCs w:val="20"/>
          <w:color w:val="auto"/>
        </w:rPr>
      </w:pPr>
    </w:p>
    <w:p>
      <w:pPr>
        <w:ind w:left="760" w:firstLine="1497"/>
        <w:spacing w:after="0" w:line="282" w:lineRule="auto"/>
        <w:rPr>
          <w:sz w:val="20"/>
          <w:szCs w:val="20"/>
          <w:color w:val="auto"/>
        </w:rPr>
      </w:pPr>
      <w:r>
        <w:rPr>
          <w:rFonts w:ascii="Times New Roman" w:cs="Times New Roman" w:eastAsia="Times New Roman" w:hAnsi="Times New Roman"/>
          <w:sz w:val="18"/>
          <w:szCs w:val="18"/>
          <w:color w:val="auto"/>
        </w:rPr>
        <w:t>(vii)you notify the Company in writing of the first occurrence of the Good Reason Condition within 60 days of the first occurrence of such condition;</w:t>
      </w:r>
    </w:p>
    <w:p>
      <w:pPr>
        <w:spacing w:after="0" w:line="162" w:lineRule="exact"/>
        <w:rPr>
          <w:sz w:val="20"/>
          <w:szCs w:val="20"/>
          <w:color w:val="auto"/>
        </w:rPr>
      </w:pPr>
    </w:p>
    <w:p>
      <w:pPr>
        <w:ind w:left="760" w:firstLine="1497"/>
        <w:spacing w:after="0" w:line="282" w:lineRule="auto"/>
        <w:rPr>
          <w:sz w:val="20"/>
          <w:szCs w:val="20"/>
          <w:color w:val="auto"/>
        </w:rPr>
      </w:pPr>
      <w:r>
        <w:rPr>
          <w:rFonts w:ascii="Times New Roman" w:cs="Times New Roman" w:eastAsia="Times New Roman" w:hAnsi="Times New Roman"/>
          <w:sz w:val="18"/>
          <w:szCs w:val="18"/>
          <w:color w:val="auto"/>
        </w:rPr>
        <w:t>(viii)you cooperate in good faith with the Company’s efforts, for a period of not less than 30 days following such notice (the “Cure Period”), to remedy the Good Reason Condition;</w:t>
      </w:r>
    </w:p>
    <w:p>
      <w:pPr>
        <w:spacing w:after="0" w:line="162" w:lineRule="exact"/>
        <w:rPr>
          <w:sz w:val="20"/>
          <w:szCs w:val="20"/>
          <w:color w:val="auto"/>
        </w:rPr>
      </w:pPr>
    </w:p>
    <w:p>
      <w:pPr>
        <w:ind w:left="2560" w:hanging="306"/>
        <w:spacing w:after="0"/>
        <w:tabs>
          <w:tab w:leader="none" w:pos="25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such Cure Period, the Good Reason Condition continues to exist; and</w:t>
      </w:r>
    </w:p>
    <w:p>
      <w:pPr>
        <w:spacing w:after="0" w:line="225"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terminate employment within 60 days after the end of the Cure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Company cures the Good Reason Condition during the Cure Period, Good Reason shall be deemed not to have occurred.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your employment with the Company is terminated for any reason, the Company shall pay or provide to you (or your authorized representative or estate)</w:t>
      </w:r>
    </w:p>
    <w:p>
      <w:pPr>
        <w:spacing w:after="0" w:line="27" w:lineRule="exact"/>
        <w:rPr>
          <w:sz w:val="20"/>
          <w:szCs w:val="20"/>
          <w:color w:val="auto"/>
        </w:rPr>
      </w:pPr>
    </w:p>
    <w:p>
      <w:pPr>
        <w:jc w:val="both"/>
        <w:ind w:firstLine="8"/>
        <w:spacing w:after="0" w:line="252" w:lineRule="auto"/>
        <w:tabs>
          <w:tab w:leader="none" w:pos="22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Base Salary earned through the Date of Termination; (ii) unpaid expense reimbursements (subject to, and in accordance with, Section 2(c) of this Agreement); (iii) any vested benefits you may have under any employee benefit plan of the Company through the Date of Termination, which vested benefits shall be paid and/or provided in accordance with the terms of such employee benefit plans; and (iv) if your employment is terminated by the Company because of your death or Disability, a lump sum payment of any earned, but unpaid Bonus for the fiscal year prior to the fiscal year your employment is terminated because of your death or Disability (collectively, the “Accrued Obligations”). The earned but unpaid Bonus in subsection (v) will be paid at the same time as the Company pays bonuses to similarly situated executives, but in no event later than the end of the taxable year in which the Date of Termination occurs.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3" w:name="page94"/>
    <w:bookmarkEnd w:id="93"/>
    <w:p>
      <w:pPr>
        <w:ind w:left="1020" w:hanging="26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and Date of 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Except for termination as specified in Section 3(a), any termination of your employment by the Company or any such termination by you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175" w:lineRule="exact"/>
        <w:rPr>
          <w:rFonts w:ascii="Times New Roman" w:cs="Times New Roman" w:eastAsia="Times New Roman" w:hAnsi="Times New Roman"/>
          <w:sz w:val="18"/>
          <w:szCs w:val="18"/>
          <w:color w:val="auto"/>
        </w:rPr>
      </w:pPr>
    </w:p>
    <w:p>
      <w:pPr>
        <w:jc w:val="both"/>
        <w:ind w:firstLine="1505"/>
        <w:spacing w:after="0" w:line="254" w:lineRule="auto"/>
        <w:tabs>
          <w:tab w:leader="none" w:pos="203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“Date of Termination” shall mean: (i) if your employment is terminated by death, the date of death; (ii) if your employment is terminated on account of Disability under Section 3(b) or by the Company for Cause under Section 3(c), the date on which Notice of Termination is given; (iii) if your employment is terminated by the Company without Cause under Section 3(d), the date on which a Notice of Termination is given or the date otherwise specified by the Company in the Notice of Termination; (iv) if your employment is terminated by you under Section 3(e) other than for Good Reason, 14 days after the date on which a Notice of Termination is given, and (v) if your employment is terminated by you under Section 3(e) for Good Reason, the date on which a Notice of Termination is given after the end of the Cure Period. Notwithstanding the foregoing, in the event that you give a Notice of Termination to the Company, the Company may unilaterally accelerate the Date of Termination and such acceleration shall not result in a termination by the Company for purposes of this Agreement. However, the Company will continue paying you your Base Salary until the original Date of Termination.</w:t>
      </w:r>
    </w:p>
    <w:p>
      <w:pPr>
        <w:spacing w:after="0" w:line="188" w:lineRule="exact"/>
        <w:rPr>
          <w:rFonts w:ascii="Times New Roman" w:cs="Times New Roman" w:eastAsia="Times New Roman" w:hAnsi="Times New Roman"/>
          <w:sz w:val="18"/>
          <w:szCs w:val="18"/>
          <w:color w:val="auto"/>
        </w:rPr>
      </w:pPr>
    </w:p>
    <w:p>
      <w:pPr>
        <w:jc w:val="both"/>
        <w:ind w:firstLine="757"/>
        <w:spacing w:after="0" w:line="254" w:lineRule="auto"/>
        <w:tabs>
          <w:tab w:leader="none" w:pos="101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 and Benefits Upon Termination by the Company without Cause or by You for Good Reason Outside the Change in Control Period</w:t>
      </w:r>
      <w:r>
        <w:rPr>
          <w:rFonts w:ascii="Times New Roman" w:cs="Times New Roman" w:eastAsia="Times New Roman" w:hAnsi="Times New Roman"/>
          <w:sz w:val="18"/>
          <w:szCs w:val="18"/>
          <w:color w:val="auto"/>
        </w:rPr>
        <w:t>. If your employment is terminated by the Company without Cause as provided in Section 3(d), or you terminate employment for Good Reason as provided in Section 3(e), each outside of the Change in Control Period (as defined below), then, in addition to the Accrued Obligations, and subject to (i) your signing a separation agreement and release in a form and manner reasonably satisfactory to the Company, which shall include, without limitation, a general release of claims against the Company and all related persons and entities, a reaffirmation of all of your Continuing Obligations (as defined below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shall provide that if you materially breach any of the Continuing Obligations, and if such breach is curable, which has continued for more than 30 days following written notice of such breach, all payments of the Severance Amount shall immediately cease (the “Separation Agreement and Release”), and (ii) the Separation Agreement and Release becoming irrevocable, all within 60 days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4" w:name="page95"/>
    <w:bookmarkEnd w:id="94"/>
    <w:p>
      <w:pPr>
        <w:spacing w:after="0" w:line="282" w:lineRule="auto"/>
        <w:rPr>
          <w:sz w:val="20"/>
          <w:szCs w:val="20"/>
          <w:color w:val="auto"/>
        </w:rPr>
      </w:pPr>
      <w:r>
        <w:rPr>
          <w:rFonts w:ascii="Times New Roman" w:cs="Times New Roman" w:eastAsia="Times New Roman" w:hAnsi="Times New Roman"/>
          <w:sz w:val="18"/>
          <w:szCs w:val="18"/>
          <w:color w:val="auto"/>
        </w:rPr>
        <w:t>after the Date of Termination (or such shorter period as set forth in the Separation Agreement and Release), which shall include a seven (7) business day revocation period:</w:t>
      </w:r>
    </w:p>
    <w:p>
      <w:pPr>
        <w:spacing w:after="0" w:line="162" w:lineRule="exact"/>
        <w:rPr>
          <w:sz w:val="20"/>
          <w:szCs w:val="20"/>
          <w:color w:val="auto"/>
        </w:rPr>
      </w:pPr>
    </w:p>
    <w:p>
      <w:pPr>
        <w:jc w:val="both"/>
        <w:ind w:firstLine="1505"/>
        <w:spacing w:after="0" w:line="261" w:lineRule="auto"/>
        <w:tabs>
          <w:tab w:leader="none" w:pos="203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you an amount equal to twelve (12) months of your Base Salary (the “Severance Amount”); provided in the event you are entitled to any payments pursuant to the Restrictive Covenants Agreements, as a condition of such receipt of the Severance Amount, you shall acknowledge and agree in the Separation Agreement and Release that such Severance Amount will be in lieu of any garden leave pay under the Restrictive Covenants Agreements;</w:t>
      </w:r>
    </w:p>
    <w:p>
      <w:pPr>
        <w:spacing w:after="0" w:line="179"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you, if applicable, a lump sum payment of: (i) a pro-rata share of your Target Bonus for the then-current fiscal year (based on the Date of Termination); and (ii) any earned, but unpaid Bonus for the fiscal year prior to the fiscal year of your Date of Termination with such earned, but unpaid Bonus to be paid at the same time as the Company pays bonuses to similarly situated executives, but in no event later than the end of the taxable year in which the Date of Termination occurs;</w:t>
      </w:r>
    </w:p>
    <w:p>
      <w:pPr>
        <w:spacing w:after="0" w:line="179" w:lineRule="exact"/>
        <w:rPr>
          <w:rFonts w:ascii="Times New Roman" w:cs="Times New Roman" w:eastAsia="Times New Roman" w:hAnsi="Times New Roman"/>
          <w:sz w:val="18"/>
          <w:szCs w:val="18"/>
          <w:color w:val="auto"/>
        </w:rPr>
      </w:pPr>
    </w:p>
    <w:p>
      <w:pPr>
        <w:jc w:val="both"/>
        <w:ind w:firstLine="1505"/>
        <w:spacing w:after="0" w:line="254" w:lineRule="auto"/>
        <w:tabs>
          <w:tab w:leader="none" w:pos="203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your copayment of premium amounts at the applicable active employees’ rate and your proper election to receive benefits under the Consolidated Omnibus Budget Reconciliation Act of 1985, as amended (“COBRA”), the Company shall pay to the group health plan provider, the COBRA provider or you a monthly payment equal to the monthly employer contribution that the Company would have made to provide health insurance to you if you had remained employed by the Company until the earliest of (A) the twelve (12) month anniversary of the Date of Termination; (B) your eligibility for group medical plan benefits under any other employer’s group medical plan; or (C) the cessation of your continuation rights under COBRA; provided, however,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shall be subject to tax-related deductions and withholdings and paid on the Company’s regular payroll dates; and</w:t>
      </w:r>
    </w:p>
    <w:p>
      <w:pPr>
        <w:spacing w:after="0" w:line="188"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any applicable option agreement or other stock-based award agreement, twenty-five percent (25%) of all then-unvested time-based and other stock-based awards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5" w:name="page96"/>
    <w:bookmarkEnd w:id="95"/>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subject to time-based vesting held by you (the “Time-Based Equity Awards”) shall immediately accelerate and become fully exercisable or nonforfeitable as of the later of (i) the Date of Termination or (ii) the effective date of the Separation Agreement and Release (the “Accelerated Vesting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termination or forfeiture of the unvested portion of such Time-Based Equity Awards that would otherwise occur on the Date of Termination in the absence of this Agreement will be delayed until the effective date of the Separation Agreement and Release and will only occur if the vesting pursuant to this subsection does not occur due to the absence of the Separation Agreement and Release becoming fully effective within the time period set forth therein. Notwithstanding the foregoing, no additional vesting of the Time-Based Equity Awards shall occur during the period between your Date of Termination and the Accelerated Vesting Date.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amounts payable under Sections 5(a) and (c), to the extent taxable, shall be paid out in substantially equal installments in accordance with the Company’s payroll practice over twelve (12) months commencing within 60 days after the Date of Termination, and the amount payable under Section 5(b) (i), to the extent taxable, shall be paid within 60 days of the Date of Termination; provided, however, that if the 60-day period begins in one calendar year and ends in a second calendar year, the Severance Amount, to the extent it qualifies as “non-qualified deferred compensation” within the meaning of Section 409A of the Internal Revenue Code of 1986, as amended (the “Code”),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192" w:lineRule="exact"/>
        <w:rPr>
          <w:sz w:val="20"/>
          <w:szCs w:val="20"/>
          <w:color w:val="auto"/>
        </w:rPr>
      </w:pPr>
    </w:p>
    <w:p>
      <w:pPr>
        <w:jc w:val="both"/>
        <w:ind w:firstLine="757"/>
        <w:spacing w:after="0" w:line="256" w:lineRule="auto"/>
        <w:tabs>
          <w:tab w:leader="none" w:pos="101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 and Benefits Upon Termination by the Company without Cause or by You for Good Reason within the Change in Control Period</w:t>
      </w:r>
      <w:r>
        <w:rPr>
          <w:rFonts w:ascii="Times New Roman" w:cs="Times New Roman" w:eastAsia="Times New Roman" w:hAnsi="Times New Roman"/>
          <w:sz w:val="18"/>
          <w:szCs w:val="18"/>
          <w:color w:val="auto"/>
        </w:rPr>
        <w:t>. The provisions of this Section 6 shall apply in lieu of, and expressly supersede, the provisions of Section 5 if (i) your employment is terminated either (a) by the Company without Cause as provided in Section 3(d), or (b) by you for Good Reason as provided in Section 3(e), and (ii) the Date of Termination is within 3 months prior to, or within 12 months after, the occurrence of the first event constituting a Change in Control (as defined below) (such period, the “Change in Control Period”). These provisions of Section 6 shall terminate and be of no further force or effect after a Change in Control Period.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6" w:name="page97"/>
    <w:bookmarkEnd w:id="96"/>
    <w:p>
      <w:pPr>
        <w:jc w:val="both"/>
        <w:ind w:firstLine="1505"/>
        <w:spacing w:after="0" w:line="261" w:lineRule="auto"/>
        <w:tabs>
          <w:tab w:leader="none" w:pos="20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employment is terminated by the Company without Cause as provided in Section 3(d) or you terminate employment for Good Reason as provided in Section 3(e) and in either case the Date of Termination occurs during the Change in Control Period, then, in addition to the Accrued Obligations, and subject to the signing of the Separation Agreement and Release by you and the Separation Agreement and Release becoming fully effective, all within the time frame set forth in the Separation Agreement and Release but in no event more than 60 days after the Date of Termination:</w:t>
      </w:r>
    </w:p>
    <w:p>
      <w:pPr>
        <w:spacing w:after="0" w:line="179" w:lineRule="exact"/>
        <w:rPr>
          <w:rFonts w:ascii="Times New Roman" w:cs="Times New Roman" w:eastAsia="Times New Roman" w:hAnsi="Times New Roman"/>
          <w:sz w:val="18"/>
          <w:szCs w:val="18"/>
          <w:color w:val="auto"/>
        </w:rPr>
      </w:pPr>
    </w:p>
    <w:p>
      <w:pPr>
        <w:jc w:val="both"/>
        <w:ind w:left="760" w:firstLine="1494"/>
        <w:spacing w:after="0" w:line="256" w:lineRule="auto"/>
        <w:tabs>
          <w:tab w:leader="none" w:pos="255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you a lump sum in cash in an amount equal to the sum of (A) twenty-one (21) months of your then current Base Salary (or your Base Salary in effect immediately prior to the Change in Control, if higher), (B) 1.75x your Target Bonus for the then-current fiscal year; and (C) any earned, but unpaid Bonus for the fiscal year prior to the fiscal year of your Date of Termination, (the “Change in Control Payment”) provided that, if applicable and as a condition of such receipt of the Change in Control Payment, you shall acknowledge and agree in the Separation Agreement and Release that such Change in Control Payment will be in lieu of any garden leave pay under the Restrictive Covenants Agreements; and</w:t>
      </w:r>
    </w:p>
    <w:p>
      <w:pPr>
        <w:spacing w:after="0" w:line="187" w:lineRule="exact"/>
        <w:rPr>
          <w:rFonts w:ascii="Times New Roman" w:cs="Times New Roman" w:eastAsia="Times New Roman" w:hAnsi="Times New Roman"/>
          <w:sz w:val="18"/>
          <w:szCs w:val="18"/>
          <w:color w:val="auto"/>
        </w:rPr>
      </w:pPr>
    </w:p>
    <w:p>
      <w:pPr>
        <w:jc w:val="both"/>
        <w:ind w:left="760" w:firstLine="1494"/>
        <w:spacing w:after="0" w:line="254" w:lineRule="auto"/>
        <w:tabs>
          <w:tab w:leader="none" w:pos="255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any applicable option agreement or other stock-based award agreement, all time-based stock options and other stock-based awards subject to time-based vesting held by you (the “Time-Based Equity Awards”) shall immediately accelerate and become fully exercisable or nonforfeitable as of the later of (i) the Date of Termination or (ii) the effective date of the Separation Agreement and Release (the “Accelerated Vesting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termination or forfeiture of the unvested portion of such Time-Based Equity Awards that would otherwise occur on the Date of Termination in the absence of this Agreement will be delayed until the effective date of the Separation Agreement and Release and will only occur if the vesting pursuant to this subsection does not occur due to the absence of the Separation Agreement and Release becoming fully effective within the time period set forth therein. Notwithstanding the foregoing, no additional vesting of the Time-Based Equity Awards shall occur during the period between your Date of Termination and the Accelerated Vesting Date; and</w:t>
      </w:r>
    </w:p>
    <w:p>
      <w:pPr>
        <w:spacing w:after="0" w:line="188" w:lineRule="exact"/>
        <w:rPr>
          <w:rFonts w:ascii="Times New Roman" w:cs="Times New Roman" w:eastAsia="Times New Roman" w:hAnsi="Times New Roman"/>
          <w:sz w:val="18"/>
          <w:szCs w:val="18"/>
          <w:color w:val="auto"/>
        </w:rPr>
      </w:pPr>
    </w:p>
    <w:p>
      <w:pPr>
        <w:ind w:left="760" w:firstLine="1494"/>
        <w:spacing w:after="0" w:line="282" w:lineRule="auto"/>
        <w:tabs>
          <w:tab w:leader="none" w:pos="255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your copayment of premium amounts at the applicable active employees’ rate and your proper election to receive benefits under COBRA, the Company shall pay to the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7" w:name="page98"/>
    <w:bookmarkEnd w:id="97"/>
    <w:p>
      <w:pPr>
        <w:jc w:val="both"/>
        <w:ind w:left="760"/>
        <w:spacing w:after="0" w:line="257" w:lineRule="auto"/>
        <w:rPr>
          <w:sz w:val="20"/>
          <w:szCs w:val="20"/>
          <w:color w:val="auto"/>
        </w:rPr>
      </w:pPr>
      <w:r>
        <w:rPr>
          <w:rFonts w:ascii="Times New Roman" w:cs="Times New Roman" w:eastAsia="Times New Roman" w:hAnsi="Times New Roman"/>
          <w:sz w:val="18"/>
          <w:szCs w:val="18"/>
          <w:color w:val="auto"/>
        </w:rPr>
        <w:t>group health plan provider, the COBRA provider or you a monthly payment equal to the monthly employer contribution that the Company would have made to provide health insurance to you if you had remained employed by the Company until the earliest of (A) the 18-month anniversary of the Date of Termination; (B) your eligibility for group medical plan benefits under any other employer’s group medical plan; or</w:t>
      </w:r>
    </w:p>
    <w:p>
      <w:pPr>
        <w:spacing w:after="0" w:line="1" w:lineRule="exact"/>
        <w:rPr>
          <w:sz w:val="20"/>
          <w:szCs w:val="20"/>
          <w:color w:val="auto"/>
        </w:rPr>
      </w:pPr>
    </w:p>
    <w:p>
      <w:pPr>
        <w:jc w:val="both"/>
        <w:ind w:left="760" w:hanging="3"/>
        <w:spacing w:after="0" w:line="253" w:lineRule="auto"/>
        <w:tabs>
          <w:tab w:leader="none" w:pos="105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cessation of your continuation rights under COBRA; provided, however,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shall be subject to tax-related deductions and withholdings and paid on the Company’s regular payroll dates.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amounts payable under this Section 6(a) (other than 6(a)(i)(C)), to the extent taxable, shall be paid or commence to be paid within 60 days after the Date of Termination; provided, however,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 The amount payable under Section 6(a)(i)(C) shall be paid at the same time as the Company pays bonuses to similarly situated executives, but in no event later than the end of the taxable year in which the Date of Termination occurs.</w:t>
      </w:r>
    </w:p>
    <w:p>
      <w:pPr>
        <w:spacing w:after="0" w:line="183" w:lineRule="exact"/>
        <w:rPr>
          <w:sz w:val="20"/>
          <w:szCs w:val="20"/>
          <w:color w:val="auto"/>
        </w:rPr>
      </w:pPr>
    </w:p>
    <w:p>
      <w:pPr>
        <w:ind w:left="2040" w:hanging="535"/>
        <w:spacing w:after="0"/>
        <w:tabs>
          <w:tab w:leader="none" w:pos="2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Limitation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760" w:firstLine="1494"/>
        <w:spacing w:after="0" w:line="255" w:lineRule="auto"/>
        <w:tabs>
          <w:tab w:leader="none" w:pos="255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in the event that the amount of any compensation, payment or distribution by the Company to or for the benefit of you, whether paid or payable or distributed or distributable pursuant to the terms of this Agreement or otherwise, calculated in a manner consistent with Section 280G of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you became the subject to the excise tax imposed by Section 4999 of the Code; provided that such reduction shall only occur if it would result in you receiving a higher After Tax Amount (as defined below) than you would receive if the Aggregate Payments were not subject to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8" w:name="page99"/>
    <w:bookmarkEnd w:id="98"/>
    <w:p>
      <w:pPr>
        <w:jc w:val="both"/>
        <w:spacing w:after="0" w:line="256" w:lineRule="auto"/>
        <w:rPr>
          <w:sz w:val="20"/>
          <w:szCs w:val="20"/>
          <w:color w:val="auto"/>
        </w:rPr>
      </w:pPr>
      <w:r>
        <w:rPr>
          <w:rFonts w:ascii="Times New Roman" w:cs="Times New Roman" w:eastAsia="Times New Roman" w:hAnsi="Times New Roman"/>
          <w:sz w:val="18"/>
          <w:szCs w:val="18"/>
          <w:color w:val="auto"/>
        </w:rPr>
        <w:t>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87" w:lineRule="exact"/>
        <w:rPr>
          <w:sz w:val="20"/>
          <w:szCs w:val="20"/>
          <w:color w:val="auto"/>
        </w:rPr>
      </w:pPr>
    </w:p>
    <w:p>
      <w:pPr>
        <w:jc w:val="both"/>
        <w:ind w:firstLine="1494"/>
        <w:spacing w:after="0" w:line="256" w:lineRule="auto"/>
        <w:tabs>
          <w:tab w:leader="none" w:pos="179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6(b), the “After Tax Amount” means the amount of the Aggregate Payments less all federal, state, and local income, excise and employment taxes imposed on you as a result of your receipt of the Aggregate Payments. For purposes of determining the After Tax Amount, you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87" w:lineRule="exact"/>
        <w:rPr>
          <w:rFonts w:ascii="Times New Roman" w:cs="Times New Roman" w:eastAsia="Times New Roman" w:hAnsi="Times New Roman"/>
          <w:sz w:val="18"/>
          <w:szCs w:val="18"/>
          <w:color w:val="auto"/>
        </w:rPr>
      </w:pPr>
    </w:p>
    <w:p>
      <w:pPr>
        <w:jc w:val="both"/>
        <w:ind w:firstLine="1494"/>
        <w:spacing w:after="0" w:line="261" w:lineRule="auto"/>
        <w:tabs>
          <w:tab w:leader="none" w:pos="179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as to whether a reduction in the Aggregate Payments shall be made pursuant to Section 6(b)(i) shall be made by a nationally recognized accounting firm selected by the Company (the “Accounting Firm”), which shall provide detailed supporting calculations both to the Company and you within 15 business days of the Date of Termination, if applicable, or at such earlier time as is reasonably requested by the Company or you. Any determination by the Accounting Firm shall be binding upon the Company and you.</w:t>
      </w:r>
    </w:p>
    <w:p>
      <w:pPr>
        <w:spacing w:after="0" w:line="179" w:lineRule="exact"/>
        <w:rPr>
          <w:rFonts w:ascii="Times New Roman" w:cs="Times New Roman" w:eastAsia="Times New Roman" w:hAnsi="Times New Roman"/>
          <w:sz w:val="18"/>
          <w:szCs w:val="18"/>
          <w:color w:val="auto"/>
        </w:rPr>
      </w:pPr>
    </w:p>
    <w:p>
      <w:pPr>
        <w:jc w:val="both"/>
        <w:ind w:firstLine="1494"/>
        <w:spacing w:after="0" w:line="261" w:lineRule="auto"/>
        <w:tabs>
          <w:tab w:leader="none" w:pos="179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of this Section 6, a “Change in Control” shall be deemed to have occurred upon the occurrence of any one of the following events: (a) the sale or transfer of all or substantially all of the assets of the Company (i.e., &gt;50% of the value) on a consolidated basis to one or more unrelated persons or entities, (b) a merger, reorganization or consolidation pursuant to which the holders of the Company’s outstanding voting power and outstanding stock immediately prior to such</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99" w:name="page100"/>
    <w:bookmarkEnd w:id="99"/>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transaction do not own a majority of the outstanding voting power or fair market value of the stock or other equity interests of the resulting or successor entity (or its ultimate parent, if applicable) immediately upon completion of such transaction, (c) the sale of all or substantially all of the stock of the Company to an unrelated person, entity or group thereof acting in concert, (d)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or (e) the date a majority of the members of the Board is replaced during any 12-month period by directors whose appointment or election is not endorsed by a majority of the members of the Board before the date of the appointment or election provided that with respect to any of the clauses (a) through (e) any capital raising transaction of the Company (including the Company’s IPO) shall not be treated as a “Change in Control.” Notwithstanding any other provision of this Agreement (other than the foregoing proviso), “Change in Control” shall be interpreted, administered and applied in a manner consistent and in compliance with a “change in control event” as set forth in Treasury Regulation Section 1.409A-3(i)(5) (“Change in Control Event”).</w:t>
      </w:r>
    </w:p>
    <w:p>
      <w:pPr>
        <w:spacing w:after="0" w:line="192" w:lineRule="exact"/>
        <w:rPr>
          <w:sz w:val="20"/>
          <w:szCs w:val="20"/>
          <w:color w:val="auto"/>
        </w:rPr>
      </w:pPr>
    </w:p>
    <w:p>
      <w:pPr>
        <w:ind w:left="1020" w:hanging="26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05"/>
        <w:spacing w:after="0" w:line="254" w:lineRule="auto"/>
        <w:tabs>
          <w:tab w:leader="none" w:pos="203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if at the time of your separation from service within the meaning of Section 409A of the Code, the Company determines that you are a “specified employee” within the meaning of Section 409A(a)(2)(B)(i) of the Code, then to the extent any payment or benefit that you become entitled to under this Agreement or otherwise on account of your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your separation from service, or (B) your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0" w:name="page101"/>
    <w:bookmarkEnd w:id="100"/>
    <w:p>
      <w:pPr>
        <w:jc w:val="both"/>
        <w:ind w:firstLine="1505"/>
        <w:spacing w:after="0" w:line="256" w:lineRule="auto"/>
        <w:tabs>
          <w:tab w:leader="none" w:pos="20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in-kind benefits provided and expenses eligible for reimbursement under this Agreement shall be provided by the Company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87" w:lineRule="exact"/>
        <w:rPr>
          <w:rFonts w:ascii="Times New Roman" w:cs="Times New Roman" w:eastAsia="Times New Roman" w:hAnsi="Times New Roman"/>
          <w:sz w:val="18"/>
          <w:szCs w:val="18"/>
          <w:color w:val="auto"/>
        </w:rPr>
      </w:pPr>
    </w:p>
    <w:p>
      <w:pPr>
        <w:jc w:val="both"/>
        <w:ind w:firstLine="1505"/>
        <w:spacing w:after="0" w:line="227" w:lineRule="exact"/>
        <w:tabs>
          <w:tab w:leader="none" w:pos="20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payment or benefit described in this Agreement constitutes “non-qualified deferred compensation” under Section 409A of the Code, and to the extent that such payment or benefit is payable upon your termination of employment, then such payments or benefits shall be payable only upon your “separation from service.” The determination of whether and when a separation from service has occurred shall be made in accordance with the presumptions set forth in Treasury Regulation Section 1.409A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1(h).</w:t>
      </w:r>
    </w:p>
    <w:p>
      <w:pPr>
        <w:spacing w:after="0" w:line="172" w:lineRule="exact"/>
        <w:rPr>
          <w:rFonts w:ascii="Times New Roman" w:cs="Times New Roman" w:eastAsia="Times New Roman" w:hAnsi="Times New Roman"/>
          <w:sz w:val="18"/>
          <w:szCs w:val="18"/>
          <w:color w:val="auto"/>
        </w:rPr>
      </w:pPr>
    </w:p>
    <w:p>
      <w:pPr>
        <w:jc w:val="both"/>
        <w:ind w:firstLine="1505"/>
        <w:spacing w:after="0" w:line="219" w:lineRule="exact"/>
        <w:tabs>
          <w:tab w:leader="none" w:pos="20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or the Restrictive Covenants Agreements is intended to constitute a separate payment for purposes of Treasury Regulation Section 1.409A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202"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such Section.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1" w:name="page102"/>
    <w:bookmarkEnd w:id="101"/>
    <w:p>
      <w:pPr>
        <w:ind w:left="1020" w:hanging="26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05"/>
        <w:spacing w:after="0" w:line="255" w:lineRule="auto"/>
        <w:tabs>
          <w:tab w:leader="none" w:pos="203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 Agreement</w:t>
      </w:r>
      <w:r>
        <w:rPr>
          <w:rFonts w:ascii="Times New Roman" w:cs="Times New Roman" w:eastAsia="Times New Roman" w:hAnsi="Times New Roman"/>
          <w:sz w:val="18"/>
          <w:szCs w:val="18"/>
          <w:color w:val="auto"/>
        </w:rPr>
        <w:t xml:space="preserve">. The Disc Medicine, Inc. Employee Confidentiality, Assignment, Nonsolicitation and Noncompetition Agreement effective as of November 1, 2019, the First Amendment to Offer Letter, dated January 29, 2020 and the Disc Medicine Employee Confidentiality, Assignment, Nonsolicitation and Noncompetition Agreement dated January 29, 2020, each between the Company and you (the “Restrictive Covenants Agreements”),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continue to be in full force and effect. You acknowledge and agree that your eligibility for enhanced severance benefits provided by this Agreement constitutes additional, fair and reasonable consideration independent from the continuation of your employment, for the Restrictive Covenants Agreements. For purposes of this Agreement, the obligations in this Section 8 and those that arise in the Restrictive Covenants Agreements shall collectively be referred to as the “Continuing Obligations.”</w:t>
      </w:r>
    </w:p>
    <w:p>
      <w:pPr>
        <w:spacing w:after="0" w:line="188" w:lineRule="exact"/>
        <w:rPr>
          <w:rFonts w:ascii="Times New Roman" w:cs="Times New Roman" w:eastAsia="Times New Roman" w:hAnsi="Times New Roman"/>
          <w:sz w:val="18"/>
          <w:szCs w:val="18"/>
          <w:color w:val="auto"/>
        </w:rPr>
      </w:pPr>
    </w:p>
    <w:p>
      <w:pPr>
        <w:jc w:val="both"/>
        <w:ind w:firstLine="1505"/>
        <w:spacing w:after="0" w:line="255" w:lineRule="auto"/>
        <w:tabs>
          <w:tab w:leader="none" w:pos="203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Third-Party Agreements and Rights</w:t>
      </w:r>
      <w:r>
        <w:rPr>
          <w:rFonts w:ascii="Times New Roman" w:cs="Times New Roman" w:eastAsia="Times New Roman" w:hAnsi="Times New Roman"/>
          <w:sz w:val="18"/>
          <w:szCs w:val="18"/>
          <w:color w:val="auto"/>
        </w:rPr>
        <w:t>. You hereby confirm that you are not bound by the terms of any agreement with any previous employer or other party which restricts in any way your use or disclosure of information, other than confidentiality restrictions (if any), or your engagement in any business. You represent to the Company that your execution of this Agreement, your employment with the Company and the performance of your proposed duties for the Company will not violate any obligations you may have to any such previous employer or other party. In your work for the Company, you will not disclose or make use of any information in violation of any agreements with or rights of any such previous employer or other party, and you will not bring to the premises of the Company any copies or other tangible embodiments of non-public information belonging to or obtained from any such previous employment or other party.</w:t>
      </w:r>
    </w:p>
    <w:p>
      <w:pPr>
        <w:spacing w:after="0" w:line="188" w:lineRule="exact"/>
        <w:rPr>
          <w:rFonts w:ascii="Times New Roman" w:cs="Times New Roman" w:eastAsia="Times New Roman" w:hAnsi="Times New Roman"/>
          <w:sz w:val="18"/>
          <w:szCs w:val="18"/>
          <w:color w:val="auto"/>
        </w:rPr>
      </w:pPr>
    </w:p>
    <w:p>
      <w:pPr>
        <w:jc w:val="both"/>
        <w:ind w:firstLine="1505"/>
        <w:spacing w:after="0" w:line="255" w:lineRule="auto"/>
        <w:tabs>
          <w:tab w:leader="none" w:pos="203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 and Regulatory Cooperation</w:t>
      </w:r>
      <w:r>
        <w:rPr>
          <w:rFonts w:ascii="Times New Roman" w:cs="Times New Roman" w:eastAsia="Times New Roman" w:hAnsi="Times New Roman"/>
          <w:sz w:val="18"/>
          <w:szCs w:val="18"/>
          <w:color w:val="auto"/>
        </w:rPr>
        <w:t>. During and after your employment, you shall reasonably cooperate fully with the Company in (i) the defense or prosecution of any claims or actions now in existence or which may be brought in the future against or on behalf of the Company which relate to events or occurrences that transpired while you were employed by the Company, and (ii) the investigation, whether internal or external, of any matters about which the Company believes you may have knowledge or information. Your full reasonable cooperation in connection with such claims, actions or investigations shall include, but not be limited to, being available to meet with counsel to answer questions or to prepare for discovery or trial and to act as a witness on behalf of the Company at mutually convenient times. During and after your employment, you also shall 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1755775</wp:posOffset>
            </wp:positionH>
            <wp:positionV relativeFrom="paragraph">
              <wp:posOffset>-3322955</wp:posOffset>
            </wp:positionV>
            <wp:extent cx="2857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2" w:name="page103"/>
    <w:bookmarkEnd w:id="102"/>
    <w:p>
      <w:pPr>
        <w:jc w:val="both"/>
        <w:spacing w:after="0" w:line="219" w:lineRule="exact"/>
        <w:rPr>
          <w:sz w:val="20"/>
          <w:szCs w:val="20"/>
          <w:color w:val="auto"/>
        </w:rPr>
      </w:pPr>
      <w:r>
        <w:rPr>
          <w:rFonts w:ascii="Times New Roman" w:cs="Times New Roman" w:eastAsia="Times New Roman" w:hAnsi="Times New Roman"/>
          <w:sz w:val="18"/>
          <w:szCs w:val="18"/>
          <w:color w:val="auto"/>
        </w:rPr>
        <w:t>cooperate fully with the Company in connection with any investigation or review of any federal, state or local regulatory authority as any such investigation or review relates to events or occurrences that transpired while you were employed by the Company. The Company shall reimburse you for any reasonable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expenses incurred in connection with your performance of obligations pursuant to this Section 8(c). The Company agrees that if you have provided fifteen (15) hours of cooperation to the Company after your Date of Termination, the Company shall pay you an hourly rate of $450 for any additional hours of cooperation, over the initial fifteen (15) hours, except for your testimony pursuant to a lawfully issued summons or subpoena. The Company further agrees that it will pay/reimburse your reasonable out-of-pocket expenses and fees within thirty (30) days of your submission of receipts and invoices to the Company.</w:t>
      </w:r>
    </w:p>
    <w:p>
      <w:pPr>
        <w:spacing w:after="0" w:line="201" w:lineRule="exact"/>
        <w:rPr>
          <w:sz w:val="20"/>
          <w:szCs w:val="20"/>
          <w:color w:val="auto"/>
        </w:rPr>
      </w:pPr>
    </w:p>
    <w:p>
      <w:pPr>
        <w:jc w:val="both"/>
        <w:ind w:firstLine="1505"/>
        <w:spacing w:after="0" w:line="258" w:lineRule="auto"/>
        <w:tabs>
          <w:tab w:leader="none" w:pos="20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Relief</w:t>
      </w:r>
      <w:r>
        <w:rPr>
          <w:rFonts w:ascii="Times New Roman" w:cs="Times New Roman" w:eastAsia="Times New Roman" w:hAnsi="Times New Roman"/>
          <w:sz w:val="18"/>
          <w:szCs w:val="18"/>
          <w:color w:val="auto"/>
        </w:rPr>
        <w:t>. You agree that it may be difficult to measure any damages caused to the Company which might result from any breach by you of the Continuing Obligations, and that in any event money damages may be an inadequate remedy for any such breach. Accordingly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you agree that if you breach, or propose to breach, any portion of the Continuing Obligations, the Company shall be entitled, in addition to all other remedies that it may have, to seek an injunction or other appropriate equitable relief to restrain any such breach without showing or proving any actual damage to the Company.</w:t>
      </w:r>
    </w:p>
    <w:p>
      <w:pPr>
        <w:spacing w:after="0" w:line="183" w:lineRule="exact"/>
        <w:rPr>
          <w:rFonts w:ascii="Times New Roman" w:cs="Times New Roman" w:eastAsia="Times New Roman" w:hAnsi="Times New Roman"/>
          <w:sz w:val="18"/>
          <w:szCs w:val="18"/>
          <w:color w:val="auto"/>
        </w:rPr>
      </w:pPr>
    </w:p>
    <w:p>
      <w:pPr>
        <w:jc w:val="both"/>
        <w:ind w:firstLine="1505"/>
        <w:spacing w:after="0" w:line="253" w:lineRule="auto"/>
        <w:tabs>
          <w:tab w:leader="none" w:pos="20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Protected Activities; Defend Trade Secrets Act of 2016</w:t>
      </w:r>
      <w:r>
        <w:rPr>
          <w:rFonts w:ascii="Times New Roman" w:cs="Times New Roman" w:eastAsia="Times New Roman" w:hAnsi="Times New Roman"/>
          <w:sz w:val="18"/>
          <w:szCs w:val="18"/>
          <w:color w:val="auto"/>
        </w:rPr>
        <w:t>. Nothing contained in this Agreement, any other agreement with the Company or any Company policy limits your ability, with or without notice to the Company, to: (i) file a charge or complaint with any federal, state or local governmental agency or commission (a “Government Agency”), including without limitation, the Equal Employment Opportunity Commission, the National Labor Relations Board or the Securities and Exchange Commission; (ii) communicate with any Government Agency or otherwise participate in any investigation or proceeding that may be conducted by an Government Agency, including by providing non-privileged documents or information; (iii) exercise any rights under Section 7 of the National Labor Relations Act, which are available to non-supervisory employees, including assisting co-workers with or discussing any employment issue as part of engaging in concerted activities for purpose of mutual aid or protection; (iv) discuss or disclose information about unlawful acts in the workplace, such as harassment or discrimination or any other conduct that you have to believe is unlawful; or (v) testify truthfully in a legal proceeding. Any such communications and disclosures must not violate applicable law and the information disclosed must not have been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3" w:name="page104"/>
    <w:bookmarkEnd w:id="103"/>
    <w:p>
      <w:pPr>
        <w:jc w:val="both"/>
        <w:spacing w:after="0" w:line="256" w:lineRule="auto"/>
        <w:rPr>
          <w:sz w:val="20"/>
          <w:szCs w:val="20"/>
          <w:color w:val="auto"/>
        </w:rPr>
      </w:pPr>
      <w:r>
        <w:rPr>
          <w:rFonts w:ascii="Times New Roman" w:cs="Times New Roman" w:eastAsia="Times New Roman" w:hAnsi="Times New Roman"/>
          <w:sz w:val="18"/>
          <w:szCs w:val="18"/>
          <w:color w:val="auto"/>
        </w:rPr>
        <w:t>obtained through a communication that was subject to the attorney-client privilege (unless disclosure of that information would otherwise be permitted consistent with such privilege or applicable law). In addition, pursuant to the federal Defend Trade Secrets Act of 2016, you shall not be held criminally or civilly liable under any federal or state trade secret law or under this Agreement or the Restrictive Covenants Agreements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87" w:lineRule="exact"/>
        <w:rPr>
          <w:sz w:val="20"/>
          <w:szCs w:val="20"/>
          <w:color w:val="auto"/>
        </w:rPr>
      </w:pPr>
    </w:p>
    <w:p>
      <w:pPr>
        <w:ind w:left="1020" w:hanging="26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of Disputes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05"/>
        <w:spacing w:after="0" w:line="253" w:lineRule="auto"/>
        <w:tabs>
          <w:tab w:leader="none" w:pos="203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Generally</w:t>
      </w:r>
      <w:r>
        <w:rPr>
          <w:rFonts w:ascii="Times New Roman" w:cs="Times New Roman" w:eastAsia="Times New Roman" w:hAnsi="Times New Roman"/>
          <w:sz w:val="18"/>
          <w:szCs w:val="18"/>
          <w:color w:val="auto"/>
        </w:rPr>
        <w:t>. Any controversy or claim arising out of or relating to this Agreement or the breach thereof or otherwise arising out of your employment or the termination of that employment (including, without limitation, any claims of unlawful employment discrimination or retaliation, whether based on race, religion, national origin, sex, gender, age, disability, sexual orientation, or any other protected class under applicable law, including without limitation Massachusetts General Laws Chapter 151B) shall, to the fullest extent permitted by law, be settled by arbitration in any forum and form agreed upon by the parties or, in the absence of such an agreement, under the auspices of JAMS in Boston, Massachusetts in accordance with the JAMS Employment Arbitration Rules, including, but not limited to, the rules and procedures applicable to the selection of arbitrators. You understand that you may only bring such claims in your individual capacity, and not as a plaintiff or class member in any purported class proceeding or any purported representative proceeding. You further understand that, by signing this Agreement, the Company and you are giving up any right they may have to a jury trial on all claims they may have against each other. Judgment upon the award rendered by the arbitrator may be entered in any court having jurisdiction thereof. This Section 9 shall be specifically enforceable. Notwithstanding the foregoing, this Section 9 shall not preclude either party from pursuing a court action for the sole purpose of obtaining a temporary restraining order or a preliminary injunction in circumstances in which such relief is appropriate, including without limitation relief sought under the Restrictive Covenants Agreements; provided that any other relief shall be pursued through an arbitration proceeding pursuant to this Section 9.</w:t>
      </w:r>
    </w:p>
    <w:p>
      <w:pPr>
        <w:spacing w:after="0" w:line="187"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Fees and Costs</w:t>
      </w:r>
      <w:r>
        <w:rPr>
          <w:rFonts w:ascii="Times New Roman" w:cs="Times New Roman" w:eastAsia="Times New Roman" w:hAnsi="Times New Roman"/>
          <w:sz w:val="18"/>
          <w:szCs w:val="18"/>
          <w:color w:val="auto"/>
        </w:rPr>
        <w:t>. You shall be required to pay an arbitration fee to initiate any arbitration equal to what you would be charged as a first appearance fee in court. The Company shall pay the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4" w:name="page105"/>
    <w:bookmarkEnd w:id="104"/>
    <w:p>
      <w:pPr>
        <w:jc w:val="both"/>
        <w:spacing w:after="0" w:line="266" w:lineRule="auto"/>
        <w:rPr>
          <w:sz w:val="20"/>
          <w:szCs w:val="20"/>
          <w:color w:val="auto"/>
        </w:rPr>
      </w:pPr>
      <w:r>
        <w:rPr>
          <w:rFonts w:ascii="Times New Roman" w:cs="Times New Roman" w:eastAsia="Times New Roman" w:hAnsi="Times New Roman"/>
          <w:sz w:val="18"/>
          <w:szCs w:val="18"/>
          <w:color w:val="auto"/>
        </w:rPr>
        <w:t>remaining fees and costs of the arbitrator. Each party shall pay its own costs and attorneys’ fees, if any. If, however, any party prevails on a statutory or contractual claim that entitles the prevailing party to attorneys’ fees (including pursuant to this Agreement), the arbitrator will award attorneys’ fees to the prevailing party to the extent permitted by law.</w:t>
      </w:r>
    </w:p>
    <w:p>
      <w:pPr>
        <w:spacing w:after="0" w:line="176" w:lineRule="exact"/>
        <w:rPr>
          <w:sz w:val="20"/>
          <w:szCs w:val="20"/>
          <w:color w:val="auto"/>
        </w:rPr>
      </w:pPr>
    </w:p>
    <w:p>
      <w:pPr>
        <w:jc w:val="both"/>
        <w:ind w:firstLine="757"/>
        <w:spacing w:after="0" w:line="258" w:lineRule="auto"/>
        <w:tabs>
          <w:tab w:leader="none" w:pos="101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To the extent that any court action is permitted consistent with or to enforce Section 9 of this Agreement, the parties hereby consent to the jurisdiction of the state and federal courts of the Commonwealth of Massachusetts. Accordingly, with respect to any such court action, you (a) submit to the exclusive personal jurisdiction of such courts; (b) consent to service of process; (c) waive any other requirement (whether imposed by statute, rule of court, or otherwise) with respect to personal jurisdiction or service of process and (d) you and the Company waive any right to a jury in connection with any such court action.</w:t>
      </w:r>
    </w:p>
    <w:p>
      <w:pPr>
        <w:spacing w:after="0" w:line="183"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“Indemnification Agreement” between the Company and you, dated December 29, 2022 (the “Indemnification Agreement”) is hereby incorporated by reference.</w:t>
      </w:r>
    </w:p>
    <w:p>
      <w:pPr>
        <w:spacing w:after="0" w:line="161" w:lineRule="exact"/>
        <w:rPr>
          <w:rFonts w:ascii="Times New Roman" w:cs="Times New Roman" w:eastAsia="Times New Roman" w:hAnsi="Times New Roman"/>
          <w:sz w:val="18"/>
          <w:szCs w:val="18"/>
          <w:color w:val="auto"/>
        </w:rPr>
      </w:pPr>
    </w:p>
    <w:p>
      <w:pPr>
        <w:jc w:val="both"/>
        <w:ind w:firstLine="757"/>
        <w:spacing w:after="0" w:line="266" w:lineRule="auto"/>
        <w:tabs>
          <w:tab w:leader="none" w:pos="101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Mitigation</w:t>
      </w:r>
      <w:r>
        <w:rPr>
          <w:rFonts w:ascii="Times New Roman" w:cs="Times New Roman" w:eastAsia="Times New Roman" w:hAnsi="Times New Roman"/>
          <w:sz w:val="18"/>
          <w:szCs w:val="18"/>
          <w:color w:val="auto"/>
        </w:rPr>
        <w:t>. The Company agrees that if your employment by the Company is terminated during the term of this Agreement, you are not required to seek other employment or to attempt in any way to reduce any amounts payable to you by the Company pursuant to Sections 5 or 6 hereof. Further, the amount of any payment provided for in this Agreement shall not be reduced by any compensation earned by you.</w:t>
      </w:r>
    </w:p>
    <w:p>
      <w:pPr>
        <w:spacing w:after="0" w:line="175" w:lineRule="exact"/>
        <w:rPr>
          <w:rFonts w:ascii="Times New Roman" w:cs="Times New Roman" w:eastAsia="Times New Roman" w:hAnsi="Times New Roman"/>
          <w:sz w:val="18"/>
          <w:szCs w:val="18"/>
          <w:color w:val="auto"/>
        </w:rPr>
      </w:pPr>
    </w:p>
    <w:p>
      <w:pPr>
        <w:jc w:val="both"/>
        <w:ind w:firstLine="757"/>
        <w:spacing w:after="0" w:line="266" w:lineRule="auto"/>
        <w:tabs>
          <w:tab w:leader="none" w:pos="101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the subject matter hereof and supersedes all prior agreements between the parties concerning such subject matter, including the Prior Agreement, provided that the Restrictive Covenants Agreements, the Indemnification Agreement and the Equity Documents remain in full force and effect.</w:t>
      </w:r>
    </w:p>
    <w:p>
      <w:pPr>
        <w:spacing w:after="0" w:line="175" w:lineRule="exact"/>
        <w:rPr>
          <w:rFonts w:ascii="Times New Roman" w:cs="Times New Roman" w:eastAsia="Times New Roman" w:hAnsi="Times New Roman"/>
          <w:sz w:val="18"/>
          <w:szCs w:val="18"/>
          <w:color w:val="auto"/>
        </w:rPr>
      </w:pPr>
    </w:p>
    <w:p>
      <w:pPr>
        <w:jc w:val="both"/>
        <w:ind w:firstLine="757"/>
        <w:spacing w:after="0" w:line="266" w:lineRule="auto"/>
        <w:tabs>
          <w:tab w:leader="none" w:pos="101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 Effect</w:t>
      </w:r>
      <w:r>
        <w:rPr>
          <w:rFonts w:ascii="Times New Roman" w:cs="Times New Roman" w:eastAsia="Times New Roman" w:hAnsi="Times New Roman"/>
          <w:sz w:val="18"/>
          <w:szCs w:val="18"/>
          <w:color w:val="auto"/>
        </w:rPr>
        <w:t>. All payments made by the Company to you under this Agreement shall be net of any tax or other amounts required to be withheld by the Company under applicable law. Nothing in this Agreement shall be construed to require the Company to make any payments to compensate you for any adverse tax effect associated with any payments or benefits or for any deduction or withholding from any payment or benefit.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5" w:name="page106"/>
    <w:bookmarkEnd w:id="105"/>
    <w:p>
      <w:pPr>
        <w:jc w:val="both"/>
        <w:ind w:firstLine="757"/>
        <w:spacing w:after="0" w:line="254" w:lineRule="auto"/>
        <w:tabs>
          <w:tab w:leader="none" w:pos="101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you nor the Company may make any assignment of this Agreement or any interest in it, by operation of law or otherwise, without the prior written consent of the other; provided, however, that the Company may assign its rights and obligations under this Agreement (including the Restrictive Covenants Agreements) without your consent to any affiliate or to any person or entity with whom the Company shall hereafter effect a reorganization, consolidate with, or merge into or to whom it transfers all or substantially all of its properties or assets, but only on the condition that it assigns both its rights and obligations. This Agreement shall inure to the benefit of and be binding upon you and the Company, and each of yours and the Company’s respective successors, executors, administrators, heirs, personal representatives, and permitted assigns. In the event of your death prior to the completion by the Company of any payments due to you under Sections 5 or 6 of this Agreement, the Company shall continue such payments to the beneficiary you designated in writing to the Company prior to your death, or to your estate, heirs, executors or personal representatives if you failed to make such designation.</w:t>
      </w:r>
    </w:p>
    <w:p>
      <w:pPr>
        <w:spacing w:after="0" w:line="188" w:lineRule="exact"/>
        <w:rPr>
          <w:rFonts w:ascii="Times New Roman" w:cs="Times New Roman" w:eastAsia="Times New Roman" w:hAnsi="Times New Roman"/>
          <w:sz w:val="18"/>
          <w:szCs w:val="18"/>
          <w:color w:val="auto"/>
        </w:rPr>
      </w:pPr>
    </w:p>
    <w:p>
      <w:pPr>
        <w:jc w:val="both"/>
        <w:ind w:right="20" w:firstLine="757"/>
        <w:spacing w:after="0" w:line="261" w:lineRule="auto"/>
        <w:tabs>
          <w:tab w:leader="none" w:pos="101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9"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provisions of this Agreement shall survive the termination of this Agreement and/or the termination of your employment to the extent necessary to effectuate the terms contained herein.</w:t>
      </w:r>
    </w:p>
    <w:p>
      <w:pPr>
        <w:spacing w:after="0" w:line="161" w:lineRule="exact"/>
        <w:rPr>
          <w:rFonts w:ascii="Times New Roman" w:cs="Times New Roman" w:eastAsia="Times New Roman" w:hAnsi="Times New Roman"/>
          <w:sz w:val="18"/>
          <w:szCs w:val="18"/>
          <w:color w:val="auto"/>
        </w:rPr>
      </w:pPr>
    </w:p>
    <w:p>
      <w:pPr>
        <w:jc w:val="both"/>
        <w:ind w:firstLine="757"/>
        <w:spacing w:after="0" w:line="266" w:lineRule="auto"/>
        <w:tabs>
          <w:tab w:leader="none" w:pos="101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75" w:lineRule="exact"/>
        <w:rPr>
          <w:rFonts w:ascii="Times New Roman" w:cs="Times New Roman" w:eastAsia="Times New Roman" w:hAnsi="Times New Roman"/>
          <w:sz w:val="18"/>
          <w:szCs w:val="18"/>
          <w:color w:val="auto"/>
        </w:rPr>
      </w:pPr>
    </w:p>
    <w:p>
      <w:pPr>
        <w:jc w:val="both"/>
        <w:ind w:firstLine="757"/>
        <w:spacing w:after="0" w:line="266" w:lineRule="auto"/>
        <w:tabs>
          <w:tab w:leader="none" w:pos="101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you at the last address you have on file in writing with the Company or, in the case of the Company, at its main offices, attention of the Board.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6" w:name="page107"/>
    <w:bookmarkEnd w:id="106"/>
    <w:p>
      <w:pPr>
        <w:ind w:firstLine="757"/>
        <w:spacing w:after="0" w:line="282" w:lineRule="auto"/>
        <w:tabs>
          <w:tab w:leader="none" w:pos="101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or modified only by a written instrument signed by you and by a duly authorized representative of the Company.</w:t>
      </w:r>
    </w:p>
    <w:p>
      <w:pPr>
        <w:spacing w:after="0" w:line="161" w:lineRule="exact"/>
        <w:rPr>
          <w:rFonts w:ascii="Times New Roman" w:cs="Times New Roman" w:eastAsia="Times New Roman" w:hAnsi="Times New Roman"/>
          <w:sz w:val="18"/>
          <w:szCs w:val="18"/>
          <w:color w:val="auto"/>
        </w:rPr>
      </w:pPr>
    </w:p>
    <w:p>
      <w:pPr>
        <w:jc w:val="both"/>
        <w:ind w:firstLine="757"/>
        <w:spacing w:after="0" w:line="254" w:lineRule="auto"/>
        <w:tabs>
          <w:tab w:leader="none" w:pos="101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Other Plans and Agreements</w:t>
      </w:r>
      <w:r>
        <w:rPr>
          <w:rFonts w:ascii="Times New Roman" w:cs="Times New Roman" w:eastAsia="Times New Roman" w:hAnsi="Times New Roman"/>
          <w:sz w:val="18"/>
          <w:szCs w:val="18"/>
          <w:color w:val="auto"/>
        </w:rPr>
        <w:t>. An election by you to resign for Good Reason under the provisions of this Agreement shall not be deemed a voluntary termination of employment by you for the purpose of interpreting the provisions of any of the Company's benefit plans, programs or policies. Nothing in this Agreement shall be construed to limit the rights of you under the Company’s benefit plans, programs or policies except as otherwise provided in Section 8 hereof, and except that you shall have no rights to any severance benefits under any Company severance pay plan, offer letter or otherwise. In the event that you are a party to an agreement with the Company providing for payments or benefits under such plan or agreement and under this Agreement, the terms of this Agreement shall govern and you may receive payment under this Agreement only and not both. Further, Section 5 and Section 6 of this Agreement are mutually exclusive and in no event shall you be entitled to payments or benefits pursuant to both Section 5 and Section 6 of this Agreement.</w:t>
      </w:r>
    </w:p>
    <w:p>
      <w:pPr>
        <w:spacing w:after="0" w:line="191" w:lineRule="exact"/>
        <w:rPr>
          <w:rFonts w:ascii="Times New Roman" w:cs="Times New Roman" w:eastAsia="Times New Roman" w:hAnsi="Times New Roman"/>
          <w:sz w:val="18"/>
          <w:szCs w:val="18"/>
          <w:color w:val="auto"/>
        </w:rPr>
      </w:pPr>
    </w:p>
    <w:p>
      <w:pPr>
        <w:jc w:val="both"/>
        <w:ind w:firstLine="757"/>
        <w:spacing w:after="0" w:line="263" w:lineRule="auto"/>
        <w:tabs>
          <w:tab w:leader="none" w:pos="101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is a Massachusetts contract and shall be construed under and be governed in all respects by the laws of the Commonwealth of Massachusetts, without giving effect to the conflict of laws principles thereof. With respect to any disputes concerning federal law, such disputes shall be determined in accordance with the law as it would be interpreted and applied by the United States Court of Appeals for the First Circuit.</w:t>
      </w:r>
    </w:p>
    <w:p>
      <w:pPr>
        <w:spacing w:after="0" w:line="399"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effective on the Effective Date.</w:t>
      </w:r>
    </w:p>
    <w:p>
      <w:pPr>
        <w:spacing w:after="0" w:line="11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229" w:lineRule="exact"/>
        <w:rPr>
          <w:sz w:val="20"/>
          <w:szCs w:val="20"/>
          <w:color w:val="auto"/>
        </w:rPr>
      </w:pPr>
    </w:p>
    <w:p>
      <w:pPr>
        <w:ind w:left="6100"/>
        <w:spacing w:after="0"/>
        <w:tabs>
          <w:tab w:leader="none" w:pos="6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Donald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17145</wp:posOffset>
            </wp:positionV>
            <wp:extent cx="24942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6100"/>
        <w:spacing w:after="0"/>
        <w:tabs>
          <w:tab w:leader="none" w:pos="6540" w:val="left"/>
        </w:tabs>
        <w:rPr>
          <w:sz w:val="20"/>
          <w:szCs w:val="20"/>
          <w:color w:val="auto"/>
        </w:rPr>
      </w:pPr>
      <w:r>
        <w:rPr>
          <w:rFonts w:ascii="Times New Roman" w:cs="Times New Roman" w:eastAsia="Times New Roman" w:hAnsi="Times New Roman"/>
          <w:sz w:val="18"/>
          <w:szCs w:val="18"/>
          <w:color w:val="auto"/>
        </w:rPr>
        <w:t>Its:</w:t>
        <w:tab/>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14605</wp:posOffset>
            </wp:positionV>
            <wp:extent cx="24942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00" w:lineRule="exact"/>
        <w:rPr>
          <w:sz w:val="20"/>
          <w:szCs w:val="20"/>
          <w:color w:val="auto"/>
        </w:rPr>
      </w:pPr>
    </w:p>
    <w:p>
      <w:pPr>
        <w:spacing w:after="0" w:line="245" w:lineRule="exact"/>
        <w:rPr>
          <w:sz w:val="20"/>
          <w:szCs w:val="20"/>
          <w:color w:val="auto"/>
        </w:rPr>
      </w:pPr>
    </w:p>
    <w:p>
      <w:pPr>
        <w:ind w:left="6100"/>
        <w:spacing w:after="0"/>
        <w:tabs>
          <w:tab w:leader="none" w:pos="6540" w:val="left"/>
        </w:tabs>
        <w:rPr>
          <w:sz w:val="20"/>
          <w:szCs w:val="20"/>
          <w:color w:val="auto"/>
        </w:rPr>
      </w:pPr>
      <w:r>
        <w:rPr>
          <w:rFonts w:ascii="Times New Roman" w:cs="Times New Roman" w:eastAsia="Times New Roman" w:hAnsi="Times New Roman"/>
          <w:sz w:val="17"/>
          <w:szCs w:val="17"/>
          <w:color w:val="auto"/>
        </w:rPr>
        <w:t>/s/</w:t>
      </w:r>
      <w:r>
        <w:rPr>
          <w:sz w:val="20"/>
          <w:szCs w:val="20"/>
          <w:color w:val="auto"/>
        </w:rPr>
        <w:tab/>
      </w:r>
      <w:r>
        <w:rPr>
          <w:rFonts w:ascii="Times New Roman" w:cs="Times New Roman" w:eastAsia="Times New Roman" w:hAnsi="Times New Roman"/>
          <w:sz w:val="17"/>
          <w:szCs w:val="17"/>
          <w:color w:val="auto"/>
        </w:rPr>
        <w:t>John D. Quisel, J.D.,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3877310</wp:posOffset>
            </wp:positionH>
            <wp:positionV relativeFrom="paragraph">
              <wp:posOffset>24765</wp:posOffset>
            </wp:positionV>
            <wp:extent cx="27774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John D. Quisel, J.D., Ph.D.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17" w:right="1440"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Restrictive Covenants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906145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EMPLOYMENT AGREEMENT</w:t>
      </w:r>
    </w:p>
    <w:p>
      <w:pPr>
        <w:spacing w:after="0" w:line="33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This Amended and Restated Employment Agreement (“Agreement”) is made between Disc Medicine, Inc., (the “Company”), and Jean Franchi (“You”) and is effective as of July 29, 2026 (the “Effective Date”). Except with respect to the Restrictive Covenants Agreement, the Indemnification Agreement and the Equity Documents (each as defined below), this Agreement supersedes in all respects all prior agreements between you and the Company regarding the subject matter herein, including without limitation the employment agreement between you and the Company (the “Prior Agreement”).</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WHEREAS, the Company desires to continue to employ you and you desire to continue to be employed by the Company on the new terms and conditions contained herein.</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62" w:lineRule="exact"/>
        <w:rPr>
          <w:sz w:val="20"/>
          <w:szCs w:val="20"/>
          <w:color w:val="auto"/>
        </w:rPr>
      </w:pPr>
    </w:p>
    <w:p>
      <w:pPr>
        <w:ind w:left="1020" w:hanging="26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Company shall employ you and you shall be employed by the Company pursuant to this Agreement commencing as of the Effective Date and continuing until such employment is terminated in accordance with the provisions hereof (the “Term”). Your employment with the Company will continue to be “at will,” meaning that your employment may be terminated by the Company or you at any time and for any reason subject to the terms of this Agreement.</w:t>
      </w:r>
    </w:p>
    <w:p>
      <w:pPr>
        <w:spacing w:after="0" w:line="179"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 You shall serve as the Chief Financial Officer of the Company and shall report directly to the Chief Executive Officer (“CEO”). You shall have such powers and duties as may from time to time be prescribed by the CEO or other duly authorized executive which are consistent with your position as Chief Financial Officer. You shall devote your full working time and efforts to the business and affairs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0" w:name="page111"/>
    <w:bookmarkEnd w:id="110"/>
    <w:p>
      <w:pPr>
        <w:jc w:val="both"/>
        <w:spacing w:after="0" w:line="255" w:lineRule="auto"/>
        <w:rPr>
          <w:sz w:val="20"/>
          <w:szCs w:val="20"/>
          <w:color w:val="auto"/>
        </w:rPr>
      </w:pPr>
      <w:r>
        <w:rPr>
          <w:rFonts w:ascii="Times New Roman" w:cs="Times New Roman" w:eastAsia="Times New Roman" w:hAnsi="Times New Roman"/>
          <w:sz w:val="18"/>
          <w:szCs w:val="18"/>
          <w:color w:val="auto"/>
        </w:rPr>
        <w:t>Company. Notwithstanding the foregoing, you may serve on other boards of directors, with the approval of the Board of Directors of the Company (including any committee thereof, the “Board”), which approval shall not unreasonably be withheld by the Board, or engage in religious, charitable or other community activities as long as such services and activities are disclosed to the Board and do not interfere with your performance of your duties to the Company. Your service as a board member of Biodesix, Inc. remains approved. To the extent applicable, you shall be deemed to have resigned from all officer and, if applicable, board member positions that you hold with the Company or any of its respective subsidiaries and affiliates upon the termination of your employment for any reason. You shall execute any documents in reasonable form as may be requested to confirm or effectuate any such resignations.</w:t>
      </w:r>
    </w:p>
    <w:p>
      <w:pPr>
        <w:spacing w:after="0" w:line="189" w:lineRule="exact"/>
        <w:rPr>
          <w:sz w:val="20"/>
          <w:szCs w:val="20"/>
          <w:color w:val="auto"/>
        </w:rPr>
      </w:pPr>
    </w:p>
    <w:p>
      <w:pPr>
        <w:ind w:left="1020" w:hanging="26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Related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05"/>
        <w:spacing w:after="0" w:line="258" w:lineRule="auto"/>
        <w:tabs>
          <w:tab w:leader="none" w:pos="203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Your initial base salary shall be paid at the rate of $550,000 per year. Your base salary shall be subject to periodic review and increase (but not decrease, except for an across-the-board reduction of no greater than 10% based on the Company’s financial performance similarly affecting all or substantially all senior management employees of the Company) by the Board or the Compensation Committee of the Board (the “Compensation Committee”). The base salary in effect at any given time is referred to herein as “Base Salary.” The Base Salary shall be payable in a manner that is consistent with the Company’s usual payroll practices for executive officers.</w:t>
      </w:r>
    </w:p>
    <w:p>
      <w:pPr>
        <w:spacing w:after="0" w:line="183" w:lineRule="exact"/>
        <w:rPr>
          <w:rFonts w:ascii="Times New Roman" w:cs="Times New Roman" w:eastAsia="Times New Roman" w:hAnsi="Times New Roman"/>
          <w:sz w:val="18"/>
          <w:szCs w:val="18"/>
          <w:color w:val="auto"/>
        </w:rPr>
      </w:pPr>
    </w:p>
    <w:p>
      <w:pPr>
        <w:jc w:val="both"/>
        <w:ind w:firstLine="1505"/>
        <w:spacing w:after="0" w:line="255" w:lineRule="auto"/>
        <w:tabs>
          <w:tab w:leader="none" w:pos="203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You shall be eligible to receive cash incentive compensation as determined by the Board or the Compensation Committee from time to time. Your target annual incentive compensation shall be forty-five percent (45%) of your Base Salary. The target annual incentive compensation in effect at any given time is referred to herein as “Target Bonus.” The actual amount of your annual incentive compensation, if any, shall be determined in the sole discretion of the Board or the Compensation Committee, subject to the terms of any applicable incentive compensation plan that may be in effect from time to time (the “Bonus”). Except as otherwise provided herein, to earn incentive compensation, you must be employed by the Company on the day such incentive compensation is paid. The incentive compensation for each fiscal year will be paid no later than two and a half months following such fiscal year.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1" w:name="page112"/>
    <w:bookmarkEnd w:id="111"/>
    <w:p>
      <w:pPr>
        <w:ind w:firstLine="1505"/>
        <w:spacing w:after="0" w:line="282" w:lineRule="auto"/>
        <w:tabs>
          <w:tab w:leader="none" w:pos="203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You shall be entitled to receive prompt reimbursement for all reasonable expenses incurred by you during the Term in performing services hereunder, in accordance with the policies and procedures then in effect and established by the Company for its executive officers.</w:t>
      </w:r>
    </w:p>
    <w:p>
      <w:pPr>
        <w:spacing w:after="0" w:line="161"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 You shall be eligible to participate in or receive benefits under the Company’s employee benefit plans in effect from time to time, subject to the terms of such plans.</w:t>
      </w:r>
    </w:p>
    <w:p>
      <w:pPr>
        <w:spacing w:after="0" w:line="161" w:lineRule="exact"/>
        <w:rPr>
          <w:rFonts w:ascii="Times New Roman" w:cs="Times New Roman" w:eastAsia="Times New Roman" w:hAnsi="Times New Roman"/>
          <w:sz w:val="18"/>
          <w:szCs w:val="18"/>
          <w:color w:val="auto"/>
        </w:rPr>
      </w:pPr>
    </w:p>
    <w:p>
      <w:pPr>
        <w:ind w:right="20" w:firstLine="1505"/>
        <w:spacing w:after="0" w:line="282" w:lineRule="auto"/>
        <w:tabs>
          <w:tab w:leader="none" w:pos="203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Paid Time Off</w:t>
      </w:r>
      <w:r>
        <w:rPr>
          <w:rFonts w:ascii="Times New Roman" w:cs="Times New Roman" w:eastAsia="Times New Roman" w:hAnsi="Times New Roman"/>
          <w:sz w:val="18"/>
          <w:szCs w:val="18"/>
          <w:color w:val="auto"/>
        </w:rPr>
        <w:t>. You shall be entitled to take paid time off in accordance with the Company’s applicable paid time off policy for executives, as may be in effect from time to time. You shall also be entitled to all paid holidays given by the Company to its employees.</w:t>
      </w:r>
    </w:p>
    <w:p>
      <w:pPr>
        <w:spacing w:after="0" w:line="161" w:lineRule="exact"/>
        <w:rPr>
          <w:rFonts w:ascii="Times New Roman" w:cs="Times New Roman" w:eastAsia="Times New Roman" w:hAnsi="Times New Roman"/>
          <w:sz w:val="18"/>
          <w:szCs w:val="18"/>
          <w:color w:val="auto"/>
        </w:rPr>
      </w:pPr>
    </w:p>
    <w:p>
      <w:pPr>
        <w:jc w:val="both"/>
        <w:ind w:firstLine="1505"/>
        <w:spacing w:after="0" w:line="258" w:lineRule="auto"/>
        <w:tabs>
          <w:tab w:leader="none" w:pos="203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The equity awards held by you shall continue to be governed by the terms and conditions of the Company’s applicable equity incentive plan(s) and the applicable award agreement(s) governing the terms of such equity awards held by you (collectively, the “Equity Documents”); provided, however, and notwithstanding anything to the contrary in the Equity Documents, Section 6(a)(ii) of this Agreement shall apply in the event of a termination by the Company without Cause or by you for Good Reason in either event within the Change in Control Period (as such terms are defined below).</w:t>
      </w:r>
    </w:p>
    <w:p>
      <w:pPr>
        <w:spacing w:after="0" w:line="183"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Your employment hereunder may be terminated without any breach of this Agreement under the following circumstances:</w:t>
      </w:r>
    </w:p>
    <w:p>
      <w:pPr>
        <w:spacing w:after="0" w:line="22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Your employment hereunder shall terminate upon your death.</w:t>
      </w:r>
    </w:p>
    <w:p>
      <w:pPr>
        <w:spacing w:after="0" w:line="225" w:lineRule="exact"/>
        <w:rPr>
          <w:rFonts w:ascii="Times New Roman" w:cs="Times New Roman" w:eastAsia="Times New Roman" w:hAnsi="Times New Roman"/>
          <w:sz w:val="18"/>
          <w:szCs w:val="18"/>
          <w:color w:val="auto"/>
        </w:rPr>
      </w:pPr>
    </w:p>
    <w:p>
      <w:pPr>
        <w:jc w:val="both"/>
        <w:ind w:firstLine="1505"/>
        <w:spacing w:after="0" w:line="255" w:lineRule="auto"/>
        <w:tabs>
          <w:tab w:leader="none" w:pos="203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The Company may terminate your employment due to your “Disability” if you are unable to perform the essential functions of your then existing position or positions under this Agreement with or without reasonable accommodation for a period of 180 days (which need not be consecutive) in any 12-month period. If any question shall arise as to whether during any period you are disabled so as to be unable to perform the essential functions of your then existing position or positions with or without reasonable accommodation, you may, and at the request of the Company shall, submit to the Company a certification in reasonable detail by a physician selected by the Company who is board certified in the specialty relevant to your medical condition to whom you or your guardian has no reasonable objection as to whether you are disabled or how long such disability is expected to continue,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2" w:name="page113"/>
    <w:bookmarkEnd w:id="112"/>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such certification shall for the purposes of this Agreement be conclusive of the issue. You shall cooperate with any reasonable request of the physician in connection with such certification. If such question shall arise and you shall fail to submit such certification, the Company’s reasonable determination of such issue shall be binding on you. Nothing in this Section 3(b) shall be construed to waive your rights, if any, under existing law including, without limitation, the Family and Medical Leave Act of 1993, 29 U.S.C. §2601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the Americans with Disabilities Act, 42 U.S.C. §12101 </w:t>
      </w:r>
      <w:r>
        <w:rPr>
          <w:rFonts w:ascii="Times New Roman" w:cs="Times New Roman" w:eastAsia="Times New Roman" w:hAnsi="Times New Roman"/>
          <w:sz w:val="18"/>
          <w:szCs w:val="18"/>
          <w:i w:val="1"/>
          <w:iCs w:val="1"/>
          <w:color w:val="auto"/>
        </w:rPr>
        <w:t>et seq.</w:t>
      </w:r>
    </w:p>
    <w:p>
      <w:pPr>
        <w:spacing w:after="0" w:line="180" w:lineRule="exact"/>
        <w:rPr>
          <w:sz w:val="20"/>
          <w:szCs w:val="20"/>
          <w:color w:val="auto"/>
        </w:rPr>
      </w:pPr>
    </w:p>
    <w:p>
      <w:pPr>
        <w:ind w:firstLine="1505"/>
        <w:spacing w:after="0" w:line="282" w:lineRule="auto"/>
        <w:tabs>
          <w:tab w:leader="none" w:pos="20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Company for Cause</w:t>
      </w:r>
      <w:r>
        <w:rPr>
          <w:rFonts w:ascii="Times New Roman" w:cs="Times New Roman" w:eastAsia="Times New Roman" w:hAnsi="Times New Roman"/>
          <w:sz w:val="18"/>
          <w:szCs w:val="18"/>
          <w:color w:val="auto"/>
        </w:rPr>
        <w:t>. The Company may terminate your employment hereunder for Cause. For purposes of this Agreement, “Cause” shall mean any of the following:</w:t>
      </w:r>
    </w:p>
    <w:p>
      <w:pPr>
        <w:spacing w:after="0" w:line="161" w:lineRule="exact"/>
        <w:rPr>
          <w:rFonts w:ascii="Times New Roman" w:cs="Times New Roman" w:eastAsia="Times New Roman" w:hAnsi="Times New Roman"/>
          <w:sz w:val="18"/>
          <w:szCs w:val="18"/>
          <w:color w:val="auto"/>
        </w:rPr>
      </w:pPr>
    </w:p>
    <w:p>
      <w:pPr>
        <w:jc w:val="both"/>
        <w:ind w:firstLine="2254"/>
        <w:spacing w:after="0" w:line="261" w:lineRule="auto"/>
        <w:tabs>
          <w:tab w:leader="none" w:pos="254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conduct by you constituting a material act of intentional misconduct in connection with the performance of your duties, including, without limitation, (A) willful failure or willful refusal to perform material responsibilities that have been lawfully requested by the CEO; (B) intentional dishonesty to the CEO with respect to any material matter; or (C) intentional misappropriation of funds or property of the Company or any of its subsidiaries or affiliates other than the occasional, customary and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use of Company property for personal purposes;</w:t>
      </w:r>
    </w:p>
    <w:p>
      <w:pPr>
        <w:spacing w:after="0" w:line="179"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 by you of (A) any felony or (B) a misdemeanor involving moral turpitude, deceit, dishonesty or fraud;</w:t>
      </w:r>
    </w:p>
    <w:p>
      <w:pPr>
        <w:spacing w:after="0" w:line="225" w:lineRule="exact"/>
        <w:rPr>
          <w:rFonts w:ascii="Times New Roman" w:cs="Times New Roman" w:eastAsia="Times New Roman" w:hAnsi="Times New Roman"/>
          <w:sz w:val="18"/>
          <w:szCs w:val="18"/>
          <w:color w:val="auto"/>
        </w:rPr>
      </w:pPr>
    </w:p>
    <w:p>
      <w:pPr>
        <w:jc w:val="both"/>
        <w:ind w:firstLine="2254"/>
        <w:spacing w:after="0" w:line="266" w:lineRule="auto"/>
        <w:tabs>
          <w:tab w:leader="none" w:pos="254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intentional misconduct by you, regardless of whether or not in the course of your employment, that results in material injury or material reputational harm to the Company or any of its subsidiaries or affiliates if you were to continue to be employed in the same position;</w:t>
      </w:r>
    </w:p>
    <w:p>
      <w:pPr>
        <w:spacing w:after="0" w:line="175" w:lineRule="exact"/>
        <w:rPr>
          <w:rFonts w:ascii="Times New Roman" w:cs="Times New Roman" w:eastAsia="Times New Roman" w:hAnsi="Times New Roman"/>
          <w:sz w:val="18"/>
          <w:szCs w:val="18"/>
          <w:color w:val="auto"/>
        </w:rPr>
      </w:pPr>
    </w:p>
    <w:p>
      <w:pPr>
        <w:ind w:firstLine="2254"/>
        <w:spacing w:after="0" w:line="282" w:lineRule="auto"/>
        <w:tabs>
          <w:tab w:leader="none" w:pos="254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continued willful non-performance by you of your duties hereunder (other than by reason of your physical or mental illness, incapacity or Disability) which has continued for more than 30 days following written notice of such non-performance from the CEO;</w:t>
      </w:r>
    </w:p>
    <w:p>
      <w:pPr>
        <w:spacing w:after="0" w:line="161" w:lineRule="exact"/>
        <w:rPr>
          <w:rFonts w:ascii="Times New Roman" w:cs="Times New Roman" w:eastAsia="Times New Roman" w:hAnsi="Times New Roman"/>
          <w:sz w:val="18"/>
          <w:szCs w:val="18"/>
          <w:color w:val="auto"/>
        </w:rPr>
      </w:pPr>
    </w:p>
    <w:p>
      <w:pPr>
        <w:ind w:firstLine="2254"/>
        <w:spacing w:after="0" w:line="282" w:lineRule="auto"/>
        <w:tabs>
          <w:tab w:leader="none" w:pos="254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you of any of the provisions contained in Section 8 of this Agreement or the Restrictive Covenants Agreement and, if such breach is curable, has continued for more than 30 days following written notice of such material breach (as defined below); or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3" w:name="page114"/>
    <w:bookmarkEnd w:id="113"/>
    <w:p>
      <w:pPr>
        <w:jc w:val="both"/>
        <w:ind w:firstLine="2254"/>
        <w:spacing w:after="0" w:line="261" w:lineRule="auto"/>
        <w:tabs>
          <w:tab w:leader="none" w:pos="254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willful failure to reasonably cooperate with a bona fide internal investigation or an investigation by regulatory or law enforcement authorities, after being reasonably instructed by the Company to cooperate, or the willful destruction or failure to preserve documents or other materials known to be relevant to such investigation or the willful inducement of others to fail to cooperate or to produce documents or other materials in connection with such investigation.</w:t>
      </w:r>
    </w:p>
    <w:p>
      <w:pPr>
        <w:spacing w:after="0" w:line="179"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without Cause</w:t>
      </w:r>
      <w:r>
        <w:rPr>
          <w:rFonts w:ascii="Times New Roman" w:cs="Times New Roman" w:eastAsia="Times New Roman" w:hAnsi="Times New Roman"/>
          <w:sz w:val="18"/>
          <w:szCs w:val="18"/>
          <w:color w:val="auto"/>
        </w:rPr>
        <w:t>. The Company may terminate your employment hereunder at any time without Cause. Any termination by the Company of your employment under this Agreement which does not constitute a termination for Cause under Section 3(c) and does not result from the death or Disability of you under Section 3(a) or (b) shall be deemed a termination without Cause.</w:t>
      </w:r>
    </w:p>
    <w:p>
      <w:pPr>
        <w:spacing w:after="0" w:line="175"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You</w:t>
      </w:r>
      <w:r>
        <w:rPr>
          <w:rFonts w:ascii="Times New Roman" w:cs="Times New Roman" w:eastAsia="Times New Roman" w:hAnsi="Times New Roman"/>
          <w:sz w:val="18"/>
          <w:szCs w:val="18"/>
          <w:color w:val="auto"/>
        </w:rPr>
        <w:t>. You may terminate employment hereunder at any time for any reason, including but not limited to, Good Reason. For purposes of this Agreement, “Good Reason” shall mean that you have completed all steps of the Good Reason Process (hereinafter defined) following the occurrence of any of the following events without your written consent (each, a “Good Reason Condition”):</w:t>
      </w:r>
    </w:p>
    <w:p>
      <w:pPr>
        <w:spacing w:after="0" w:line="175"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your responsibilities, authority or duties</w:t>
      </w:r>
    </w:p>
    <w:p>
      <w:pPr>
        <w:spacing w:after="0" w:line="225" w:lineRule="exact"/>
        <w:rPr>
          <w:rFonts w:ascii="Times New Roman" w:cs="Times New Roman" w:eastAsia="Times New Roman" w:hAnsi="Times New Roman"/>
          <w:sz w:val="18"/>
          <w:szCs w:val="18"/>
          <w:color w:val="auto"/>
        </w:rPr>
      </w:pPr>
    </w:p>
    <w:p>
      <w:pPr>
        <w:ind w:left="760" w:firstLine="1494"/>
        <w:spacing w:after="0" w:line="282" w:lineRule="auto"/>
        <w:tabs>
          <w:tab w:leader="none" w:pos="255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your Base Salary except for across-the-board salary reductions of no greater than 10% based on the Company’s financial performance similarly affecting all or substantially all senior management employees of the Company;</w:t>
      </w:r>
    </w:p>
    <w:p>
      <w:pPr>
        <w:spacing w:after="0" w:line="161" w:lineRule="exact"/>
        <w:rPr>
          <w:rFonts w:ascii="Times New Roman" w:cs="Times New Roman" w:eastAsia="Times New Roman" w:hAnsi="Times New Roman"/>
          <w:sz w:val="18"/>
          <w:szCs w:val="18"/>
          <w:color w:val="auto"/>
        </w:rPr>
      </w:pPr>
    </w:p>
    <w:p>
      <w:pPr>
        <w:ind w:left="760" w:firstLine="1494"/>
        <w:spacing w:after="0" w:line="282" w:lineRule="auto"/>
        <w:tabs>
          <w:tab w:leader="none" w:pos="255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of at least thirty (30) miles of the location of the physical Company office to which you report (which to avoid doubt does not include any home office you may have); or</w:t>
      </w:r>
    </w:p>
    <w:p>
      <w:pPr>
        <w:spacing w:after="0" w:line="161"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by the Company of the material terms of this Agreement or any other written agreement between the Company</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you.</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“Good Reason Process” consists of the following steps: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4" w:name="page115"/>
    <w:bookmarkEnd w:id="114"/>
    <w:p>
      <w:pPr>
        <w:ind w:left="2560" w:hanging="306"/>
        <w:spacing w:after="0"/>
        <w:tabs>
          <w:tab w:leader="none" w:pos="25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reasonably determine in good faith that a Good Reason Condition has occurred;</w:t>
      </w:r>
    </w:p>
    <w:p>
      <w:pPr>
        <w:spacing w:after="0" w:line="225" w:lineRule="exact"/>
        <w:rPr>
          <w:rFonts w:ascii="Times New Roman" w:cs="Times New Roman" w:eastAsia="Times New Roman" w:hAnsi="Times New Roman"/>
          <w:sz w:val="18"/>
          <w:szCs w:val="18"/>
          <w:color w:val="auto"/>
        </w:rPr>
      </w:pPr>
    </w:p>
    <w:p>
      <w:pPr>
        <w:ind w:left="760" w:firstLine="1494"/>
        <w:spacing w:after="0" w:line="282" w:lineRule="auto"/>
        <w:tabs>
          <w:tab w:leader="none" w:pos="255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notify the Company in writing of the first occurrence of the Good Reason Condition within 60 days of the first occurrence of such condition;</w:t>
      </w:r>
    </w:p>
    <w:p>
      <w:pPr>
        <w:spacing w:after="0" w:line="162" w:lineRule="exact"/>
        <w:rPr>
          <w:sz w:val="20"/>
          <w:szCs w:val="20"/>
          <w:color w:val="auto"/>
        </w:rPr>
      </w:pPr>
    </w:p>
    <w:p>
      <w:pPr>
        <w:ind w:left="760" w:firstLine="1497"/>
        <w:spacing w:after="0" w:line="282" w:lineRule="auto"/>
        <w:rPr>
          <w:sz w:val="20"/>
          <w:szCs w:val="20"/>
          <w:color w:val="auto"/>
        </w:rPr>
      </w:pPr>
      <w:r>
        <w:rPr>
          <w:rFonts w:ascii="Times New Roman" w:cs="Times New Roman" w:eastAsia="Times New Roman" w:hAnsi="Times New Roman"/>
          <w:sz w:val="18"/>
          <w:szCs w:val="18"/>
          <w:color w:val="auto"/>
        </w:rPr>
        <w:t>(vii)you cooperate in good faith with the Company’s efforts, for a period of not less than 30 days following such notice (the “Cure Period”), to remedy the Good Reason Condition;</w:t>
      </w:r>
    </w:p>
    <w:p>
      <w:pPr>
        <w:spacing w:after="0" w:line="16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(viii)notwithstanding such Cure Period, the Good Reason Condition continues to exist; and</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(ix) you terminate employment within 60 days after the end of the Cure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Company cures the Good Reason Condition during the Cure Period, Good Reason shall be deemed not to have occurred.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your employment with the Company is terminated for any reason, the Company shall pay or provide to you (or your authorized representative or estate)</w:t>
      </w:r>
    </w:p>
    <w:p>
      <w:pPr>
        <w:spacing w:after="0" w:line="27" w:lineRule="exact"/>
        <w:rPr>
          <w:sz w:val="20"/>
          <w:szCs w:val="20"/>
          <w:color w:val="auto"/>
        </w:rPr>
      </w:pPr>
    </w:p>
    <w:p>
      <w:pPr>
        <w:jc w:val="both"/>
        <w:ind w:firstLine="8"/>
        <w:spacing w:after="0" w:line="252" w:lineRule="auto"/>
        <w:tabs>
          <w:tab w:leader="none" w:pos="22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Base Salary earned through the Date of Termination; (ii) unpaid expense reimbursements (subject to, and in accordance with, Section 2(c) of this Agreement); (iii) any vested benefits you may have under any employee benefit plan of the Company through the Date of Termination, which vested benefits shall be paid and/or provided in accordance with the terms of such employee benefit plans; and (iv) if your employment is terminated by the Company because of your death or Disability, a lump sum payment of any earned, but unpaid Bonus for the fiscal year prior to the fiscal year your employment is terminated because of your death or Disability (collectively, the “Accrued Obligations”). The earned but unpaid Bonus in subsection (iv) will be paid at the same time as the Company pays bonuses to similarly situated executives, but in no event later than the end of the taxable year in which the Date of Termination occurs.</w:t>
      </w:r>
    </w:p>
    <w:p>
      <w:pPr>
        <w:spacing w:after="0" w:line="188"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and Date of 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Except for termination as specified in Section 3(a), any termination of your employment by the Company or any such termination by you shall be communicated by written Notice of</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5" w:name="page116"/>
    <w:bookmarkEnd w:id="115"/>
    <w:p>
      <w:pPr>
        <w:ind w:right="20"/>
        <w:spacing w:after="0" w:line="282" w:lineRule="auto"/>
        <w:rPr>
          <w:sz w:val="20"/>
          <w:szCs w:val="20"/>
          <w:color w:val="auto"/>
        </w:rPr>
      </w:pPr>
      <w:r>
        <w:rPr>
          <w:rFonts w:ascii="Times New Roman" w:cs="Times New Roman" w:eastAsia="Times New Roman" w:hAnsi="Times New Roman"/>
          <w:sz w:val="18"/>
          <w:szCs w:val="18"/>
          <w:color w:val="auto"/>
        </w:rPr>
        <w:t>Termination to the other party hereto. For purposes of this Agreement, a “Notice of Termination” shall mean a notice which shall indicate the specific termination provision in this Agreement relied upon.</w:t>
      </w:r>
    </w:p>
    <w:p>
      <w:pPr>
        <w:spacing w:after="0" w:line="162" w:lineRule="exact"/>
        <w:rPr>
          <w:sz w:val="20"/>
          <w:szCs w:val="20"/>
          <w:color w:val="auto"/>
        </w:rPr>
      </w:pPr>
    </w:p>
    <w:p>
      <w:pPr>
        <w:jc w:val="both"/>
        <w:ind w:firstLine="1505"/>
        <w:spacing w:after="0" w:line="254" w:lineRule="auto"/>
        <w:tabs>
          <w:tab w:leader="none" w:pos="203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“Date of Termination” shall mean: (i) if your employment is terminated by death, the date of death; (ii) if your employment is terminated on account of Disability under Section 3(b) or by the Company for Cause under Section 3(c), the date on which Notice of Termination is given; (iii) if your employment is terminated by the Company without Cause under Section 3(d), the date on which a Notice of Termination is given or the date otherwise specified by the Company in the Notice of Termination; (iv) if your employment is terminated by you under Section 3(e) other than for Good Reason, 14 days after the date on which a Notice of Termination is given, and (v) if your employment is terminated by you under Section 3(e) for Good Reason, the date on which a Notice of Termination is given after the end of the Cure Period. Notwithstanding the foregoing, in the event that you give a Notice of Termination to the Company, the Company may unilaterally accelerate the Date of Termination and such acceleration shall not result in a termination by the Company for purposes of this Agreement. However, the Company will continue paying you your Base Salary until the original Date of Termination.</w:t>
      </w:r>
    </w:p>
    <w:p>
      <w:pPr>
        <w:spacing w:after="0" w:line="188" w:lineRule="exact"/>
        <w:rPr>
          <w:rFonts w:ascii="Times New Roman" w:cs="Times New Roman" w:eastAsia="Times New Roman" w:hAnsi="Times New Roman"/>
          <w:sz w:val="18"/>
          <w:szCs w:val="18"/>
          <w:color w:val="auto"/>
        </w:rPr>
      </w:pPr>
    </w:p>
    <w:p>
      <w:pPr>
        <w:jc w:val="both"/>
        <w:ind w:firstLine="757"/>
        <w:spacing w:after="0" w:line="254" w:lineRule="auto"/>
        <w:tabs>
          <w:tab w:leader="none" w:pos="101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 and Benefits Upon Termination by the Company without Cause or by You for Good Reason Outside the Change in Control Period</w:t>
      </w:r>
      <w:r>
        <w:rPr>
          <w:rFonts w:ascii="Times New Roman" w:cs="Times New Roman" w:eastAsia="Times New Roman" w:hAnsi="Times New Roman"/>
          <w:sz w:val="18"/>
          <w:szCs w:val="18"/>
          <w:color w:val="auto"/>
        </w:rPr>
        <w:t>. If your employment is terminated by the Company without Cause as provided in Section 3(d), or you terminate employment for Good Reason as provided in Section 3(e), each outside of the Change in Control Period (as defined below), then, in addition to the Accrued Obligations, and subject to (i) your signing a separation agreement and release in a form and manner reasonably satisfactory to the Company, which shall include, without limitation, a general release of claims against the Company and all related persons and entities, a reaffirmation of all of your Continuing Obligations (as defined below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shall provide that if you materially breach any of the Continuing Obligations, and if such breach is curable, which has continued for more than 30 days following written notice of such breach, all payments of the Severance Amount shall immediately cease (the “Separation Agreement and Release”), and (ii) the Separation Agreement and Release becoming irrevocable, all within 60 days after the Date of Termination (or such shorter period as set forth in the Separation Agreement and Release), which shall include a seven (7) business day revocation period:</w:t>
      </w:r>
    </w:p>
    <w:p>
      <w:pPr>
        <w:spacing w:after="0" w:line="188"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you an amount equal to nine (9) months of your Base Salary (the “Severance Amount”); provided in the event you are entitled to any payments pursuant to the Restrictive Covenants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6" w:name="page117"/>
    <w:bookmarkEnd w:id="116"/>
    <w:p>
      <w:pPr>
        <w:ind w:right="20"/>
        <w:spacing w:after="0" w:line="282" w:lineRule="auto"/>
        <w:rPr>
          <w:sz w:val="20"/>
          <w:szCs w:val="20"/>
          <w:color w:val="auto"/>
        </w:rPr>
      </w:pPr>
      <w:r>
        <w:rPr>
          <w:rFonts w:ascii="Times New Roman" w:cs="Times New Roman" w:eastAsia="Times New Roman" w:hAnsi="Times New Roman"/>
          <w:sz w:val="18"/>
          <w:szCs w:val="18"/>
          <w:color w:val="auto"/>
        </w:rPr>
        <w:t>Agreement, as a condition of such receipt of the Severance Amount, you shall acknowledge and agree in the Separation Agreement and Release that such Severance Amount will be in lieu of any garden leave pay under the Restrictive Covenants Agreement;</w:t>
      </w:r>
    </w:p>
    <w:p>
      <w:pPr>
        <w:spacing w:after="0" w:line="162" w:lineRule="exact"/>
        <w:rPr>
          <w:sz w:val="20"/>
          <w:szCs w:val="20"/>
          <w:color w:val="auto"/>
        </w:rPr>
      </w:pPr>
    </w:p>
    <w:p>
      <w:pPr>
        <w:jc w:val="both"/>
        <w:ind w:firstLine="1505"/>
        <w:spacing w:after="0" w:line="266" w:lineRule="auto"/>
        <w:tabs>
          <w:tab w:leader="none" w:pos="203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you, if applicable, a lump sum payment of any earned, but unpaid Bonus for the fiscal year prior to the fiscal year of your Date of Termination, to be paid at the same time as the Company pays bonuses to similarly situated executives, but in no event later than the end of the taxable year in which the Date of Termination occurs; and</w:t>
      </w:r>
    </w:p>
    <w:p>
      <w:pPr>
        <w:spacing w:after="0" w:line="175" w:lineRule="exact"/>
        <w:rPr>
          <w:rFonts w:ascii="Times New Roman" w:cs="Times New Roman" w:eastAsia="Times New Roman" w:hAnsi="Times New Roman"/>
          <w:sz w:val="18"/>
          <w:szCs w:val="18"/>
          <w:color w:val="auto"/>
        </w:rPr>
      </w:pPr>
    </w:p>
    <w:p>
      <w:pPr>
        <w:jc w:val="both"/>
        <w:ind w:firstLine="1505"/>
        <w:spacing w:after="0" w:line="255" w:lineRule="auto"/>
        <w:tabs>
          <w:tab w:leader="none" w:pos="203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your copayment of premium amounts at the applicable active employees’ rate and your proper election to receive benefits under the Consolidated Omnibus Budget Reconciliation Act of 1985, as amended (“COBRA”), the Company shall pay to the group health plan provider, the COBRA provider or you a monthly payment equal to the monthly employer contribution that the Company would have made to provide health insurance to you if you had remained employed by the Company until the earliest of (A) the nine (9) month anniversary of the Date of Termination;</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9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eligibility for group medical plan benefits under any other employer’s group medical plan; or (C) the cessation of your continuation rights under COBRA; provided, however,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shall be subject to tax-related deductions and withholdings and paid on the Company’s regular payroll dates.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amounts payable under Sections 5(a) and (c), to the extent taxable, shall be paid out in substantially equal installments in accordance with the Company’s payroll practice over nine (9) months commencing within 60 days after the Date of Termination; provided, however, that if the 60-day period begins in one calendar year and ends in a second calendar year, the Severance Amount, to the extent it qualifies as “non-qualified deferred compensation” within the meaning of Section 409A of the Internal Revenue Code of 1986, as amended (the “Code”), shall begin to be paid in the second calendar year by the last day of such 60-day period; provided, further, that the initial payment shall include a catch-up payment to cover amounts retroactive to the day immediately following the Date of Termination.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auto"/>
        </w:rPr>
        <w:t>Each payment pursuant to this Agreement is intended to constitute a separate payment for purposes of Treasury Regulation Section 1.409A-2(b)(2).</w:t>
      </w:r>
    </w:p>
    <w:p>
      <w:pPr>
        <w:spacing w:after="0" w:line="225" w:lineRule="exact"/>
        <w:rPr>
          <w:sz w:val="20"/>
          <w:szCs w:val="20"/>
          <w:color w:val="auto"/>
        </w:rPr>
      </w:pPr>
    </w:p>
    <w:p>
      <w:pPr>
        <w:jc w:val="both"/>
        <w:ind w:firstLine="757"/>
        <w:spacing w:after="0" w:line="256" w:lineRule="auto"/>
        <w:tabs>
          <w:tab w:leader="none" w:pos="101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 and Benefits Upon Termination by the Company without Cause or by You for Good Reason within the Change in Control Period</w:t>
      </w:r>
      <w:r>
        <w:rPr>
          <w:rFonts w:ascii="Times New Roman" w:cs="Times New Roman" w:eastAsia="Times New Roman" w:hAnsi="Times New Roman"/>
          <w:sz w:val="18"/>
          <w:szCs w:val="18"/>
          <w:color w:val="auto"/>
        </w:rPr>
        <w:t>. The provisions of this Section 6 shall apply in lieu of, and expressly supersede, the provisions of Section 5 if (i) your employment is terminated either (a) by the Company without Cause as provided in Section 3(d), or (b) by you for Good Reason as provided in Section 3(e), and (ii) the Date of Termination is within 3 months prior to, or within 12 months after, the occurrence of the first event constituting a Change in Control (as defined below) (such period, the “Change in Control Period”). These provisions of Section 6 shall terminate and be of no further force or effect after a Change in Control Period.</w:t>
      </w:r>
    </w:p>
    <w:p>
      <w:pPr>
        <w:spacing w:after="0" w:line="187"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employment is terminated by the Company without Cause as provided in Section 3(d) or you terminate employment for Good Reason as provided in Section 3(e) and in either case the Date of Termination occurs during the Change in Control Period, then, in addition to the Accrued Obligations, and subject to the signing of the Separation Agreement and Release by you and the Separation Agreement and Release becoming fully effective, all within the time frame set forth in the Separation Agreement and Release but in no event more than 60 days after the Date of Termination:</w:t>
      </w:r>
    </w:p>
    <w:p>
      <w:pPr>
        <w:spacing w:after="0" w:line="179" w:lineRule="exact"/>
        <w:rPr>
          <w:rFonts w:ascii="Times New Roman" w:cs="Times New Roman" w:eastAsia="Times New Roman" w:hAnsi="Times New Roman"/>
          <w:sz w:val="18"/>
          <w:szCs w:val="18"/>
          <w:color w:val="auto"/>
        </w:rPr>
      </w:pPr>
    </w:p>
    <w:p>
      <w:pPr>
        <w:jc w:val="both"/>
        <w:ind w:left="760" w:firstLine="1494"/>
        <w:spacing w:after="0" w:line="256" w:lineRule="auto"/>
        <w:tabs>
          <w:tab w:leader="none" w:pos="2557"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you a lump sum in cash in an amount equal to the sum of (A) fifteen (15) months of your then current Base Salary (or your Base Salary in effect immediately prior to the Change in Control, if higher), (B) 1.25x your Target Bonus for the then-current fiscal year; and (C) any earned, but unpaid Bonus for the fiscal year prior to the fiscal year of your Date of Termination, (the “Change in Control Payment”) provided that, if applicable and as a condition of such receipt of the Change in Control Payment, you shall acknowledge and agree in the Separation Agreement and Release that such Change in Control Payment will be in lieu of any garden leave pay under the Restrictive Covenants Agreement; and</w:t>
      </w:r>
    </w:p>
    <w:p>
      <w:pPr>
        <w:spacing w:after="0" w:line="187" w:lineRule="exact"/>
        <w:rPr>
          <w:rFonts w:ascii="Times New Roman" w:cs="Times New Roman" w:eastAsia="Times New Roman" w:hAnsi="Times New Roman"/>
          <w:sz w:val="18"/>
          <w:szCs w:val="18"/>
          <w:color w:val="auto"/>
        </w:rPr>
      </w:pPr>
    </w:p>
    <w:p>
      <w:pPr>
        <w:jc w:val="both"/>
        <w:ind w:left="760" w:firstLine="1494"/>
        <w:spacing w:after="0" w:line="289" w:lineRule="auto"/>
        <w:tabs>
          <w:tab w:leader="none" w:pos="2557" w:val="left"/>
        </w:tabs>
        <w:numPr>
          <w:ilvl w:val="2"/>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any applicable option agreement or other stock-based award agreement, all time-based stock options and other stock-based awards subject to time-based vesting held by you (the “Time-Based Equity Awards”) shall immediately accelerate and become fully exercisable or nonforfeitable as of the later of (i) the Date of Termination or (ii) the effective date of the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8" w:name="page119"/>
    <w:bookmarkEnd w:id="118"/>
    <w:p>
      <w:pPr>
        <w:jc w:val="both"/>
        <w:ind w:left="760"/>
        <w:spacing w:after="0" w:line="257" w:lineRule="auto"/>
        <w:rPr>
          <w:sz w:val="20"/>
          <w:szCs w:val="20"/>
          <w:color w:val="auto"/>
        </w:rPr>
      </w:pPr>
      <w:r>
        <w:rPr>
          <w:rFonts w:ascii="Times New Roman" w:cs="Times New Roman" w:eastAsia="Times New Roman" w:hAnsi="Times New Roman"/>
          <w:sz w:val="18"/>
          <w:szCs w:val="18"/>
          <w:color w:val="auto"/>
        </w:rPr>
        <w:t xml:space="preserve">Separation Agreement and Release (the “Accelerated Vesting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termination or forfeiture of the unvested portion of such Time-Based Equity Awards that would otherwise occur on the Date of Termination in the absence of this Agreement will be delayed until the effective date of the Separation Agreement and Release and will only occur if the vesting pursuant to this subsection does not occur due to the absence of the Separation Agreement and Release becoming fully effective within the time period set forth therein. Notwithstanding the foregoing, no additional vesting of the Time-Based Equity Awards shall occur during the period between your Date of Termination and the Accelerated Vesting Date; and</w:t>
      </w:r>
    </w:p>
    <w:p>
      <w:pPr>
        <w:spacing w:after="0" w:line="184" w:lineRule="exact"/>
        <w:rPr>
          <w:sz w:val="20"/>
          <w:szCs w:val="20"/>
          <w:color w:val="auto"/>
        </w:rPr>
      </w:pPr>
    </w:p>
    <w:p>
      <w:pPr>
        <w:jc w:val="both"/>
        <w:ind w:left="760" w:firstLine="1494"/>
        <w:spacing w:after="0" w:line="254" w:lineRule="auto"/>
        <w:tabs>
          <w:tab w:leader="none" w:pos="255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your copayment of premium amounts at the applicable active employees’ rate and your proper election to receive benefits under COBRA, the Company shall pay to the group health plan provider, the COBRA provider or you a monthly payment equal to the monthly employer contribution that the Company would have made to provide health insurance to you if you had remained employed by the Company until the earliest of (A) the 15-month anniversary of the Date of Termination; (B) your eligibility for group medical plan benefits under any other employer’s group medical plan; or (C) the cessation of your continuation rights under COBRA; provided, however,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shall be subject to tax-related deductions and withholdings and paid on the Company’s regular payroll dates.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amounts payable under this Section 6(a) (other than 6(a)(i)(C)), to the extent taxable, shall be paid or commence to be paid within 60 days after the Date of Termination; provided, however,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 The amount payable under Section 6(a)(i)(C) shall be paid at the same time as the Company pays bonuses to similarly situated executives, but in no event later than the end of the taxable year in which the Date of Termination occurs.</w:t>
      </w:r>
    </w:p>
    <w:p>
      <w:pPr>
        <w:spacing w:after="0" w:line="183" w:lineRule="exact"/>
        <w:rPr>
          <w:sz w:val="20"/>
          <w:szCs w:val="20"/>
          <w:color w:val="auto"/>
        </w:rPr>
      </w:pPr>
    </w:p>
    <w:p>
      <w:pPr>
        <w:ind w:left="2040" w:hanging="535"/>
        <w:spacing w:after="0"/>
        <w:tabs>
          <w:tab w:leader="none" w:pos="20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Limitation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19" w:name="page120"/>
    <w:bookmarkEnd w:id="119"/>
    <w:p>
      <w:pPr>
        <w:jc w:val="both"/>
        <w:ind w:left="3" w:firstLine="1494"/>
        <w:spacing w:after="0" w:line="252" w:lineRule="auto"/>
        <w:tabs>
          <w:tab w:leader="none" w:pos="18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in the event that the amount of any compensation, payment or distribution by the Company to or for the benefit of you, whether paid or payable or distributed or distributable pursuant to the terms of this Agreement or otherwise, calculated in a manner consistent with Section 280G of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you became the subject to the excise tax imposed by Section 4999 of the Code; provided that such reduction shall only occur if it would result in you receiving a higher After Tax Amount (as defined below) than you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w:t>
      </w:r>
    </w:p>
    <w:p>
      <w:pPr>
        <w:spacing w:after="0" w:line="5" w:lineRule="exact"/>
        <w:rPr>
          <w:rFonts w:ascii="Times New Roman" w:cs="Times New Roman" w:eastAsia="Times New Roman" w:hAnsi="Times New Roman"/>
          <w:sz w:val="18"/>
          <w:szCs w:val="18"/>
          <w:color w:val="auto"/>
        </w:rPr>
      </w:pPr>
    </w:p>
    <w:p>
      <w:pPr>
        <w:jc w:val="both"/>
        <w:ind w:left="3" w:hanging="3"/>
        <w:spacing w:after="0" w:line="255" w:lineRule="auto"/>
        <w:tabs>
          <w:tab w:leader="none" w:pos="26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85" w:lineRule="exact"/>
        <w:rPr>
          <w:rFonts w:ascii="Times New Roman" w:cs="Times New Roman" w:eastAsia="Times New Roman" w:hAnsi="Times New Roman"/>
          <w:sz w:val="18"/>
          <w:szCs w:val="18"/>
          <w:color w:val="auto"/>
        </w:rPr>
      </w:pPr>
    </w:p>
    <w:p>
      <w:pPr>
        <w:jc w:val="both"/>
        <w:ind w:left="3" w:firstLine="1494"/>
        <w:spacing w:after="0" w:line="256" w:lineRule="auto"/>
        <w:tabs>
          <w:tab w:leader="none" w:pos="18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6(b), the “After Tax Amount” means the amount of the Aggregate Payments less all federal, state, and local income, excise and employment taxes imposed on you as a result of your receipt of the Aggregate Payments. For purposes of determining the After Tax Amount, you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87" w:lineRule="exact"/>
        <w:rPr>
          <w:rFonts w:ascii="Times New Roman" w:cs="Times New Roman" w:eastAsia="Times New Roman" w:hAnsi="Times New Roman"/>
          <w:sz w:val="18"/>
          <w:szCs w:val="18"/>
          <w:color w:val="auto"/>
        </w:rPr>
      </w:pPr>
    </w:p>
    <w:p>
      <w:pPr>
        <w:ind w:left="3" w:firstLine="1494"/>
        <w:spacing w:after="0" w:line="282" w:lineRule="auto"/>
        <w:tabs>
          <w:tab w:leader="none" w:pos="18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as to whether a reduction in the Aggregate Payments shall be made pursuant to Section 6(b)(i) shall be made by a nationally recognized accounting firm selected by the</w:t>
      </w:r>
    </w:p>
    <w:p>
      <w:pPr>
        <w:spacing w:after="0" w:line="200" w:lineRule="exact"/>
        <w:rPr>
          <w:sz w:val="20"/>
          <w:szCs w:val="20"/>
          <w:color w:val="auto"/>
        </w:rPr>
      </w:pPr>
    </w:p>
    <w:p>
      <w:pPr>
        <w:spacing w:after="0" w:line="394"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7" w:right="339" w:bottom="1440" w:gutter="0" w:footer="0" w:header="0"/>
        </w:sectPr>
      </w:pPr>
    </w:p>
    <w:bookmarkStart w:id="120" w:name="page121"/>
    <w:bookmarkEnd w:id="120"/>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Company (the “Accounting Firm”), which shall provide detailed supporting calculations both to the Company and you within 15 business days of the Date of Termination, if applicable, or at such earlier time as is reasonably requested by the Company or you. Any determination by the Accounting Firm shall be binding upon the Company and you.</w:t>
      </w:r>
    </w:p>
    <w:p>
      <w:pPr>
        <w:spacing w:after="0" w:line="176" w:lineRule="exact"/>
        <w:rPr>
          <w:sz w:val="20"/>
          <w:szCs w:val="20"/>
          <w:color w:val="auto"/>
        </w:rPr>
      </w:pPr>
    </w:p>
    <w:p>
      <w:pPr>
        <w:jc w:val="both"/>
        <w:ind w:left="760" w:firstLine="1494"/>
        <w:spacing w:after="0" w:line="252" w:lineRule="auto"/>
        <w:tabs>
          <w:tab w:leader="none" w:pos="2557"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of this Section 6, a “Change in Control” shall be deemed to have occurred upon the occurrence of any one of the following events: (a) the sale or transfer of all or substantially all of the assets of the Company (i.e., &gt;50% of the value) on a consolidated basis to one or more unrelated persons or entities, (b) a merger, reorganization or consolidation pursuant to which the holders of the Company’s outstanding voting power and outstanding stock immediately prior to such transaction do not own a majority of the outstanding voting power or fair market value of the stock or other equity interests of the resulting or successor entity (or its ultimate parent, if applicable) immediately upon completion of such transaction, (c) the sale of all or substantially all of the stock of the Company to an unrelated person, entity or group thereof acting in concert, (d)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or (e) the date a majority of the members of the Board is replaced during any 12-month period by directors whose appointment or election is not endorsed by a majority of the members of the Board before the date of the appointment or election provided that with respect to any of the clauses (a) through</w:t>
      </w:r>
    </w:p>
    <w:p>
      <w:pPr>
        <w:spacing w:after="0" w:line="3" w:lineRule="exact"/>
        <w:rPr>
          <w:rFonts w:ascii="Times New Roman" w:cs="Times New Roman" w:eastAsia="Times New Roman" w:hAnsi="Times New Roman"/>
          <w:sz w:val="18"/>
          <w:szCs w:val="18"/>
          <w:color w:val="auto"/>
        </w:rPr>
      </w:pPr>
    </w:p>
    <w:p>
      <w:pPr>
        <w:jc w:val="both"/>
        <w:ind w:left="760" w:hanging="3"/>
        <w:spacing w:after="0" w:line="253" w:lineRule="auto"/>
        <w:tabs>
          <w:tab w:leader="none" w:pos="106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 raising transaction of the Company (including the Company’s IPO) shall not be treated as a “Change in Control.” Notwithstanding any other provision of this Agreement (other than the foregoing proviso), “Change in Control” shall be interpreted, administered and applied in a manner consistent and in compliance with a “change in control event” as set forth in Treasury Regulation Section 1.409A-3(i)(5) (“Change in Control Event”).</w:t>
      </w:r>
    </w:p>
    <w:p>
      <w:pPr>
        <w:spacing w:after="0" w:line="189" w:lineRule="exact"/>
        <w:rPr>
          <w:sz w:val="20"/>
          <w:szCs w:val="20"/>
          <w:color w:val="auto"/>
        </w:rPr>
      </w:pPr>
    </w:p>
    <w:p>
      <w:pPr>
        <w:ind w:left="1020" w:hanging="263"/>
        <w:spacing w:after="0"/>
        <w:tabs>
          <w:tab w:leader="none" w:pos="1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if at the time of your separation from service within the meaning of Section 409A of the Code, the Company determines that you are a</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1" w:name="page122"/>
    <w:bookmarkEnd w:id="121"/>
    <w:p>
      <w:pPr>
        <w:jc w:val="both"/>
        <w:spacing w:after="0" w:line="255" w:lineRule="auto"/>
        <w:rPr>
          <w:sz w:val="20"/>
          <w:szCs w:val="20"/>
          <w:color w:val="auto"/>
        </w:rPr>
      </w:pPr>
      <w:r>
        <w:rPr>
          <w:rFonts w:ascii="Times New Roman" w:cs="Times New Roman" w:eastAsia="Times New Roman" w:hAnsi="Times New Roman"/>
          <w:sz w:val="18"/>
          <w:szCs w:val="18"/>
          <w:color w:val="auto"/>
        </w:rPr>
        <w:t>“specified employee” within the meaning of Section 409A(a)(2)(B)(i) of the Code, then to the extent any payment or benefit that you become entitled to under this Agreement or otherwise on account of your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your separation from service, or (B) your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89" w:lineRule="exact"/>
        <w:rPr>
          <w:sz w:val="20"/>
          <w:szCs w:val="20"/>
          <w:color w:val="auto"/>
        </w:rPr>
      </w:pPr>
    </w:p>
    <w:p>
      <w:pPr>
        <w:jc w:val="both"/>
        <w:ind w:firstLine="1505"/>
        <w:spacing w:after="0" w:line="256" w:lineRule="auto"/>
        <w:tabs>
          <w:tab w:leader="none" w:pos="20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in-kind benefits provided and expenses eligible for reimbursement under this Agreement shall be provided by the Company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87" w:lineRule="exact"/>
        <w:rPr>
          <w:rFonts w:ascii="Times New Roman" w:cs="Times New Roman" w:eastAsia="Times New Roman" w:hAnsi="Times New Roman"/>
          <w:sz w:val="18"/>
          <w:szCs w:val="18"/>
          <w:color w:val="auto"/>
        </w:rPr>
      </w:pPr>
    </w:p>
    <w:p>
      <w:pPr>
        <w:jc w:val="both"/>
        <w:ind w:firstLine="1505"/>
        <w:spacing w:after="0" w:line="227" w:lineRule="exact"/>
        <w:tabs>
          <w:tab w:leader="none" w:pos="20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payment or benefit described in this Agreement constitutes “non-qualified deferred compensation” under Section 409A of the Code, and to the extent that such payment or benefit is payable upon your termination of employment, then such payments or benefits shall be payable only upon your “separation from service.” The determination of whether and when a separation from service has occurred shall be made in accordance with the presumptions set forth in Treasury Regulation Section 1.409A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1(h).</w:t>
      </w:r>
    </w:p>
    <w:p>
      <w:pPr>
        <w:spacing w:after="0" w:line="172" w:lineRule="exact"/>
        <w:rPr>
          <w:rFonts w:ascii="Times New Roman" w:cs="Times New Roman" w:eastAsia="Times New Roman" w:hAnsi="Times New Roman"/>
          <w:sz w:val="18"/>
          <w:szCs w:val="18"/>
          <w:color w:val="auto"/>
        </w:rPr>
      </w:pPr>
    </w:p>
    <w:p>
      <w:pPr>
        <w:jc w:val="both"/>
        <w:ind w:firstLine="1505"/>
        <w:spacing w:after="0" w:line="227" w:lineRule="exact"/>
        <w:tabs>
          <w:tab w:leader="none" w:pos="20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or the Restrictive Covenants Agreement is intended to constitute a separate payment for purposes of Treasury Regulation Section 1.409A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2(b)(2). The parties agree that this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2" w:name="page123"/>
    <w:bookmarkEnd w:id="122"/>
    <w:p>
      <w:pPr>
        <w:spacing w:after="0" w:line="282" w:lineRule="auto"/>
        <w:rPr>
          <w:sz w:val="20"/>
          <w:szCs w:val="20"/>
          <w:color w:val="auto"/>
        </w:rPr>
      </w:pPr>
      <w:r>
        <w:rPr>
          <w:rFonts w:ascii="Times New Roman" w:cs="Times New Roman" w:eastAsia="Times New Roman" w:hAnsi="Times New Roman"/>
          <w:sz w:val="18"/>
          <w:szCs w:val="18"/>
          <w:color w:val="auto"/>
        </w:rPr>
        <w:t>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62" w:lineRule="exact"/>
        <w:rPr>
          <w:sz w:val="20"/>
          <w:szCs w:val="20"/>
          <w:color w:val="auto"/>
        </w:rPr>
      </w:pPr>
    </w:p>
    <w:p>
      <w:pPr>
        <w:jc w:val="both"/>
        <w:ind w:firstLine="1505"/>
        <w:spacing w:after="0" w:line="266" w:lineRule="auto"/>
        <w:tabs>
          <w:tab w:leader="none" w:pos="2036"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such Section.</w:t>
      </w:r>
    </w:p>
    <w:p>
      <w:pPr>
        <w:spacing w:after="0" w:line="17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05"/>
        <w:spacing w:after="0" w:line="256" w:lineRule="auto"/>
        <w:tabs>
          <w:tab w:leader="none" w:pos="203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 Agreement</w:t>
      </w:r>
      <w:r>
        <w:rPr>
          <w:rFonts w:ascii="Times New Roman" w:cs="Times New Roman" w:eastAsia="Times New Roman" w:hAnsi="Times New Roman"/>
          <w:sz w:val="18"/>
          <w:szCs w:val="18"/>
          <w:color w:val="auto"/>
        </w:rPr>
        <w:t xml:space="preserve">. The Disc Medicine, Inc. Employee Confidentiality, Assignment, Nonsolicitation and Noncompetition Agreement between the Company and you (the “Restrictive Covenants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continues to be in full force and effect. You acknowledge and agree that your eligibility for enhanced severance benefits provided by this Agreement constitutes additional, fair and reasonable consideration independent from the continuation of your employment, for the Restrictive Covenants Agreement. For purposes of this Agreement, the obligations in this Section 8 and those that arise in the Restrictive Covenants Agreement shall collectively be referred to as the “Continuing Obligations.”</w:t>
      </w:r>
    </w:p>
    <w:p>
      <w:pPr>
        <w:spacing w:after="0" w:line="187" w:lineRule="exact"/>
        <w:rPr>
          <w:rFonts w:ascii="Times New Roman" w:cs="Times New Roman" w:eastAsia="Times New Roman" w:hAnsi="Times New Roman"/>
          <w:sz w:val="18"/>
          <w:szCs w:val="18"/>
          <w:color w:val="auto"/>
        </w:rPr>
      </w:pPr>
    </w:p>
    <w:p>
      <w:pPr>
        <w:jc w:val="both"/>
        <w:ind w:firstLine="1505"/>
        <w:spacing w:after="0" w:line="255" w:lineRule="auto"/>
        <w:tabs>
          <w:tab w:leader="none" w:pos="203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Third-Party Agreements and Rights</w:t>
      </w:r>
      <w:r>
        <w:rPr>
          <w:rFonts w:ascii="Times New Roman" w:cs="Times New Roman" w:eastAsia="Times New Roman" w:hAnsi="Times New Roman"/>
          <w:sz w:val="18"/>
          <w:szCs w:val="18"/>
          <w:color w:val="auto"/>
        </w:rPr>
        <w:t>. You hereby confirm that you are not bound by the terms of any agreement with any previous employer or other party which restricts in any way your use or disclosure of information, other than confidentiality restrictions (if any), or your engagement in any business. You represent to the Company that your execution of this Agreement, your employment with the Company and the performance of your proposed duties for the Company will not violate any obligations you may have to any such previous employer or other party. In your work for the Company, you will not disclose or make use of any information in violation of any agreements with or rights of any such previous employer or other party, and you will not bring to the premises of the Company any copies or other tangible embodiments of non-public information belonging to or obtained from any such previous employment or other party.</w:t>
      </w:r>
    </w:p>
    <w:p>
      <w:pPr>
        <w:spacing w:after="0" w:line="188" w:lineRule="exact"/>
        <w:rPr>
          <w:rFonts w:ascii="Times New Roman" w:cs="Times New Roman" w:eastAsia="Times New Roman" w:hAnsi="Times New Roman"/>
          <w:sz w:val="18"/>
          <w:szCs w:val="18"/>
          <w:color w:val="auto"/>
        </w:rPr>
      </w:pPr>
    </w:p>
    <w:p>
      <w:pPr>
        <w:jc w:val="both"/>
        <w:ind w:right="20" w:firstLine="1505"/>
        <w:spacing w:after="0" w:line="266" w:lineRule="auto"/>
        <w:tabs>
          <w:tab w:leader="none" w:pos="203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 and Regulatory Cooperation</w:t>
      </w:r>
      <w:r>
        <w:rPr>
          <w:rFonts w:ascii="Times New Roman" w:cs="Times New Roman" w:eastAsia="Times New Roman" w:hAnsi="Times New Roman"/>
          <w:sz w:val="18"/>
          <w:szCs w:val="18"/>
          <w:color w:val="auto"/>
        </w:rPr>
        <w:t>. During and after your employment, you shall reasonably cooperate fully with the Company in (i) the defense or prosecution of any claims or actions now in existence or which may be brought in the future against or on behalf of the Company which relate to events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1755775</wp:posOffset>
            </wp:positionH>
            <wp:positionV relativeFrom="paragraph">
              <wp:posOffset>-2644775</wp:posOffset>
            </wp:positionV>
            <wp:extent cx="2857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3" w:name="page124"/>
    <w:bookmarkEnd w:id="123"/>
    <w:p>
      <w:pPr>
        <w:jc w:val="both"/>
        <w:spacing w:after="0" w:line="219" w:lineRule="exact"/>
        <w:rPr>
          <w:sz w:val="20"/>
          <w:szCs w:val="20"/>
          <w:color w:val="auto"/>
        </w:rPr>
      </w:pPr>
      <w:r>
        <w:rPr>
          <w:rFonts w:ascii="Times New Roman" w:cs="Times New Roman" w:eastAsia="Times New Roman" w:hAnsi="Times New Roman"/>
          <w:sz w:val="18"/>
          <w:szCs w:val="18"/>
          <w:color w:val="auto"/>
        </w:rPr>
        <w:t>occurrences that transpired while you were employed by the Company, and (ii) the investigation, whether internal or external, of any matters about which the Company believes you may have knowledge or information. Your full reasonable cooperation in connection with such claims, actions or investigations shall include, but not be limited to, being available to meet with counsel to answer questions or to prepare for discovery or trial and to act as a witness on behalf of the Company at mutually convenient times. During and after your employment, you also shall reasonably cooperate fully with the Company in connection with any investigation or review of any federal, state or local regulatory authority as any such investigation or review relates to events or occurrences that transpired while you were employed by the Company. The Company shall reimburse you for any reasonable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expenses incurred in connection with your performance of obligations pursuant to this Section 8(c). The Company agrees that if you have provided fifteen (15) hours of cooperation to the Company after your Date of Termination, the Company shall pay you an hourly rate of $400 for any additional hours of cooperation, over the initial fifteen (15) hours, except for your testimony pursuant to a lawfully issued summons or subpoena. The Company further agrees that it will pay/reimburse your reasonable out-of-pocket expenses and fees within thirty (30) days of your submission of receipts and invoices to the Company.</w:t>
      </w:r>
    </w:p>
    <w:p>
      <w:pPr>
        <w:spacing w:after="0" w:line="200" w:lineRule="exact"/>
        <w:rPr>
          <w:sz w:val="20"/>
          <w:szCs w:val="20"/>
          <w:color w:val="auto"/>
        </w:rPr>
      </w:pPr>
    </w:p>
    <w:p>
      <w:pPr>
        <w:spacing w:after="0" w:line="210" w:lineRule="exact"/>
        <w:rPr>
          <w:sz w:val="20"/>
          <w:szCs w:val="20"/>
          <w:color w:val="auto"/>
        </w:rPr>
      </w:pPr>
    </w:p>
    <w:p>
      <w:pPr>
        <w:jc w:val="both"/>
        <w:ind w:firstLine="1505"/>
        <w:spacing w:after="0" w:line="258" w:lineRule="auto"/>
        <w:tabs>
          <w:tab w:leader="none" w:pos="203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Relief</w:t>
      </w:r>
      <w:r>
        <w:rPr>
          <w:rFonts w:ascii="Times New Roman" w:cs="Times New Roman" w:eastAsia="Times New Roman" w:hAnsi="Times New Roman"/>
          <w:sz w:val="18"/>
          <w:szCs w:val="18"/>
          <w:color w:val="auto"/>
        </w:rPr>
        <w:t>. You agree that it may be difficult to measure any damages caused to the Company which might result from any breach by you of the Continuing Obligations, and that in any event money damages may be an inadequate remedy for any such breach. Accordingly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you agree that if you breach, or propose to breach, any portion of the Continuing Obligations, the Company shall be entitled, in addition to all other remedies that it may have, to seek an injunction or other appropriate equitable relief to restrain any such breach without showing or proving any actual damage to the Company.</w:t>
      </w:r>
    </w:p>
    <w:p>
      <w:pPr>
        <w:spacing w:after="0" w:line="183" w:lineRule="exact"/>
        <w:rPr>
          <w:rFonts w:ascii="Times New Roman" w:cs="Times New Roman" w:eastAsia="Times New Roman" w:hAnsi="Times New Roman"/>
          <w:sz w:val="18"/>
          <w:szCs w:val="18"/>
          <w:color w:val="auto"/>
        </w:rPr>
      </w:pPr>
    </w:p>
    <w:p>
      <w:pPr>
        <w:jc w:val="both"/>
        <w:ind w:firstLine="1505"/>
        <w:spacing w:after="0" w:line="256" w:lineRule="auto"/>
        <w:tabs>
          <w:tab w:leader="none" w:pos="203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Protected Activities; Defend Trade Secrets Act of 2016</w:t>
      </w:r>
      <w:r>
        <w:rPr>
          <w:rFonts w:ascii="Times New Roman" w:cs="Times New Roman" w:eastAsia="Times New Roman" w:hAnsi="Times New Roman"/>
          <w:sz w:val="18"/>
          <w:szCs w:val="18"/>
          <w:color w:val="auto"/>
        </w:rPr>
        <w:t>. Nothing contained in this Agreement, any other agreement with the Company or any Company policy limits your ability, with or without notice to the Company, to: (i) file a charge or complaint with any federal, state or local governmental agency or commission (a “Government Agency”), including without limitation, the Equal Employment Opportunity Commission, the National Labor Relations Board or the Securities and Exchange Commission; (ii) communicate with any Government Agency or otherwise participate in any investigation or proceeding that may be conducted by an Government Agency, including by providing non-privileged documents or information; (iii) exercise any rights under Section 7 of the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4" w:name="page125"/>
    <w:bookmarkEnd w:id="124"/>
    <w:p>
      <w:pPr>
        <w:jc w:val="both"/>
        <w:spacing w:after="0" w:line="254" w:lineRule="auto"/>
        <w:rPr>
          <w:sz w:val="20"/>
          <w:szCs w:val="20"/>
          <w:color w:val="auto"/>
        </w:rPr>
      </w:pPr>
      <w:r>
        <w:rPr>
          <w:rFonts w:ascii="Times New Roman" w:cs="Times New Roman" w:eastAsia="Times New Roman" w:hAnsi="Times New Roman"/>
          <w:sz w:val="18"/>
          <w:szCs w:val="18"/>
          <w:color w:val="auto"/>
        </w:rPr>
        <w:t>National Labor Relations Act, which are available to non-supervisory employees, including assisting co-workers with or discussing any employment issue as part of engaging in concerted activities for purpose of mutual aid or protection; (iv) discuss or disclose information about unlawful acts in the workplace, such as harassment or discrimination or any other conduct that you have reason to believe is unlawful; or (v) testify truthfully in a legal proceeding. Any such communications and disclosures must not violate applicable law and the information disclosed must not have been obtained through a communication that was subject to the attorney-client privilege (unless disclosure of that information would otherwise be permitted consistent with such privilege or applicable law). In addition, pursuant to the federal Defend Trade Secrets Act of 2016, you shall not be held criminally or civilly liable under any federal or state trade secret law or under this Agreement or the Restrictive Covenants Agreement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200" w:lineRule="exact"/>
        <w:rPr>
          <w:sz w:val="20"/>
          <w:szCs w:val="20"/>
          <w:color w:val="auto"/>
        </w:rPr>
      </w:pPr>
    </w:p>
    <w:p>
      <w:pPr>
        <w:spacing w:after="0" w:line="204" w:lineRule="exact"/>
        <w:rPr>
          <w:sz w:val="20"/>
          <w:szCs w:val="20"/>
          <w:color w:val="auto"/>
        </w:rPr>
      </w:pPr>
    </w:p>
    <w:p>
      <w:pPr>
        <w:ind w:left="1020" w:hanging="263"/>
        <w:spacing w:after="0"/>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of Disputes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05"/>
        <w:spacing w:after="0" w:line="253" w:lineRule="auto"/>
        <w:tabs>
          <w:tab w:leader="none" w:pos="2036"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Generally</w:t>
      </w:r>
      <w:r>
        <w:rPr>
          <w:rFonts w:ascii="Times New Roman" w:cs="Times New Roman" w:eastAsia="Times New Roman" w:hAnsi="Times New Roman"/>
          <w:sz w:val="18"/>
          <w:szCs w:val="18"/>
          <w:color w:val="auto"/>
        </w:rPr>
        <w:t>. Any controversy or claim arising out of or relating to this Agreement or the breach thereof or otherwise arising out of your employment or the termination of that employment (including, without limitation, any claims of unlawful employment discrimination or retaliation, whether based on race, religion, national origin, sex, gender, age, disability, sexual orientation, or any other protected class under applicable law, including without limitation Massachusetts General Laws Chapter 151B) shall, to the fullest extent permitted by law, be settled by arbitration in any forum and form agreed upon by the parties or, in the absence of such an agreement, under the auspices of JAMS in Boston, Massachusetts in accordance with the JAMS Employment Arbitration Rules, including, but not limited to, the rules and procedures applicable to the selection of arbitrators. You understand that you may only bring such claims in your individual capacity, and not as a plaintiff or class member in any purported class proceeding or any purported representative proceeding. You further understand that, by signing this Agreement, the Company and you are giving up any right they may have to a jury trial on all claims they may have against each other. Judgment upon the award rendered by the arbitrator may be entered in any court having jurisdiction thereof. This Section 9 shall be specifically enforceable. Notwithstanding the foregoing, this Section 9 shall not preclude either party from pursuing a court action for the sole purpose of obtaining a temporary restraining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5" w:name="page126"/>
    <w:bookmarkEnd w:id="125"/>
    <w:p>
      <w:pPr>
        <w:ind w:right="20"/>
        <w:spacing w:after="0" w:line="282" w:lineRule="auto"/>
        <w:rPr>
          <w:sz w:val="20"/>
          <w:szCs w:val="20"/>
          <w:color w:val="auto"/>
        </w:rPr>
      </w:pPr>
      <w:r>
        <w:rPr>
          <w:rFonts w:ascii="Times New Roman" w:cs="Times New Roman" w:eastAsia="Times New Roman" w:hAnsi="Times New Roman"/>
          <w:sz w:val="18"/>
          <w:szCs w:val="18"/>
          <w:color w:val="auto"/>
        </w:rPr>
        <w:t>order or a preliminary injunction in circumstances in which such relief is appropriate, including without limitation relief sought under the Restrictive Covenants Agreement; provided that any other relief shall be pursued through an arbitration proceeding pursuant to this Section 9.</w:t>
      </w:r>
    </w:p>
    <w:p>
      <w:pPr>
        <w:spacing w:after="0" w:line="162" w:lineRule="exact"/>
        <w:rPr>
          <w:sz w:val="20"/>
          <w:szCs w:val="20"/>
          <w:color w:val="auto"/>
        </w:rPr>
      </w:pPr>
    </w:p>
    <w:p>
      <w:pPr>
        <w:jc w:val="both"/>
        <w:ind w:firstLine="1505"/>
        <w:spacing w:after="0" w:line="261" w:lineRule="auto"/>
        <w:tabs>
          <w:tab w:leader="none" w:pos="203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Fees and Costs</w:t>
      </w:r>
      <w:r>
        <w:rPr>
          <w:rFonts w:ascii="Times New Roman" w:cs="Times New Roman" w:eastAsia="Times New Roman" w:hAnsi="Times New Roman"/>
          <w:sz w:val="18"/>
          <w:szCs w:val="18"/>
          <w:color w:val="auto"/>
        </w:rPr>
        <w:t>. You shall be required to pay an arbitration fee to initiate any arbitration equal to what you would be charged as a first appearance fee in court. The Company shall pay the remaining fees and costs of the arbitrator. Each party shall pay its own costs and attorneys’ fees, if any. If, however, any party prevails on a statutory or contractual claim that entitles the prevailing party to attorneys’ fees (including pursuant to this Agreement), the arbitrator will award attorneys’ fees to the prevailing party to the extent permitted by law.</w:t>
      </w:r>
    </w:p>
    <w:p>
      <w:pPr>
        <w:spacing w:after="0" w:line="179" w:lineRule="exact"/>
        <w:rPr>
          <w:rFonts w:ascii="Times New Roman" w:cs="Times New Roman" w:eastAsia="Times New Roman" w:hAnsi="Times New Roman"/>
          <w:sz w:val="18"/>
          <w:szCs w:val="18"/>
          <w:color w:val="auto"/>
        </w:rPr>
      </w:pPr>
    </w:p>
    <w:p>
      <w:pPr>
        <w:jc w:val="both"/>
        <w:ind w:firstLine="757"/>
        <w:spacing w:after="0" w:line="258" w:lineRule="auto"/>
        <w:tabs>
          <w:tab w:leader="none" w:pos="101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To the extent that any court action is permitted consistent with or to enforce Section 9 of this Agreement, the parties hereby consent to the jurisdiction of the state and federal courts of the Commonwealth of Massachusetts. Accordingly, with respect to any such court action, you (a) submit to the exclusive personal jurisdiction of such courts; (b) consent to service of process; (c) waive any other requirement (whether imposed by statute, rule of court, or otherwise) with respect to personal jurisdiction or service of process and (d) you and the Company waive any right to a jury in connection with any such court action.</w:t>
      </w:r>
    </w:p>
    <w:p>
      <w:pPr>
        <w:spacing w:after="0" w:line="183" w:lineRule="exact"/>
        <w:rPr>
          <w:rFonts w:ascii="Times New Roman" w:cs="Times New Roman" w:eastAsia="Times New Roman" w:hAnsi="Times New Roman"/>
          <w:sz w:val="18"/>
          <w:szCs w:val="18"/>
          <w:color w:val="auto"/>
        </w:rPr>
      </w:pPr>
    </w:p>
    <w:p>
      <w:pPr>
        <w:ind w:right="20" w:firstLine="757"/>
        <w:spacing w:after="0" w:line="282" w:lineRule="auto"/>
        <w:tabs>
          <w:tab w:leader="none" w:pos="101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“Indemnification Agreement” between the Company and you, dated January 26, 2024 (the “Indemnification Agreement”) is hereby incorporated by reference.</w:t>
      </w:r>
    </w:p>
    <w:p>
      <w:pPr>
        <w:spacing w:after="0" w:line="161" w:lineRule="exact"/>
        <w:rPr>
          <w:rFonts w:ascii="Times New Roman" w:cs="Times New Roman" w:eastAsia="Times New Roman" w:hAnsi="Times New Roman"/>
          <w:sz w:val="18"/>
          <w:szCs w:val="18"/>
          <w:color w:val="auto"/>
        </w:rPr>
      </w:pPr>
    </w:p>
    <w:p>
      <w:pPr>
        <w:jc w:val="both"/>
        <w:ind w:firstLine="757"/>
        <w:spacing w:after="0" w:line="266" w:lineRule="auto"/>
        <w:tabs>
          <w:tab w:leader="none" w:pos="101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Mitigation</w:t>
      </w:r>
      <w:r>
        <w:rPr>
          <w:rFonts w:ascii="Times New Roman" w:cs="Times New Roman" w:eastAsia="Times New Roman" w:hAnsi="Times New Roman"/>
          <w:sz w:val="18"/>
          <w:szCs w:val="18"/>
          <w:color w:val="auto"/>
        </w:rPr>
        <w:t>. The Company agrees that if your employment by the Company is terminated during the term of this Agreement, you are not required to seek other employment or to attempt in any way to reduce any amounts payable to you by the Company pursuant to Sections 5 or 6 hereof. Further, the amount of any payment provided for in this Agreement shall not be reduced by any compensation earned by you.</w:t>
      </w:r>
    </w:p>
    <w:p>
      <w:pPr>
        <w:spacing w:after="0" w:line="175" w:lineRule="exact"/>
        <w:rPr>
          <w:rFonts w:ascii="Times New Roman" w:cs="Times New Roman" w:eastAsia="Times New Roman" w:hAnsi="Times New Roman"/>
          <w:sz w:val="18"/>
          <w:szCs w:val="18"/>
          <w:color w:val="auto"/>
        </w:rPr>
      </w:pPr>
    </w:p>
    <w:p>
      <w:pPr>
        <w:jc w:val="both"/>
        <w:ind w:firstLine="757"/>
        <w:spacing w:after="0" w:line="266" w:lineRule="auto"/>
        <w:tabs>
          <w:tab w:leader="none" w:pos="101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the subject matter hereof and supersedes all prior agreements between the parties concerning such subject matter, including the Prior Agreement, provided that the Restrictive Covenants Agreement, the Indemnification Agreement and the Equity Documents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6" w:name="page127"/>
    <w:bookmarkEnd w:id="126"/>
    <w:p>
      <w:pPr>
        <w:jc w:val="both"/>
        <w:ind w:firstLine="757"/>
        <w:spacing w:after="0" w:line="266" w:lineRule="auto"/>
        <w:tabs>
          <w:tab w:leader="none" w:pos="101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 Effect</w:t>
      </w:r>
      <w:r>
        <w:rPr>
          <w:rFonts w:ascii="Times New Roman" w:cs="Times New Roman" w:eastAsia="Times New Roman" w:hAnsi="Times New Roman"/>
          <w:sz w:val="18"/>
          <w:szCs w:val="18"/>
          <w:color w:val="auto"/>
        </w:rPr>
        <w:t>. All payments made by the Company to you under this Agreement shall be net of any tax or other amounts required to be withheld by the Company under applicable law. Nothing in this Agreement shall be construed to require the Company to make any payments to compensate you for any adverse tax effect associated with any payments or benefits or for any deduction or withholding from any payment or benefit.</w:t>
      </w:r>
    </w:p>
    <w:p>
      <w:pPr>
        <w:spacing w:after="0" w:line="175" w:lineRule="exact"/>
        <w:rPr>
          <w:rFonts w:ascii="Times New Roman" w:cs="Times New Roman" w:eastAsia="Times New Roman" w:hAnsi="Times New Roman"/>
          <w:sz w:val="18"/>
          <w:szCs w:val="18"/>
          <w:color w:val="auto"/>
        </w:rPr>
      </w:pPr>
    </w:p>
    <w:p>
      <w:pPr>
        <w:jc w:val="both"/>
        <w:ind w:firstLine="757"/>
        <w:spacing w:after="0" w:line="254" w:lineRule="auto"/>
        <w:tabs>
          <w:tab w:leader="none" w:pos="101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you nor the Company may make any assignment of this Agreement or any interest in it, by operation of law or otherwise, without the prior written consent of the other; provided, however, that the Company may assign its rights and obligations under this Agreement (including the Restrictive Covenants Agreement) without your consent to any affiliate or to any person or entity with whom the Company shall hereafter effect a reorganization, consolidate with, or merge into or to whom it transfers all or substantially all of its properties or assets, but only on the condition that it assigns both its rights and obligations. This Agreement shall inure to the benefit of and be binding upon you and the Company, and each of yours and the Company’s respective successors, executors, administrators, heirs, personal representatives, and permitted assigns. In the event of your death prior to the completion by the Company of any payments due to you under Sections 5 or 6 of this Agreement, the Company shall continue such payments to the beneficiary you designated in writing to the Company prior to your death, or to your estate, heirs, executors or personal representatives if you failed to make such designation.</w:t>
      </w:r>
    </w:p>
    <w:p>
      <w:pPr>
        <w:spacing w:after="0" w:line="188" w:lineRule="exact"/>
        <w:rPr>
          <w:rFonts w:ascii="Times New Roman" w:cs="Times New Roman" w:eastAsia="Times New Roman" w:hAnsi="Times New Roman"/>
          <w:sz w:val="18"/>
          <w:szCs w:val="18"/>
          <w:color w:val="auto"/>
        </w:rPr>
      </w:pPr>
    </w:p>
    <w:p>
      <w:pPr>
        <w:jc w:val="both"/>
        <w:ind w:right="20" w:firstLine="757"/>
        <w:spacing w:after="0" w:line="261" w:lineRule="auto"/>
        <w:tabs>
          <w:tab w:leader="none" w:pos="101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9"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provisions of this Agreement shall survive the termination of this Agreement and/or the termination of your employment to the extent necessary to effectuate the terms contained herein.</w:t>
      </w:r>
    </w:p>
    <w:p>
      <w:pPr>
        <w:spacing w:after="0" w:line="161" w:lineRule="exact"/>
        <w:rPr>
          <w:rFonts w:ascii="Times New Roman" w:cs="Times New Roman" w:eastAsia="Times New Roman" w:hAnsi="Times New Roman"/>
          <w:sz w:val="18"/>
          <w:szCs w:val="18"/>
          <w:color w:val="auto"/>
        </w:rPr>
      </w:pPr>
    </w:p>
    <w:p>
      <w:pPr>
        <w:jc w:val="both"/>
        <w:ind w:firstLine="757"/>
        <w:spacing w:after="0" w:line="266" w:lineRule="auto"/>
        <w:tabs>
          <w:tab w:leader="none" w:pos="101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7" w:name="page128"/>
    <w:bookmarkEnd w:id="127"/>
    <w:p>
      <w:pPr>
        <w:jc w:val="both"/>
        <w:ind w:firstLine="757"/>
        <w:spacing w:after="0" w:line="266" w:lineRule="auto"/>
        <w:tabs>
          <w:tab w:leader="none" w:pos="101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you at the last address you have on file in writing with the Company or, in the case of the Company, at its main offices, attention of the Board.</w:t>
      </w:r>
    </w:p>
    <w:p>
      <w:pPr>
        <w:spacing w:after="0" w:line="175"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or modified only by a written instrument signed by you and by a duly authorized representative of the Company.</w:t>
      </w:r>
    </w:p>
    <w:p>
      <w:pPr>
        <w:spacing w:after="0" w:line="161" w:lineRule="exact"/>
        <w:rPr>
          <w:rFonts w:ascii="Times New Roman" w:cs="Times New Roman" w:eastAsia="Times New Roman" w:hAnsi="Times New Roman"/>
          <w:sz w:val="18"/>
          <w:szCs w:val="18"/>
          <w:color w:val="auto"/>
        </w:rPr>
      </w:pPr>
    </w:p>
    <w:p>
      <w:pPr>
        <w:jc w:val="both"/>
        <w:ind w:firstLine="757"/>
        <w:spacing w:after="0" w:line="254" w:lineRule="auto"/>
        <w:tabs>
          <w:tab w:leader="none" w:pos="101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Other Plans and Agreements</w:t>
      </w:r>
      <w:r>
        <w:rPr>
          <w:rFonts w:ascii="Times New Roman" w:cs="Times New Roman" w:eastAsia="Times New Roman" w:hAnsi="Times New Roman"/>
          <w:sz w:val="18"/>
          <w:szCs w:val="18"/>
          <w:color w:val="auto"/>
        </w:rPr>
        <w:t>. An election by you to resign for Good Reason under the provisions of this Agreement shall not be deemed a voluntary termination of employment by you for the purpose of interpreting the provisions of any of the Company's benefit plans, programs or policies. Nothing in this Agreement shall be construed to limit the rights of you under the Company’s benefit plans, programs or policies except as otherwise provided in Section 8 hereof, and except that you shall have no rights to any severance benefits under any Company severance pay plan, offer letter or otherwise. In the event that you are a party to an agreement with the Company providing for payments or benefits under such plan or agreement and under this Agreement, the terms of this Agreement shall govern and you may receive payment under this Agreement only and not both. Further, Section 5 and Section 6 of this Agreement are mutually exclusive and in no event shall you be entitled to payments or benefits pursuant to both Section 5 and Section 6 of this Agreement.</w:t>
      </w:r>
    </w:p>
    <w:p>
      <w:pPr>
        <w:spacing w:after="0" w:line="191" w:lineRule="exact"/>
        <w:rPr>
          <w:rFonts w:ascii="Times New Roman" w:cs="Times New Roman" w:eastAsia="Times New Roman" w:hAnsi="Times New Roman"/>
          <w:sz w:val="18"/>
          <w:szCs w:val="18"/>
          <w:color w:val="auto"/>
        </w:rPr>
      </w:pPr>
    </w:p>
    <w:p>
      <w:pPr>
        <w:jc w:val="both"/>
        <w:ind w:firstLine="757"/>
        <w:spacing w:after="0" w:line="263" w:lineRule="auto"/>
        <w:tabs>
          <w:tab w:leader="none" w:pos="101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is a Massachusetts contract and shall be construed under and be governed in all respects by the laws of the Commonwealth of Massachusetts, without giving effect to the conflict of laws principles thereof. With respect to any disputes concerning federal law, such disputes shall be determined in accordance with the law as it would be interpreted and applied by the United States Court of Appeals for the First Circuit.</w:t>
      </w:r>
    </w:p>
    <w:p>
      <w:pPr>
        <w:spacing w:after="0" w:line="399"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effective on the Effective Date.</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229" w:lineRule="exact"/>
        <w:rPr>
          <w:sz w:val="20"/>
          <w:szCs w:val="20"/>
          <w:color w:val="auto"/>
        </w:rPr>
      </w:pPr>
    </w:p>
    <w:tbl>
      <w:tblPr>
        <w:tblLayout w:type="fixed"/>
        <w:tblInd w:w="610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Quisel</w:t>
            </w:r>
          </w:p>
        </w:tc>
      </w:tr>
      <w:tr>
        <w:trPr>
          <w:trHeight w:val="21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41"/>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w:t>
            </w:r>
          </w:p>
        </w:tc>
      </w:tr>
      <w:tr>
        <w:trPr>
          <w:trHeight w:val="64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Jean Franchi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3877310</wp:posOffset>
            </wp:positionH>
            <wp:positionV relativeFrom="paragraph">
              <wp:posOffset>0</wp:posOffset>
            </wp:positionV>
            <wp:extent cx="27774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8"/>
          <w:szCs w:val="18"/>
          <w:color w:val="auto"/>
        </w:rPr>
        <w:t>Jean Franchi</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Restrictive Covenants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898525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EMPLOYMENT AGREEMENT</w:t>
      </w:r>
    </w:p>
    <w:p>
      <w:pPr>
        <w:spacing w:after="0" w:line="33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This Amended and Restated Employment Agreement (“Agreement”) is made between Disc Medicine, Inc., (the “Company”), and Pamela Stephenson (“You”) and is effective as of July 29, 2026 (the “Effective Date”). Except with respect to the Restrictive Covenants Agreement, the Indemnification Agreement and the Equity Documents (each as defined below), this Agreement supersedes in all respects all prior agreements between you and the Company regarding the subject matter herein, including without limitation the employment agreement between you and the Company, (the “Prior Agreement”).</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WHEREAS, the Company desires to continue to employ you and you desire to continue to be employed by the Company on the new terms and conditions contained herein.</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62" w:lineRule="exact"/>
        <w:rPr>
          <w:sz w:val="20"/>
          <w:szCs w:val="20"/>
          <w:color w:val="auto"/>
        </w:rPr>
      </w:pPr>
    </w:p>
    <w:p>
      <w:pPr>
        <w:ind w:left="1020" w:hanging="263"/>
        <w:spacing w:after="0"/>
        <w:tabs>
          <w:tab w:leader="none" w:pos="10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Company shall employ you and you shall be employed by the Company pursuant to this Agreement commencing as of the Effective Date and continuing until such employment is terminated in accordance with the provisions hereof (the “Term”). Your employment with the Company will continue to be “at will,” meaning that your employment may be terminated by the Company or you at any time and for any reason subject to the terms of this Agreement.</w:t>
      </w:r>
    </w:p>
    <w:p>
      <w:pPr>
        <w:spacing w:after="0" w:line="179"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 You shall serve as the Chief Commercial Officer of the Company and shall report directly to the Chief Executive Officer (“CEO”). You shall have such powers and duties as may from time to time be prescribed by the CEO or other duly authorized executive which are consistent with your position as Chief Commercial Officer. You shall devote your full working time and efforts to the business and affairs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1" w:name="page132"/>
    <w:bookmarkEnd w:id="131"/>
    <w:p>
      <w:pPr>
        <w:jc w:val="both"/>
        <w:spacing w:after="0" w:line="255" w:lineRule="auto"/>
        <w:rPr>
          <w:sz w:val="20"/>
          <w:szCs w:val="20"/>
          <w:color w:val="auto"/>
        </w:rPr>
      </w:pPr>
      <w:r>
        <w:rPr>
          <w:rFonts w:ascii="Times New Roman" w:cs="Times New Roman" w:eastAsia="Times New Roman" w:hAnsi="Times New Roman"/>
          <w:sz w:val="18"/>
          <w:szCs w:val="18"/>
          <w:color w:val="auto"/>
        </w:rPr>
        <w:t>Company. Notwithstanding the foregoing, you may serve on other boards of directors, with the approval of the Board of Directors of the Company (including any committee thereof, the “Board”), which approval shall not unreasonably be withheld by the Board, or engage in religious, charitable or other community activities as long as such services and activities are disclosed to the Board and do not interfere with your performance of your duties to the Company. Your service on the Alagille Syndrome Alliance (ALGSA) Scientific Advisory Council remains approved. To the extent applicable, you shall be deemed to have resigned from all officer and, if applicable, board member positions that you hold with the Company or any of its respective subsidiaries and affiliates upon the termination of your employment for any reason. You shall execute any documents in reasonable form as may be requested to confirm or effectuate any such resignations.</w:t>
      </w:r>
    </w:p>
    <w:p>
      <w:pPr>
        <w:spacing w:after="0" w:line="189" w:lineRule="exact"/>
        <w:rPr>
          <w:sz w:val="20"/>
          <w:szCs w:val="20"/>
          <w:color w:val="auto"/>
        </w:rPr>
      </w:pPr>
    </w:p>
    <w:p>
      <w:pPr>
        <w:ind w:left="1020" w:hanging="263"/>
        <w:spacing w:after="0"/>
        <w:tabs>
          <w:tab w:leader="none" w:pos="10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Related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05"/>
        <w:spacing w:after="0" w:line="258" w:lineRule="auto"/>
        <w:tabs>
          <w:tab w:leader="none" w:pos="203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Your initial base salary shall be paid at the rate of $538,000 per year. Your base salary shall be subject to periodic review and increase (but not decrease, except for an across-the-board reduction of no greater than 10% based on the Company’s financial performance similarly affecting all or substantially all senior management employees of the Company) by the Board or the Compensation Committee of the Board (the “Compensation Committee”). The base salary in effect at any given time is referred to herein as “Base Salary.” The Base Salary shall be payable in a manner that is consistent with the Company’s usual payroll practices for executive officers.</w:t>
      </w:r>
    </w:p>
    <w:p>
      <w:pPr>
        <w:spacing w:after="0" w:line="183" w:lineRule="exact"/>
        <w:rPr>
          <w:rFonts w:ascii="Times New Roman" w:cs="Times New Roman" w:eastAsia="Times New Roman" w:hAnsi="Times New Roman"/>
          <w:sz w:val="18"/>
          <w:szCs w:val="18"/>
          <w:color w:val="auto"/>
        </w:rPr>
      </w:pPr>
    </w:p>
    <w:p>
      <w:pPr>
        <w:jc w:val="both"/>
        <w:ind w:firstLine="1505"/>
        <w:spacing w:after="0" w:line="255" w:lineRule="auto"/>
        <w:tabs>
          <w:tab w:leader="none" w:pos="203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You shall be eligible to receive cash incentive compensation as determined by the Board or the Compensation Committee from time to time. Your target annual incentive compensation shall be forty-five percent (45%) of your Base Salary. The target annual incentive compensation in effect at any given time is referred to herein as “Target Bonus.” The actual amount of your annual incentive compensation, if any, shall be determined in the sole discretion of the Board or the Compensation Committee, subject to the terms of any applicable incentive compensation plan that may be in effect from time to time (the “Bonus”). Except as otherwise provided herein, to earn incentive compensation, you must be employed by the Company on the day such incentive compensation is paid. The incentive compensation for each fiscal year will be paid no later than two and a half months following such fiscal year.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2" w:name="page133"/>
    <w:bookmarkEnd w:id="132"/>
    <w:p>
      <w:pPr>
        <w:ind w:firstLine="1505"/>
        <w:spacing w:after="0" w:line="282" w:lineRule="auto"/>
        <w:tabs>
          <w:tab w:leader="none" w:pos="203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You shall be entitled to receive prompt reimbursement for all reasonable expenses incurred by you during the Term in performing services hereunder, in accordance with the policies and procedures then in effect and established by the Company for its executive officers.</w:t>
      </w:r>
    </w:p>
    <w:p>
      <w:pPr>
        <w:spacing w:after="0" w:line="161"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 You shall be eligible to participate in or receive benefits under the Company’s employee benefit plans in effect from time to time, subject to the terms of such plans.</w:t>
      </w:r>
    </w:p>
    <w:p>
      <w:pPr>
        <w:spacing w:after="0" w:line="161" w:lineRule="exact"/>
        <w:rPr>
          <w:rFonts w:ascii="Times New Roman" w:cs="Times New Roman" w:eastAsia="Times New Roman" w:hAnsi="Times New Roman"/>
          <w:sz w:val="18"/>
          <w:szCs w:val="18"/>
          <w:color w:val="auto"/>
        </w:rPr>
      </w:pPr>
    </w:p>
    <w:p>
      <w:pPr>
        <w:ind w:right="20" w:firstLine="1505"/>
        <w:spacing w:after="0" w:line="282" w:lineRule="auto"/>
        <w:tabs>
          <w:tab w:leader="none" w:pos="203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Paid Time Off</w:t>
      </w:r>
      <w:r>
        <w:rPr>
          <w:rFonts w:ascii="Times New Roman" w:cs="Times New Roman" w:eastAsia="Times New Roman" w:hAnsi="Times New Roman"/>
          <w:sz w:val="18"/>
          <w:szCs w:val="18"/>
          <w:color w:val="auto"/>
        </w:rPr>
        <w:t>. You shall be entitled to take paid time off in accordance with the Company’s applicable paid time off policy for executives, as may be in effect from time to time. You shall also be entitled to all paid holidays given by the Company to its employees.</w:t>
      </w:r>
    </w:p>
    <w:p>
      <w:pPr>
        <w:spacing w:after="0" w:line="161" w:lineRule="exact"/>
        <w:rPr>
          <w:rFonts w:ascii="Times New Roman" w:cs="Times New Roman" w:eastAsia="Times New Roman" w:hAnsi="Times New Roman"/>
          <w:sz w:val="18"/>
          <w:szCs w:val="18"/>
          <w:color w:val="auto"/>
        </w:rPr>
      </w:pPr>
    </w:p>
    <w:p>
      <w:pPr>
        <w:jc w:val="both"/>
        <w:ind w:firstLine="1505"/>
        <w:spacing w:after="0" w:line="258" w:lineRule="auto"/>
        <w:tabs>
          <w:tab w:leader="none" w:pos="203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The equity awards held by you shall continue to be governed by the terms and conditions of the Company’s applicable equity incentive plan(s) and the applicable award agreement(s) governing the terms of such equity awards held by you (collectively, the “Equity Documents”); provided, however, and notwithstanding anything to the contrary in the Equity Documents, Section 6(a)(ii) of this Agreement shall apply in the event of a termination by the Company without Cause or by you for Good Reason in either event within the Change in Control Period (as such terms are defined below).</w:t>
      </w:r>
    </w:p>
    <w:p>
      <w:pPr>
        <w:spacing w:after="0" w:line="183"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Your employment hereunder may be terminated without any breach of this Agreement under the following circumstances:</w:t>
      </w:r>
    </w:p>
    <w:p>
      <w:pPr>
        <w:spacing w:after="0" w:line="22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Your employment hereunder shall terminate upon your death.</w:t>
      </w:r>
    </w:p>
    <w:p>
      <w:pPr>
        <w:spacing w:after="0" w:line="225" w:lineRule="exact"/>
        <w:rPr>
          <w:rFonts w:ascii="Times New Roman" w:cs="Times New Roman" w:eastAsia="Times New Roman" w:hAnsi="Times New Roman"/>
          <w:sz w:val="18"/>
          <w:szCs w:val="18"/>
          <w:color w:val="auto"/>
        </w:rPr>
      </w:pPr>
    </w:p>
    <w:p>
      <w:pPr>
        <w:jc w:val="both"/>
        <w:ind w:firstLine="1505"/>
        <w:spacing w:after="0" w:line="255" w:lineRule="auto"/>
        <w:tabs>
          <w:tab w:leader="none" w:pos="2036"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The Company may terminate your employment due to your “Disability” if you are unable to perform the essential functions of your then existing position or positions under this Agreement with or without reasonable accommodation for a period of 180 days (which need not be consecutive) in any 12-month period. If any question shall arise as to whether during any period you are disabled so as to be unable to perform the essential functions of your then existing position or positions with or without reasonable accommodation, you may, and at the request of the Company shall, submit to the Company a certification in reasonable detail by a physician selected by the Company who is board certified in the specialty relevant to your medical condition to whom you or your guardian has no reasonable objection as to whether you are disabled or how long such disability is expected to continue,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3" w:name="page134"/>
    <w:bookmarkEnd w:id="133"/>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such certification shall for the purposes of this Agreement be conclusive of the issue. You shall cooperate with any reasonable request of the physician in connection with such certification. If such question shall arise and you shall fail to submit such certification, the Company’s reasonable determination of such issue shall be binding on you. Nothing in this Section 3(b) shall be construed to waive your rights, if any, under existing law including, without limitation, the Family and Medical Leave Act of 1993, 29 U.S.C. §2601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the Americans with Disabilities Act, 42 U.S.C. §12101 </w:t>
      </w:r>
      <w:r>
        <w:rPr>
          <w:rFonts w:ascii="Times New Roman" w:cs="Times New Roman" w:eastAsia="Times New Roman" w:hAnsi="Times New Roman"/>
          <w:sz w:val="18"/>
          <w:szCs w:val="18"/>
          <w:i w:val="1"/>
          <w:iCs w:val="1"/>
          <w:color w:val="auto"/>
        </w:rPr>
        <w:t>et seq.</w:t>
      </w:r>
    </w:p>
    <w:p>
      <w:pPr>
        <w:spacing w:after="0" w:line="180" w:lineRule="exact"/>
        <w:rPr>
          <w:sz w:val="20"/>
          <w:szCs w:val="20"/>
          <w:color w:val="auto"/>
        </w:rPr>
      </w:pPr>
    </w:p>
    <w:p>
      <w:pPr>
        <w:ind w:firstLine="1505"/>
        <w:spacing w:after="0" w:line="282" w:lineRule="auto"/>
        <w:tabs>
          <w:tab w:leader="none" w:pos="203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Company for Cause</w:t>
      </w:r>
      <w:r>
        <w:rPr>
          <w:rFonts w:ascii="Times New Roman" w:cs="Times New Roman" w:eastAsia="Times New Roman" w:hAnsi="Times New Roman"/>
          <w:sz w:val="18"/>
          <w:szCs w:val="18"/>
          <w:color w:val="auto"/>
        </w:rPr>
        <w:t>. The Company may terminate your employment hereunder for Cause. For purposes of this Agreement, “Cause” shall mean any of the following:</w:t>
      </w:r>
    </w:p>
    <w:p>
      <w:pPr>
        <w:spacing w:after="0" w:line="161" w:lineRule="exact"/>
        <w:rPr>
          <w:rFonts w:ascii="Times New Roman" w:cs="Times New Roman" w:eastAsia="Times New Roman" w:hAnsi="Times New Roman"/>
          <w:sz w:val="18"/>
          <w:szCs w:val="18"/>
          <w:color w:val="auto"/>
        </w:rPr>
      </w:pPr>
    </w:p>
    <w:p>
      <w:pPr>
        <w:jc w:val="both"/>
        <w:ind w:firstLine="2254"/>
        <w:spacing w:after="0" w:line="261" w:lineRule="auto"/>
        <w:tabs>
          <w:tab w:leader="none" w:pos="254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conduct by you constituting a material act of intentional misconduct in connection with the performance of your duties, including, without limitation, (A) willful failure or willful refusal to perform material responsibilities that have been lawfully requested by the CEO; (B) intentional dishonesty to the CEO with respect to any material matter; or (C) intentional misappropriation of funds or property of the Company or any of its subsidiaries or affiliates other than the occasional, customary and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use of Company property for personal purposes;</w:t>
      </w:r>
    </w:p>
    <w:p>
      <w:pPr>
        <w:spacing w:after="0" w:line="179"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 by you of (A) any felony or (B) a misdemeanor involving moral turpitude, deceit, dishonesty or fraud;</w:t>
      </w:r>
    </w:p>
    <w:p>
      <w:pPr>
        <w:spacing w:after="0" w:line="225" w:lineRule="exact"/>
        <w:rPr>
          <w:rFonts w:ascii="Times New Roman" w:cs="Times New Roman" w:eastAsia="Times New Roman" w:hAnsi="Times New Roman"/>
          <w:sz w:val="18"/>
          <w:szCs w:val="18"/>
          <w:color w:val="auto"/>
        </w:rPr>
      </w:pPr>
    </w:p>
    <w:p>
      <w:pPr>
        <w:jc w:val="both"/>
        <w:ind w:firstLine="2254"/>
        <w:spacing w:after="0" w:line="266" w:lineRule="auto"/>
        <w:tabs>
          <w:tab w:leader="none" w:pos="254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intentional misconduct by you, regardless of whether or not in the course of your employment, that results in material injury or material reputational harm to the Company or any of its subsidiaries or affiliates if you were to continue to be employed in the same position;</w:t>
      </w:r>
    </w:p>
    <w:p>
      <w:pPr>
        <w:spacing w:after="0" w:line="175" w:lineRule="exact"/>
        <w:rPr>
          <w:rFonts w:ascii="Times New Roman" w:cs="Times New Roman" w:eastAsia="Times New Roman" w:hAnsi="Times New Roman"/>
          <w:sz w:val="18"/>
          <w:szCs w:val="18"/>
          <w:color w:val="auto"/>
        </w:rPr>
      </w:pPr>
    </w:p>
    <w:p>
      <w:pPr>
        <w:ind w:firstLine="2254"/>
        <w:spacing w:after="0" w:line="282" w:lineRule="auto"/>
        <w:tabs>
          <w:tab w:leader="none" w:pos="254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continued willful non-performance by you of your duties hereunder (other than by reason of your physical or mental illness, incapacity or Disability) which has continued for more than 30 days following written notice of such non-performance from the CEO;</w:t>
      </w:r>
    </w:p>
    <w:p>
      <w:pPr>
        <w:spacing w:after="0" w:line="161" w:lineRule="exact"/>
        <w:rPr>
          <w:rFonts w:ascii="Times New Roman" w:cs="Times New Roman" w:eastAsia="Times New Roman" w:hAnsi="Times New Roman"/>
          <w:sz w:val="18"/>
          <w:szCs w:val="18"/>
          <w:color w:val="auto"/>
        </w:rPr>
      </w:pPr>
    </w:p>
    <w:p>
      <w:pPr>
        <w:ind w:firstLine="2254"/>
        <w:spacing w:after="0" w:line="282" w:lineRule="auto"/>
        <w:tabs>
          <w:tab w:leader="none" w:pos="254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you of any of the provisions contained in Section 8 of this Agreement or the Restrictive Covenants Agreement and, if such breach is curable, has continued for more than 30 days following written notice of such material breach (as defined below); or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4" w:name="page135"/>
    <w:bookmarkEnd w:id="134"/>
    <w:p>
      <w:pPr>
        <w:jc w:val="both"/>
        <w:ind w:firstLine="2254"/>
        <w:spacing w:after="0" w:line="261" w:lineRule="auto"/>
        <w:tabs>
          <w:tab w:leader="none" w:pos="254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willful failure to reasonably cooperate with a bona fide internal investigation or an investigation by regulatory or law enforcement authorities, after being reasonably instructed by the Company to cooperate, or the willful destruction or failure to preserve documents or other materials known to be relevant to such investigation or the willful inducement of others to fail to cooperate or to produce documents or other materials in connection with such investigation.</w:t>
      </w:r>
    </w:p>
    <w:p>
      <w:pPr>
        <w:spacing w:after="0" w:line="179"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without Cause</w:t>
      </w:r>
      <w:r>
        <w:rPr>
          <w:rFonts w:ascii="Times New Roman" w:cs="Times New Roman" w:eastAsia="Times New Roman" w:hAnsi="Times New Roman"/>
          <w:sz w:val="18"/>
          <w:szCs w:val="18"/>
          <w:color w:val="auto"/>
        </w:rPr>
        <w:t>. The Company may terminate your employment hereunder at any time without Cause. Any termination by the Company of your employment under this Agreement which does not constitute a termination for Cause under Section 3(c) and does not result from the death or Disability of you under Section 3(a) or (b) shall be deemed a termination without Cause.</w:t>
      </w:r>
    </w:p>
    <w:p>
      <w:pPr>
        <w:spacing w:after="0" w:line="175"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You</w:t>
      </w:r>
      <w:r>
        <w:rPr>
          <w:rFonts w:ascii="Times New Roman" w:cs="Times New Roman" w:eastAsia="Times New Roman" w:hAnsi="Times New Roman"/>
          <w:sz w:val="18"/>
          <w:szCs w:val="18"/>
          <w:color w:val="auto"/>
        </w:rPr>
        <w:t>. You may terminate employment hereunder at any time for any reason, including but not limited to, Good Reason. For purposes of this Agreement, “Good Reason” shall mean that you have completed all steps of the Good Reason Process (hereinafter defined) following the occurrence of any of the following events without your written consent (each, a “Good Reason Condition”):</w:t>
      </w:r>
    </w:p>
    <w:p>
      <w:pPr>
        <w:spacing w:after="0" w:line="175"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your responsibilities, authority or duties</w:t>
      </w:r>
    </w:p>
    <w:p>
      <w:pPr>
        <w:spacing w:after="0" w:line="225" w:lineRule="exact"/>
        <w:rPr>
          <w:rFonts w:ascii="Times New Roman" w:cs="Times New Roman" w:eastAsia="Times New Roman" w:hAnsi="Times New Roman"/>
          <w:sz w:val="18"/>
          <w:szCs w:val="18"/>
          <w:color w:val="auto"/>
        </w:rPr>
      </w:pPr>
    </w:p>
    <w:p>
      <w:pPr>
        <w:ind w:left="760" w:firstLine="1494"/>
        <w:spacing w:after="0" w:line="282" w:lineRule="auto"/>
        <w:tabs>
          <w:tab w:leader="none" w:pos="2557"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your Base Salary except for across-the-board salary reductions of no greater than 10% based on the Company’s financial performance similarly affecting all or substantially all senior management employees of the Company;</w:t>
      </w:r>
    </w:p>
    <w:p>
      <w:pPr>
        <w:spacing w:after="0" w:line="161" w:lineRule="exact"/>
        <w:rPr>
          <w:rFonts w:ascii="Times New Roman" w:cs="Times New Roman" w:eastAsia="Times New Roman" w:hAnsi="Times New Roman"/>
          <w:sz w:val="18"/>
          <w:szCs w:val="18"/>
          <w:color w:val="auto"/>
        </w:rPr>
      </w:pPr>
    </w:p>
    <w:p>
      <w:pPr>
        <w:ind w:left="760" w:firstLine="1494"/>
        <w:spacing w:after="0" w:line="282" w:lineRule="auto"/>
        <w:tabs>
          <w:tab w:leader="none" w:pos="2557"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of at least thirty (30) miles of the location of the physical Company office to which you report (which to avoid doubt does not include any home office you may have); or</w:t>
      </w:r>
    </w:p>
    <w:p>
      <w:pPr>
        <w:spacing w:after="0" w:line="161"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by the Company of the material terms of this Agreement or any other written agreement between the Company</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you.</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“Good Reason Process” consists of the following steps: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5" w:name="page136"/>
    <w:bookmarkEnd w:id="135"/>
    <w:p>
      <w:pPr>
        <w:ind w:left="2560" w:hanging="306"/>
        <w:spacing w:after="0"/>
        <w:tabs>
          <w:tab w:leader="none" w:pos="25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reasonably determine in good faith that a Good Reason Condition has occurred;</w:t>
      </w:r>
    </w:p>
    <w:p>
      <w:pPr>
        <w:spacing w:after="0" w:line="225" w:lineRule="exact"/>
        <w:rPr>
          <w:rFonts w:ascii="Times New Roman" w:cs="Times New Roman" w:eastAsia="Times New Roman" w:hAnsi="Times New Roman"/>
          <w:sz w:val="18"/>
          <w:szCs w:val="18"/>
          <w:color w:val="auto"/>
        </w:rPr>
      </w:pPr>
    </w:p>
    <w:p>
      <w:pPr>
        <w:ind w:left="760" w:firstLine="1494"/>
        <w:spacing w:after="0" w:line="282" w:lineRule="auto"/>
        <w:tabs>
          <w:tab w:leader="none" w:pos="255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notify the Company in writing of the first occurrence of the Good Reason Condition within 60 days of the first occurrence of such condition;</w:t>
      </w:r>
    </w:p>
    <w:p>
      <w:pPr>
        <w:spacing w:after="0" w:line="162" w:lineRule="exact"/>
        <w:rPr>
          <w:sz w:val="20"/>
          <w:szCs w:val="20"/>
          <w:color w:val="auto"/>
        </w:rPr>
      </w:pPr>
    </w:p>
    <w:p>
      <w:pPr>
        <w:ind w:left="760" w:firstLine="1497"/>
        <w:spacing w:after="0" w:line="282" w:lineRule="auto"/>
        <w:rPr>
          <w:sz w:val="20"/>
          <w:szCs w:val="20"/>
          <w:color w:val="auto"/>
        </w:rPr>
      </w:pPr>
      <w:r>
        <w:rPr>
          <w:rFonts w:ascii="Times New Roman" w:cs="Times New Roman" w:eastAsia="Times New Roman" w:hAnsi="Times New Roman"/>
          <w:sz w:val="18"/>
          <w:szCs w:val="18"/>
          <w:color w:val="auto"/>
        </w:rPr>
        <w:t>(vii)you cooperate in good faith with the Company’s efforts, for a period of not less than 30 days following such notice (the “Cure Period”), to remedy the Good Reason Condition;</w:t>
      </w:r>
    </w:p>
    <w:p>
      <w:pPr>
        <w:spacing w:after="0" w:line="16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(viii)notwithstanding such Cure Period, the Good Reason Condition continues to exist; and</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(ix) you terminate employment within 60 days after the end of the Cure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Company cures the Good Reason Condition during the Cure Period, Good Reason shall be deemed not to have occurred.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your employment with the Company is terminated for any reason, the Company shall pay or provide to you (or your authorized representative or estate)</w:t>
      </w:r>
    </w:p>
    <w:p>
      <w:pPr>
        <w:spacing w:after="0" w:line="27" w:lineRule="exact"/>
        <w:rPr>
          <w:sz w:val="20"/>
          <w:szCs w:val="20"/>
          <w:color w:val="auto"/>
        </w:rPr>
      </w:pPr>
    </w:p>
    <w:p>
      <w:pPr>
        <w:jc w:val="both"/>
        <w:ind w:firstLine="8"/>
        <w:spacing w:after="0" w:line="252" w:lineRule="auto"/>
        <w:tabs>
          <w:tab w:leader="none" w:pos="22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Base Salary earned through the Date of Termination; (ii) unpaid expense reimbursements (subject to, and in accordance with, Section 2(c) of this Agreement); (iii) any vested benefits you may have under any employee benefit plan of the Company through the Date of Termination, which vested benefits shall be paid and/or provided in accordance with the terms of such employee benefit plans; and (iv) if your employment is terminated by the Company because of your death or Disability, a lump sum payment of any earned, but unpaid Bonus for the fiscal year prior to the fiscal year your employment is terminated because of your death or Disability (collectively, the “Accrued Obligations”). The earned but unpaid Bonus in subsection (iv) will be paid at the same time as the Company pays bonuses to similarly situated executives, but in no event later than the end of the taxable year in which the Date of Termination occurs.</w:t>
      </w:r>
    </w:p>
    <w:p>
      <w:pPr>
        <w:spacing w:after="0" w:line="188"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and Date of 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Except for termination as specified in Section 3(a), any termination of your employment by the Company or any such termination by you shall be communicated by written Notice of</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6" w:name="page137"/>
    <w:bookmarkEnd w:id="136"/>
    <w:p>
      <w:pPr>
        <w:ind w:right="20"/>
        <w:spacing w:after="0" w:line="282" w:lineRule="auto"/>
        <w:rPr>
          <w:sz w:val="20"/>
          <w:szCs w:val="20"/>
          <w:color w:val="auto"/>
        </w:rPr>
      </w:pPr>
      <w:r>
        <w:rPr>
          <w:rFonts w:ascii="Times New Roman" w:cs="Times New Roman" w:eastAsia="Times New Roman" w:hAnsi="Times New Roman"/>
          <w:sz w:val="18"/>
          <w:szCs w:val="18"/>
          <w:color w:val="auto"/>
        </w:rPr>
        <w:t>Termination to the other party hereto. For purposes of this Agreement, a “Notice of Termination” shall mean a notice which shall indicate the specific termination provision in this Agreement relied upon.</w:t>
      </w:r>
    </w:p>
    <w:p>
      <w:pPr>
        <w:spacing w:after="0" w:line="162" w:lineRule="exact"/>
        <w:rPr>
          <w:sz w:val="20"/>
          <w:szCs w:val="20"/>
          <w:color w:val="auto"/>
        </w:rPr>
      </w:pPr>
    </w:p>
    <w:p>
      <w:pPr>
        <w:jc w:val="both"/>
        <w:ind w:firstLine="1505"/>
        <w:spacing w:after="0" w:line="254" w:lineRule="auto"/>
        <w:tabs>
          <w:tab w:leader="none" w:pos="203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“Date of Termination” shall mean: (i) if your employment is terminated by death, the date of death; (ii) if your employment is terminated on account of Disability under Section 3(b) or by the Company for Cause under Section 3(c), the date on which Notice of Termination is given; (iii) if your employment is terminated by the Company without Cause under Section 3(d), the date on which a Notice of Termination is given or the date otherwise specified by the Company in the Notice of Termination; (iv) if your employment is terminated by you under Section 3(e) other than for Good Reason, 14 days after the date on which a Notice of Termination is given, and (v) if your employment is terminated by you under Section 3(e) for Good Reason, the date on which a Notice of Termination is given after the end of the Cure Period. Notwithstanding the foregoing, in the event that you give a Notice of Termination to the Company, the Company may unilaterally accelerate the Date of Termination and such acceleration shall not result in a termination by the Company for purposes of this Agreement. However, the Company will continue paying you your Base Salary until the original Date of Termination.</w:t>
      </w:r>
    </w:p>
    <w:p>
      <w:pPr>
        <w:spacing w:after="0" w:line="188" w:lineRule="exact"/>
        <w:rPr>
          <w:rFonts w:ascii="Times New Roman" w:cs="Times New Roman" w:eastAsia="Times New Roman" w:hAnsi="Times New Roman"/>
          <w:sz w:val="18"/>
          <w:szCs w:val="18"/>
          <w:color w:val="auto"/>
        </w:rPr>
      </w:pPr>
    </w:p>
    <w:p>
      <w:pPr>
        <w:jc w:val="both"/>
        <w:ind w:firstLine="757"/>
        <w:spacing w:after="0" w:line="254" w:lineRule="auto"/>
        <w:tabs>
          <w:tab w:leader="none" w:pos="101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 and Benefits Upon Termination by the Company without Cause or by You for Good Reason Outside the Change in Control Period</w:t>
      </w:r>
      <w:r>
        <w:rPr>
          <w:rFonts w:ascii="Times New Roman" w:cs="Times New Roman" w:eastAsia="Times New Roman" w:hAnsi="Times New Roman"/>
          <w:sz w:val="18"/>
          <w:szCs w:val="18"/>
          <w:color w:val="auto"/>
        </w:rPr>
        <w:t>. If your employment is terminated by the Company without Cause as provided in Section 3(d), or you terminate employment for Good Reason as provided in Section 3(e), each outside of the Change in Control Period (as defined below), then, in addition to the Accrued Obligations, and subject to (i) your signing a separation agreement and release in a form and manner reasonably satisfactory to the Company, which shall include, without limitation, a general release of claims against the Company and all related persons and entities, a reaffirmation of all of your Continuing Obligations (as defined below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shall provide that if you materially breach any of the Continuing Obligations, and if such breach is curable, which has continued for more than 30 days following written notice of such breach, all payments of the Severance Amount shall immediately cease (the “Separation Agreement and Release”), and (ii) the Separation Agreement and Release becoming irrevocable, all within 60 days after the Date of Termination (or such shorter period as set forth in the Separation Agreement and Release), which shall include a seven (7) business day revocation period:</w:t>
      </w:r>
    </w:p>
    <w:p>
      <w:pPr>
        <w:spacing w:after="0" w:line="188"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you an amount equal to nine (9) months of your Base Salary (the “Severance Amount”); provided in the event you are entitled to any payments pursuant to the Restrictive Covenants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7" w:name="page138"/>
    <w:bookmarkEnd w:id="137"/>
    <w:p>
      <w:pPr>
        <w:ind w:right="20"/>
        <w:spacing w:after="0" w:line="282" w:lineRule="auto"/>
        <w:rPr>
          <w:sz w:val="20"/>
          <w:szCs w:val="20"/>
          <w:color w:val="auto"/>
        </w:rPr>
      </w:pPr>
      <w:r>
        <w:rPr>
          <w:rFonts w:ascii="Times New Roman" w:cs="Times New Roman" w:eastAsia="Times New Roman" w:hAnsi="Times New Roman"/>
          <w:sz w:val="18"/>
          <w:szCs w:val="18"/>
          <w:color w:val="auto"/>
        </w:rPr>
        <w:t>Agreement, as a condition of such receipt of the Severance Amount, you shall acknowledge and agree in the Separation Agreement and Release that such Severance Amount will be in lieu of any garden leave pay under the Restrictive Covenants Agreement;</w:t>
      </w:r>
    </w:p>
    <w:p>
      <w:pPr>
        <w:spacing w:after="0" w:line="162" w:lineRule="exact"/>
        <w:rPr>
          <w:sz w:val="20"/>
          <w:szCs w:val="20"/>
          <w:color w:val="auto"/>
        </w:rPr>
      </w:pPr>
    </w:p>
    <w:p>
      <w:pPr>
        <w:jc w:val="both"/>
        <w:ind w:firstLine="1505"/>
        <w:spacing w:after="0" w:line="266" w:lineRule="auto"/>
        <w:tabs>
          <w:tab w:leader="none" w:pos="203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you, if applicable, a lump sum payment of any earned, but unpaid Bonus for the fiscal year prior to the fiscal year of your Date of Termination, to be paid at the same time as the Company pays bonuses to similarly situated executives, but in no event later than the end of the taxable year in which the Date of Termination occurs; and</w:t>
      </w:r>
    </w:p>
    <w:p>
      <w:pPr>
        <w:spacing w:after="0" w:line="175" w:lineRule="exact"/>
        <w:rPr>
          <w:rFonts w:ascii="Times New Roman" w:cs="Times New Roman" w:eastAsia="Times New Roman" w:hAnsi="Times New Roman"/>
          <w:sz w:val="18"/>
          <w:szCs w:val="18"/>
          <w:color w:val="auto"/>
        </w:rPr>
      </w:pPr>
    </w:p>
    <w:p>
      <w:pPr>
        <w:jc w:val="both"/>
        <w:ind w:firstLine="1505"/>
        <w:spacing w:after="0" w:line="255" w:lineRule="auto"/>
        <w:tabs>
          <w:tab w:leader="none" w:pos="203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your copayment of premium amounts at the applicable active employees’ rate and your proper election to receive benefits under the Consolidated Omnibus Budget Reconciliation Act of 1985, as amended (“COBRA”), the Company shall pay to the group health plan provider, the COBRA provider or you a monthly payment equal to the monthly employer contribution that the Company would have made to provide health insurance to you if you had remained employed by the Company until the earliest of (A) the nine (9) month anniversary of the Date of Termination;</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9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eligibility for group medical plan benefits under any other employer’s group medical plan; or (C) the cessation of your continuation rights under COBRA; provided, however,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shall be subject to tax-related deductions and withholdings and paid on the Company’s regular payroll dates.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amounts payable under Sections 5(a) and (c), to the extent taxable, shall be paid out in substantially equal installments in accordance with the Company’s payroll practice over nine (9) months commencing within 60 days after the Date of Termination; provided, however, that if the 60-day period begins in one calendar year and ends in a second calendar year, the Severance Amount, to the extent it qualifies as “non-qualified deferred compensation” within the meaning of Section 409A of the Internal Revenue Code of 1986, as amended (the “Code”), shall begin to be paid in the second calendar year by the last day of such 60-day period; provided, further, that the initial payment shall include a catch-up payment to cover amounts retroactive to the day immediately following the Date of Termination.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color w:val="auto"/>
        </w:rPr>
        <w:t>Each payment pursuant to this Agreement is intended to constitute a separate payment for purposes of Treasury Regulation Section 1.409A-2(b)(2).</w:t>
      </w:r>
    </w:p>
    <w:p>
      <w:pPr>
        <w:spacing w:after="0" w:line="225" w:lineRule="exact"/>
        <w:rPr>
          <w:sz w:val="20"/>
          <w:szCs w:val="20"/>
          <w:color w:val="auto"/>
        </w:rPr>
      </w:pPr>
    </w:p>
    <w:p>
      <w:pPr>
        <w:jc w:val="both"/>
        <w:ind w:firstLine="757"/>
        <w:spacing w:after="0" w:line="256" w:lineRule="auto"/>
        <w:tabs>
          <w:tab w:leader="none" w:pos="101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 and Benefits Upon Termination by the Company without Cause or by You for Good Reason within the Change in Control Period</w:t>
      </w:r>
      <w:r>
        <w:rPr>
          <w:rFonts w:ascii="Times New Roman" w:cs="Times New Roman" w:eastAsia="Times New Roman" w:hAnsi="Times New Roman"/>
          <w:sz w:val="18"/>
          <w:szCs w:val="18"/>
          <w:color w:val="auto"/>
        </w:rPr>
        <w:t>. The provisions of this Section 6 shall apply in lieu of, and expressly supersede, the provisions of Section 5 if (i) your employment is terminated either (a) by the Company without Cause as provided in Section 3(d), or (b) by you for Good Reason as provided in Section 3(e), and (ii) the Date of Termination is within 3 months prior to, or within 12 months after, the occurrence of the first event constituting a Change in Control (as defined below) (such period, the “Change in Control Period”). These provisions of Section 6 shall terminate and be of no further force or effect after a Change in Control Period.</w:t>
      </w:r>
    </w:p>
    <w:p>
      <w:pPr>
        <w:spacing w:after="0" w:line="187"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employment is terminated by the Company without Cause as provided in Section 3(d) or you terminate employment for Good Reason as provided in Section 3(e) and in either case the Date of Termination occurs during the Change in Control Period, then, in addition to the Accrued Obligations, and subject to the signing of the Separation Agreement and Release by you and the Separation Agreement and Release becoming fully effective, all within the time frame set forth in the Separation Agreement and Release but in no event more than 60 days after the Date of Termination:</w:t>
      </w:r>
    </w:p>
    <w:p>
      <w:pPr>
        <w:spacing w:after="0" w:line="179" w:lineRule="exact"/>
        <w:rPr>
          <w:rFonts w:ascii="Times New Roman" w:cs="Times New Roman" w:eastAsia="Times New Roman" w:hAnsi="Times New Roman"/>
          <w:sz w:val="18"/>
          <w:szCs w:val="18"/>
          <w:color w:val="auto"/>
        </w:rPr>
      </w:pPr>
    </w:p>
    <w:p>
      <w:pPr>
        <w:jc w:val="both"/>
        <w:ind w:left="760" w:firstLine="1494"/>
        <w:spacing w:after="0" w:line="256" w:lineRule="auto"/>
        <w:tabs>
          <w:tab w:leader="none" w:pos="2557"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you a lump sum in cash in an amount equal to the sum of (A) fifteen (15) months of your then current Base Salary (or your Base Salary in effect immediately prior to the Change in Control, if higher), (B) 1.25x your Target Bonus for the then-current fiscal year; and (C) any earned, but unpaid Bonus for the fiscal year prior to the fiscal year of your Date of Termination, (the “Change in Control Payment”) provided that, if applicable and as a condition of such receipt of the Change in Control Payment, you shall acknowledge and agree in the Separation Agreement and Release that such Change in Control Payment will be in lieu of any garden leave pay under the Restrictive Covenants Agreement; and</w:t>
      </w:r>
    </w:p>
    <w:p>
      <w:pPr>
        <w:spacing w:after="0" w:line="187" w:lineRule="exact"/>
        <w:rPr>
          <w:rFonts w:ascii="Times New Roman" w:cs="Times New Roman" w:eastAsia="Times New Roman" w:hAnsi="Times New Roman"/>
          <w:sz w:val="18"/>
          <w:szCs w:val="18"/>
          <w:color w:val="auto"/>
        </w:rPr>
      </w:pPr>
    </w:p>
    <w:p>
      <w:pPr>
        <w:jc w:val="both"/>
        <w:ind w:left="760" w:firstLine="1494"/>
        <w:spacing w:after="0" w:line="289" w:lineRule="auto"/>
        <w:tabs>
          <w:tab w:leader="none" w:pos="2557" w:val="left"/>
        </w:tabs>
        <w:numPr>
          <w:ilvl w:val="2"/>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any applicable option agreement or other stock-based award agreement, all time-based stock options and other stock-based awards subject to time-based vesting held by you (the “Time-Based Equity Awards”) shall immediately accelerate and become fully exercisable or nonforfeitable as of the later of (i) the Date of Termination or (ii) the effective date of the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9" w:name="page140"/>
    <w:bookmarkEnd w:id="139"/>
    <w:p>
      <w:pPr>
        <w:jc w:val="both"/>
        <w:ind w:left="760"/>
        <w:spacing w:after="0" w:line="257" w:lineRule="auto"/>
        <w:rPr>
          <w:sz w:val="20"/>
          <w:szCs w:val="20"/>
          <w:color w:val="auto"/>
        </w:rPr>
      </w:pPr>
      <w:r>
        <w:rPr>
          <w:rFonts w:ascii="Times New Roman" w:cs="Times New Roman" w:eastAsia="Times New Roman" w:hAnsi="Times New Roman"/>
          <w:sz w:val="18"/>
          <w:szCs w:val="18"/>
          <w:color w:val="auto"/>
        </w:rPr>
        <w:t xml:space="preserve">Separation Agreement and Release (the “Accelerated Vesting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termination or forfeiture of the unvested portion of such Time-Based Equity Awards that would otherwise occur on the Date of Termination in the absence of this Agreement will be delayed until the effective date of the Separation Agreement and Release and will only occur if the vesting pursuant to this subsection does not occur due to the absence of the Separation Agreement and Release becoming fully effective within the time period set forth therein. Notwithstanding the foregoing, no additional vesting of the Time-Based Equity Awards shall occur during the period between your Date of Termination and the Accelerated Vesting Date; and</w:t>
      </w:r>
    </w:p>
    <w:p>
      <w:pPr>
        <w:spacing w:after="0" w:line="184" w:lineRule="exact"/>
        <w:rPr>
          <w:sz w:val="20"/>
          <w:szCs w:val="20"/>
          <w:color w:val="auto"/>
        </w:rPr>
      </w:pPr>
    </w:p>
    <w:p>
      <w:pPr>
        <w:jc w:val="both"/>
        <w:ind w:left="760" w:firstLine="1494"/>
        <w:spacing w:after="0" w:line="254" w:lineRule="auto"/>
        <w:tabs>
          <w:tab w:leader="none" w:pos="255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your copayment of premium amounts at the applicable active employees’ rate and your proper election to receive benefits under COBRA, the Company shall pay to the group health plan provider, the COBRA provider or you a monthly payment equal to the monthly employer contribution that the Company would have made to provide health insurance to you if you had remained employed by the Company until the earliest of (A) the 15-month anniversary of the Date of Termination; (B) your eligibility for group medical plan benefits under any other employer’s group medical plan; or (C) the cessation of your continuation rights under COBRA; provided, however,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shall be subject to tax-related deductions and withholdings and paid on the Company’s regular payroll dates.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amounts payable under this Section 6(a) (other than 6(a)(i)(C)), to the extent taxable, shall be paid or commence to be paid within 60 days after the Date of Termination; provided, however,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 The amount payable under Section 6(a)(i)(C) shall be paid at the same time as the Company pays bonuses to similarly situated executives, but in no event later than the end of the taxable year in which the Date of Termination occurs.</w:t>
      </w:r>
    </w:p>
    <w:p>
      <w:pPr>
        <w:spacing w:after="0" w:line="183" w:lineRule="exact"/>
        <w:rPr>
          <w:sz w:val="20"/>
          <w:szCs w:val="20"/>
          <w:color w:val="auto"/>
        </w:rPr>
      </w:pPr>
    </w:p>
    <w:p>
      <w:pPr>
        <w:ind w:left="2040" w:hanging="535"/>
        <w:spacing w:after="0"/>
        <w:tabs>
          <w:tab w:leader="none" w:pos="20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Limitation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40" w:name="page141"/>
    <w:bookmarkEnd w:id="140"/>
    <w:p>
      <w:pPr>
        <w:jc w:val="both"/>
        <w:ind w:left="3" w:firstLine="1494"/>
        <w:spacing w:after="0" w:line="252" w:lineRule="auto"/>
        <w:tabs>
          <w:tab w:leader="none" w:pos="180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in the event that the amount of any compensation, payment or distribution by the Company to or for the benefit of you, whether paid or payable or distributed or distributable pursuant to the terms of this Agreement or otherwise, calculated in a manner consistent with Section 280G of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you became the subject to the excise tax imposed by Section 4999 of the Code; provided that such reduction shall only occur if it would result in you receiving a higher After Tax Amount (as defined below) than you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w:t>
      </w:r>
    </w:p>
    <w:p>
      <w:pPr>
        <w:spacing w:after="0" w:line="5" w:lineRule="exact"/>
        <w:rPr>
          <w:rFonts w:ascii="Times New Roman" w:cs="Times New Roman" w:eastAsia="Times New Roman" w:hAnsi="Times New Roman"/>
          <w:sz w:val="18"/>
          <w:szCs w:val="18"/>
          <w:color w:val="auto"/>
        </w:rPr>
      </w:pPr>
    </w:p>
    <w:p>
      <w:pPr>
        <w:jc w:val="both"/>
        <w:ind w:left="3" w:hanging="3"/>
        <w:spacing w:after="0" w:line="255" w:lineRule="auto"/>
        <w:tabs>
          <w:tab w:leader="none" w:pos="26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85" w:lineRule="exact"/>
        <w:rPr>
          <w:rFonts w:ascii="Times New Roman" w:cs="Times New Roman" w:eastAsia="Times New Roman" w:hAnsi="Times New Roman"/>
          <w:sz w:val="18"/>
          <w:szCs w:val="18"/>
          <w:color w:val="auto"/>
        </w:rPr>
      </w:pPr>
    </w:p>
    <w:p>
      <w:pPr>
        <w:jc w:val="both"/>
        <w:ind w:left="3" w:firstLine="1494"/>
        <w:spacing w:after="0" w:line="256" w:lineRule="auto"/>
        <w:tabs>
          <w:tab w:leader="none" w:pos="18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6(b), the “After Tax Amount” means the amount of the Aggregate Payments less all federal, state, and local income, excise and employment taxes imposed on you as a result of your receipt of the Aggregate Payments. For purposes of determining the After Tax Amount, you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87" w:lineRule="exact"/>
        <w:rPr>
          <w:rFonts w:ascii="Times New Roman" w:cs="Times New Roman" w:eastAsia="Times New Roman" w:hAnsi="Times New Roman"/>
          <w:sz w:val="18"/>
          <w:szCs w:val="18"/>
          <w:color w:val="auto"/>
        </w:rPr>
      </w:pPr>
    </w:p>
    <w:p>
      <w:pPr>
        <w:ind w:left="3" w:firstLine="1494"/>
        <w:spacing w:after="0" w:line="282" w:lineRule="auto"/>
        <w:tabs>
          <w:tab w:leader="none" w:pos="18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as to whether a reduction in the Aggregate Payments shall be made pursuant to Section 6(b)(i) shall be made by a nationally recognized accounting firm selected by the</w:t>
      </w:r>
    </w:p>
    <w:p>
      <w:pPr>
        <w:spacing w:after="0" w:line="200" w:lineRule="exact"/>
        <w:rPr>
          <w:sz w:val="20"/>
          <w:szCs w:val="20"/>
          <w:color w:val="auto"/>
        </w:rPr>
      </w:pPr>
    </w:p>
    <w:p>
      <w:pPr>
        <w:spacing w:after="0" w:line="394"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7" w:right="339" w:bottom="1440" w:gutter="0" w:footer="0" w:header="0"/>
        </w:sectPr>
      </w:pPr>
    </w:p>
    <w:bookmarkStart w:id="141" w:name="page142"/>
    <w:bookmarkEnd w:id="141"/>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Company (the “Accounting Firm”), which shall provide detailed supporting calculations both to the Company and you within 15 business days of the Date of Termination, if applicable, or at such earlier time as is reasonably requested by the Company or you. Any determination by the Accounting Firm shall be binding upon the Company and you.</w:t>
      </w:r>
    </w:p>
    <w:p>
      <w:pPr>
        <w:spacing w:after="0" w:line="176" w:lineRule="exact"/>
        <w:rPr>
          <w:sz w:val="20"/>
          <w:szCs w:val="20"/>
          <w:color w:val="auto"/>
        </w:rPr>
      </w:pPr>
    </w:p>
    <w:p>
      <w:pPr>
        <w:jc w:val="both"/>
        <w:ind w:left="760" w:firstLine="1494"/>
        <w:spacing w:after="0" w:line="252" w:lineRule="auto"/>
        <w:tabs>
          <w:tab w:leader="none" w:pos="2557"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of this Section 6, a “Change in Control” shall be deemed to have occurred upon the occurrence of any one of the following events: (a) the sale or transfer of all or substantially all of the assets of the Company (i.e., &gt;50% of the value) on a consolidated basis to one or more unrelated persons or entities, (b) a merger, reorganization or consolidation pursuant to which the holders of the Company’s outstanding voting power and outstanding stock immediately prior to such transaction do not own a majority of the outstanding voting power or fair market value of the stock or other equity interests of the resulting or successor entity (or its ultimate parent, if applicable) immediately upon completion of such transaction, (c) the sale of all or substantially all of the stock of the Company to an unrelated person, entity or group thereof acting in concert, (d)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or (e) the date a majority of the members of the Board is replaced during any 12-month period by directors whose appointment or election is not endorsed by a majority of the members of the Board before the date of the appointment or election provided that with respect to any of the clauses (a) through</w:t>
      </w:r>
    </w:p>
    <w:p>
      <w:pPr>
        <w:spacing w:after="0" w:line="3" w:lineRule="exact"/>
        <w:rPr>
          <w:rFonts w:ascii="Times New Roman" w:cs="Times New Roman" w:eastAsia="Times New Roman" w:hAnsi="Times New Roman"/>
          <w:sz w:val="18"/>
          <w:szCs w:val="18"/>
          <w:color w:val="auto"/>
        </w:rPr>
      </w:pPr>
    </w:p>
    <w:p>
      <w:pPr>
        <w:jc w:val="both"/>
        <w:ind w:left="760" w:hanging="3"/>
        <w:spacing w:after="0" w:line="253" w:lineRule="auto"/>
        <w:tabs>
          <w:tab w:leader="none" w:pos="106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 raising transaction of the Company (including the Company’s IPO) shall not be treated as a “Change in Control.” Notwithstanding any other provision of this Agreement (other than the foregoing proviso), “Change in Control” shall be interpreted, administered and applied in a manner consistent and in compliance with a “change in control event” as set forth in Treasury Regulation Section 1.409A-3(i)(5) (“Change in Control Event”).</w:t>
      </w:r>
    </w:p>
    <w:p>
      <w:pPr>
        <w:spacing w:after="0" w:line="189" w:lineRule="exact"/>
        <w:rPr>
          <w:sz w:val="20"/>
          <w:szCs w:val="20"/>
          <w:color w:val="auto"/>
        </w:rPr>
      </w:pPr>
    </w:p>
    <w:p>
      <w:pPr>
        <w:ind w:left="1020" w:hanging="263"/>
        <w:spacing w:after="0"/>
        <w:tabs>
          <w:tab w:leader="none" w:pos="10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if at the time of your separation from service within the meaning of Section 409A of the Code, the Company determines that you are a</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2" w:name="page143"/>
    <w:bookmarkEnd w:id="142"/>
    <w:p>
      <w:pPr>
        <w:jc w:val="both"/>
        <w:spacing w:after="0" w:line="255" w:lineRule="auto"/>
        <w:rPr>
          <w:sz w:val="20"/>
          <w:szCs w:val="20"/>
          <w:color w:val="auto"/>
        </w:rPr>
      </w:pPr>
      <w:r>
        <w:rPr>
          <w:rFonts w:ascii="Times New Roman" w:cs="Times New Roman" w:eastAsia="Times New Roman" w:hAnsi="Times New Roman"/>
          <w:sz w:val="18"/>
          <w:szCs w:val="18"/>
          <w:color w:val="auto"/>
        </w:rPr>
        <w:t>“specified employee” within the meaning of Section 409A(a)(2)(B)(i) of the Code, then to the extent any payment or benefit that you become entitled to under this Agreement or otherwise on account of your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your separation from service, or (B) your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89" w:lineRule="exact"/>
        <w:rPr>
          <w:sz w:val="20"/>
          <w:szCs w:val="20"/>
          <w:color w:val="auto"/>
        </w:rPr>
      </w:pPr>
    </w:p>
    <w:p>
      <w:pPr>
        <w:jc w:val="both"/>
        <w:ind w:firstLine="1505"/>
        <w:spacing w:after="0" w:line="256" w:lineRule="auto"/>
        <w:tabs>
          <w:tab w:leader="none" w:pos="203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in-kind benefits provided and expenses eligible for reimbursement under this Agreement shall be provided by the Company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87" w:lineRule="exact"/>
        <w:rPr>
          <w:rFonts w:ascii="Times New Roman" w:cs="Times New Roman" w:eastAsia="Times New Roman" w:hAnsi="Times New Roman"/>
          <w:sz w:val="18"/>
          <w:szCs w:val="18"/>
          <w:color w:val="auto"/>
        </w:rPr>
      </w:pPr>
    </w:p>
    <w:p>
      <w:pPr>
        <w:jc w:val="both"/>
        <w:ind w:firstLine="1505"/>
        <w:spacing w:after="0" w:line="227" w:lineRule="exact"/>
        <w:tabs>
          <w:tab w:leader="none" w:pos="203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payment or benefit described in this Agreement constitutes “non-qualified deferred compensation” under Section 409A of the Code, and to the extent that such payment or benefit is payable upon your termination of employment, then such payments or benefits shall be payable only upon your “separation from service.” The determination of whether and when a separation from service has occurred shall be made in accordance with the presumptions set forth in Treasury Regulation Section 1.409A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1(h).</w:t>
      </w:r>
    </w:p>
    <w:p>
      <w:pPr>
        <w:spacing w:after="0" w:line="172" w:lineRule="exact"/>
        <w:rPr>
          <w:rFonts w:ascii="Times New Roman" w:cs="Times New Roman" w:eastAsia="Times New Roman" w:hAnsi="Times New Roman"/>
          <w:sz w:val="18"/>
          <w:szCs w:val="18"/>
          <w:color w:val="auto"/>
        </w:rPr>
      </w:pPr>
    </w:p>
    <w:p>
      <w:pPr>
        <w:jc w:val="both"/>
        <w:ind w:firstLine="1505"/>
        <w:spacing w:after="0" w:line="227" w:lineRule="exact"/>
        <w:tabs>
          <w:tab w:leader="none" w:pos="203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or the Restrictive Covenants Agreement is intended to constitute a separate payment for purposes of Treasury Regulation Section 1.409A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2(b)(2). The parties agree that this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3" w:name="page144"/>
    <w:bookmarkEnd w:id="143"/>
    <w:p>
      <w:pPr>
        <w:spacing w:after="0" w:line="282" w:lineRule="auto"/>
        <w:rPr>
          <w:sz w:val="20"/>
          <w:szCs w:val="20"/>
          <w:color w:val="auto"/>
        </w:rPr>
      </w:pPr>
      <w:r>
        <w:rPr>
          <w:rFonts w:ascii="Times New Roman" w:cs="Times New Roman" w:eastAsia="Times New Roman" w:hAnsi="Times New Roman"/>
          <w:sz w:val="18"/>
          <w:szCs w:val="18"/>
          <w:color w:val="auto"/>
        </w:rPr>
        <w:t>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62" w:lineRule="exact"/>
        <w:rPr>
          <w:sz w:val="20"/>
          <w:szCs w:val="20"/>
          <w:color w:val="auto"/>
        </w:rPr>
      </w:pPr>
    </w:p>
    <w:p>
      <w:pPr>
        <w:jc w:val="both"/>
        <w:ind w:firstLine="1505"/>
        <w:spacing w:after="0" w:line="266" w:lineRule="auto"/>
        <w:tabs>
          <w:tab w:leader="none" w:pos="2036"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such Section.</w:t>
      </w:r>
    </w:p>
    <w:p>
      <w:pPr>
        <w:spacing w:after="0" w:line="17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05"/>
        <w:spacing w:after="0" w:line="256" w:lineRule="auto"/>
        <w:tabs>
          <w:tab w:leader="none" w:pos="2036"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 Agreement</w:t>
      </w:r>
      <w:r>
        <w:rPr>
          <w:rFonts w:ascii="Times New Roman" w:cs="Times New Roman" w:eastAsia="Times New Roman" w:hAnsi="Times New Roman"/>
          <w:sz w:val="18"/>
          <w:szCs w:val="18"/>
          <w:color w:val="auto"/>
        </w:rPr>
        <w:t xml:space="preserve">. The Disc Medicine, Inc. Employee Confidentiality, Assignment, Nonsolicitation and Noncompetition Agreement between the Company and you (the “Restrictive Covenants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continues to be in full force and effect. You acknowledge and agree that your eligibility for enhanced severance benefits provided by this Agreement constitutes additional, fair and reasonable consideration independent from the continuation of your employment, for the Restrictive Covenants Agreement. For purposes of this Agreement, the obligations in this Section 8 and those that arise in the Restrictive Covenants Agreement shall collectively be referred to as the “Continuing Obligations.”</w:t>
      </w:r>
    </w:p>
    <w:p>
      <w:pPr>
        <w:spacing w:after="0" w:line="187" w:lineRule="exact"/>
        <w:rPr>
          <w:rFonts w:ascii="Times New Roman" w:cs="Times New Roman" w:eastAsia="Times New Roman" w:hAnsi="Times New Roman"/>
          <w:sz w:val="18"/>
          <w:szCs w:val="18"/>
          <w:color w:val="auto"/>
        </w:rPr>
      </w:pPr>
    </w:p>
    <w:p>
      <w:pPr>
        <w:jc w:val="both"/>
        <w:ind w:firstLine="1505"/>
        <w:spacing w:after="0" w:line="255" w:lineRule="auto"/>
        <w:tabs>
          <w:tab w:leader="none" w:pos="2036"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Third-Party Agreements and Rights</w:t>
      </w:r>
      <w:r>
        <w:rPr>
          <w:rFonts w:ascii="Times New Roman" w:cs="Times New Roman" w:eastAsia="Times New Roman" w:hAnsi="Times New Roman"/>
          <w:sz w:val="18"/>
          <w:szCs w:val="18"/>
          <w:color w:val="auto"/>
        </w:rPr>
        <w:t>. You hereby confirm that you are not bound by the terms of any agreement with any previous employer or other party which restricts in any way your use or disclosure of information, other than confidentiality restrictions (if any), or your engagement in any business. You represent to the Company that your execution of this Agreement, your employment with the Company and the performance of your proposed duties for the Company will not violate any obligations you may have to any such previous employer or other party. In your work for the Company, you will not disclose or make use of any information in violation of any agreements with or rights of any such previous employer or other party, and you will not bring to the premises of the Company any copies or other tangible embodiments of non-public information belonging to or obtained from any such previous employment or other party.</w:t>
      </w:r>
    </w:p>
    <w:p>
      <w:pPr>
        <w:spacing w:after="0" w:line="188" w:lineRule="exact"/>
        <w:rPr>
          <w:rFonts w:ascii="Times New Roman" w:cs="Times New Roman" w:eastAsia="Times New Roman" w:hAnsi="Times New Roman"/>
          <w:sz w:val="18"/>
          <w:szCs w:val="18"/>
          <w:color w:val="auto"/>
        </w:rPr>
      </w:pPr>
    </w:p>
    <w:p>
      <w:pPr>
        <w:jc w:val="both"/>
        <w:ind w:right="20" w:firstLine="1505"/>
        <w:spacing w:after="0" w:line="266" w:lineRule="auto"/>
        <w:tabs>
          <w:tab w:leader="none" w:pos="2036"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 and Regulatory Cooperation</w:t>
      </w:r>
      <w:r>
        <w:rPr>
          <w:rFonts w:ascii="Times New Roman" w:cs="Times New Roman" w:eastAsia="Times New Roman" w:hAnsi="Times New Roman"/>
          <w:sz w:val="18"/>
          <w:szCs w:val="18"/>
          <w:color w:val="auto"/>
        </w:rPr>
        <w:t>. During and after your employment, you shall reasonably cooperate fully with the Company in (i) the defense or prosecution of any claims or actions now in existence or which may be brought in the future against or on behalf of the Company which relate to events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1755775</wp:posOffset>
            </wp:positionH>
            <wp:positionV relativeFrom="paragraph">
              <wp:posOffset>-2644775</wp:posOffset>
            </wp:positionV>
            <wp:extent cx="2857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4" w:name="page145"/>
    <w:bookmarkEnd w:id="144"/>
    <w:p>
      <w:pPr>
        <w:jc w:val="both"/>
        <w:spacing w:after="0" w:line="219" w:lineRule="exact"/>
        <w:rPr>
          <w:sz w:val="20"/>
          <w:szCs w:val="20"/>
          <w:color w:val="auto"/>
        </w:rPr>
      </w:pPr>
      <w:r>
        <w:rPr>
          <w:rFonts w:ascii="Times New Roman" w:cs="Times New Roman" w:eastAsia="Times New Roman" w:hAnsi="Times New Roman"/>
          <w:sz w:val="18"/>
          <w:szCs w:val="18"/>
          <w:color w:val="auto"/>
        </w:rPr>
        <w:t>occurrences that transpired while you were employed by the Company, and (ii) the investigation, whether internal or external, of any matters about which the Company believes you may have knowledge or information. Your full reasonable cooperation in connection with such claims, actions or investigations shall include, but not be limited to, being available to meet with counsel to answer questions or to prepare for discovery or trial and to act as a witness on behalf of the Company at mutually convenient times. During and after your employment, you also shall reasonably cooperate fully with the Company in connection with any investigation or review of any federal, state or local regulatory authority as any such investigation or review relates to events or occurrences that transpired while you were employed by the Company. The Company shall reimburse you for any reasonable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expenses incurred in connection with your performance of obligations pursuant to this Section 8(c). The Company agrees that if you have provided fifteen (15) hours of cooperation to the Company after your Date of Termination, the Company shall pay you an hourly rate of $400 for any additional hours of cooperation, over the initial fifteen (15) hours, except for your testimony pursuant to a lawfully issued summons or subpoena. The Company further agrees that it will pay/reimburse your reasonable out-of-pocket expenses and fees within thirty (30) days of your submission of receipts and invoices to the Company.</w:t>
      </w:r>
    </w:p>
    <w:p>
      <w:pPr>
        <w:spacing w:after="0" w:line="200" w:lineRule="exact"/>
        <w:rPr>
          <w:sz w:val="20"/>
          <w:szCs w:val="20"/>
          <w:color w:val="auto"/>
        </w:rPr>
      </w:pPr>
    </w:p>
    <w:p>
      <w:pPr>
        <w:spacing w:after="0" w:line="210" w:lineRule="exact"/>
        <w:rPr>
          <w:sz w:val="20"/>
          <w:szCs w:val="20"/>
          <w:color w:val="auto"/>
        </w:rPr>
      </w:pPr>
    </w:p>
    <w:p>
      <w:pPr>
        <w:jc w:val="both"/>
        <w:ind w:firstLine="1505"/>
        <w:spacing w:after="0" w:line="258" w:lineRule="auto"/>
        <w:tabs>
          <w:tab w:leader="none" w:pos="203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Relief</w:t>
      </w:r>
      <w:r>
        <w:rPr>
          <w:rFonts w:ascii="Times New Roman" w:cs="Times New Roman" w:eastAsia="Times New Roman" w:hAnsi="Times New Roman"/>
          <w:sz w:val="18"/>
          <w:szCs w:val="18"/>
          <w:color w:val="auto"/>
        </w:rPr>
        <w:t>. You agree that it may be difficult to measure any damages caused to the Company which might result from any breach by you of the Continuing Obligations, and that in any event money damages may be an inadequate remedy for any such breach. Accordingly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you agree that if you breach, or propose to breach, any portion of the Continuing Obligations, the Company shall be entitled, in addition to all other remedies that it may have, to seek an injunction or other appropriate equitable relief to restrain any such breach without showing or proving any actual damage to the Company.</w:t>
      </w:r>
    </w:p>
    <w:p>
      <w:pPr>
        <w:spacing w:after="0" w:line="183" w:lineRule="exact"/>
        <w:rPr>
          <w:rFonts w:ascii="Times New Roman" w:cs="Times New Roman" w:eastAsia="Times New Roman" w:hAnsi="Times New Roman"/>
          <w:sz w:val="18"/>
          <w:szCs w:val="18"/>
          <w:color w:val="auto"/>
        </w:rPr>
      </w:pPr>
    </w:p>
    <w:p>
      <w:pPr>
        <w:jc w:val="both"/>
        <w:ind w:firstLine="1505"/>
        <w:spacing w:after="0" w:line="256" w:lineRule="auto"/>
        <w:tabs>
          <w:tab w:leader="none" w:pos="203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Protected Activities; Defend Trade Secrets Act of 2016</w:t>
      </w:r>
      <w:r>
        <w:rPr>
          <w:rFonts w:ascii="Times New Roman" w:cs="Times New Roman" w:eastAsia="Times New Roman" w:hAnsi="Times New Roman"/>
          <w:sz w:val="18"/>
          <w:szCs w:val="18"/>
          <w:color w:val="auto"/>
        </w:rPr>
        <w:t>. Nothing contained in this Agreement, any other agreement with the Company or any Company policy limits your ability, with or without notice to the Company, to: (i) file a charge or complaint with any federal, state or local governmental agency or commission (a “Government Agency”), including without limitation, the Equal Employment Opportunity Commission, the National Labor Relations Board or the Securities and Exchange Commission; (ii) communicate with any Government Agency or otherwise participate in any investigation or proceeding that may be conducted by an Government Agency, including by providing non-privileged documents or information; (iii) exercise any rights under Section 7 of the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5" w:name="page146"/>
    <w:bookmarkEnd w:id="145"/>
    <w:p>
      <w:pPr>
        <w:jc w:val="both"/>
        <w:spacing w:after="0" w:line="254" w:lineRule="auto"/>
        <w:rPr>
          <w:sz w:val="20"/>
          <w:szCs w:val="20"/>
          <w:color w:val="auto"/>
        </w:rPr>
      </w:pPr>
      <w:r>
        <w:rPr>
          <w:rFonts w:ascii="Times New Roman" w:cs="Times New Roman" w:eastAsia="Times New Roman" w:hAnsi="Times New Roman"/>
          <w:sz w:val="18"/>
          <w:szCs w:val="18"/>
          <w:color w:val="auto"/>
        </w:rPr>
        <w:t>National Labor Relations Act, which are available to non-supervisory employees, including assisting co-workers with or discussing any employment issue as part of engaging in concerted activities for purpose of mutual aid or protection; (iv) discuss or disclose information about unlawful acts in the workplace, such as harassment or discrimination or any other conduct that you have reason to believe is unlawful; or (v) testify truthfully in a legal proceeding. Any such communications and disclosures must not violate applicable law and the information disclosed must not have been obtained through a communication that was subject to the attorney-client privilege (unless disclosure of that information would otherwise be permitted consistent with such privilege or applicable law). In addition, pursuant to the federal Defend Trade Secrets Act of 2016, you shall not be held criminally or civilly liable under any federal or state trade secret law or under this Agreement or the Restrictive Covenants Agreement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200" w:lineRule="exact"/>
        <w:rPr>
          <w:sz w:val="20"/>
          <w:szCs w:val="20"/>
          <w:color w:val="auto"/>
        </w:rPr>
      </w:pPr>
    </w:p>
    <w:p>
      <w:pPr>
        <w:spacing w:after="0" w:line="204" w:lineRule="exact"/>
        <w:rPr>
          <w:sz w:val="20"/>
          <w:szCs w:val="20"/>
          <w:color w:val="auto"/>
        </w:rPr>
      </w:pPr>
    </w:p>
    <w:p>
      <w:pPr>
        <w:ind w:left="1020" w:hanging="263"/>
        <w:spacing w:after="0"/>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of Disputes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05"/>
        <w:spacing w:after="0" w:line="253" w:lineRule="auto"/>
        <w:tabs>
          <w:tab w:leader="none" w:pos="2036"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Generally</w:t>
      </w:r>
      <w:r>
        <w:rPr>
          <w:rFonts w:ascii="Times New Roman" w:cs="Times New Roman" w:eastAsia="Times New Roman" w:hAnsi="Times New Roman"/>
          <w:sz w:val="18"/>
          <w:szCs w:val="18"/>
          <w:color w:val="auto"/>
        </w:rPr>
        <w:t>. Any controversy or claim arising out of or relating to this Agreement or the breach thereof or otherwise arising out of your employment or the termination of that employment (including, without limitation, any claims of unlawful employment discrimination or retaliation, whether based on race, religion, national origin, sex, gender, age, disability, sexual orientation, or any other protected class under applicable law, including without limitation Massachusetts General Laws Chapter 151B) shall, to the fullest extent permitted by law, be settled by arbitration in any forum and form agreed upon by the parties or, in the absence of such an agreement, under the auspices of JAMS in Boston, Massachusetts in accordance with the JAMS Employment Arbitration Rules, including, but not limited to, the rules and procedures applicable to the selection of arbitrators. You understand that you may only bring such claims in your individual capacity, and not as a plaintiff or class member in any purported class proceeding or any purported representative proceeding. You further understand that, by signing this Agreement, the Company and you are giving up any right they may have to a jury trial on all claims they may have against each other. Judgment upon the award rendered by the arbitrator may be entered in any court having jurisdiction thereof. This Section 9 shall be specifically enforceable. Notwithstanding the foregoing, this Section 9 shall not preclude either party from pursuing a court action for the sole purpose of obtaining a temporary restraining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6" w:name="page147"/>
    <w:bookmarkEnd w:id="146"/>
    <w:p>
      <w:pPr>
        <w:ind w:right="20"/>
        <w:spacing w:after="0" w:line="282" w:lineRule="auto"/>
        <w:rPr>
          <w:sz w:val="20"/>
          <w:szCs w:val="20"/>
          <w:color w:val="auto"/>
        </w:rPr>
      </w:pPr>
      <w:r>
        <w:rPr>
          <w:rFonts w:ascii="Times New Roman" w:cs="Times New Roman" w:eastAsia="Times New Roman" w:hAnsi="Times New Roman"/>
          <w:sz w:val="18"/>
          <w:szCs w:val="18"/>
          <w:color w:val="auto"/>
        </w:rPr>
        <w:t>order or a preliminary injunction in circumstances in which such relief is appropriate, including without limitation relief sought under the Restrictive Covenants Agreement; provided that any other relief shall be pursued through an arbitration proceeding pursuant to this Section 9.</w:t>
      </w:r>
    </w:p>
    <w:p>
      <w:pPr>
        <w:spacing w:after="0" w:line="162" w:lineRule="exact"/>
        <w:rPr>
          <w:sz w:val="20"/>
          <w:szCs w:val="20"/>
          <w:color w:val="auto"/>
        </w:rPr>
      </w:pPr>
    </w:p>
    <w:p>
      <w:pPr>
        <w:jc w:val="both"/>
        <w:ind w:firstLine="1505"/>
        <w:spacing w:after="0" w:line="261" w:lineRule="auto"/>
        <w:tabs>
          <w:tab w:leader="none" w:pos="2036"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Fees and Costs</w:t>
      </w:r>
      <w:r>
        <w:rPr>
          <w:rFonts w:ascii="Times New Roman" w:cs="Times New Roman" w:eastAsia="Times New Roman" w:hAnsi="Times New Roman"/>
          <w:sz w:val="18"/>
          <w:szCs w:val="18"/>
          <w:color w:val="auto"/>
        </w:rPr>
        <w:t>. You shall be required to pay an arbitration fee to initiate any arbitration equal to what you would be charged as a first appearance fee in court. The Company shall pay the remaining fees and costs of the arbitrator. Each party shall pay its own costs and attorneys’ fees, if any. If, however, any party prevails on a statutory or contractual claim that entitles the prevailing party to attorneys’ fees (including pursuant to this Agreement), the arbitrator will award attorneys’ fees to the prevailing party to the extent permitted by law.</w:t>
      </w:r>
    </w:p>
    <w:p>
      <w:pPr>
        <w:spacing w:after="0" w:line="179" w:lineRule="exact"/>
        <w:rPr>
          <w:rFonts w:ascii="Times New Roman" w:cs="Times New Roman" w:eastAsia="Times New Roman" w:hAnsi="Times New Roman"/>
          <w:sz w:val="18"/>
          <w:szCs w:val="18"/>
          <w:color w:val="auto"/>
        </w:rPr>
      </w:pPr>
    </w:p>
    <w:p>
      <w:pPr>
        <w:jc w:val="both"/>
        <w:ind w:firstLine="757"/>
        <w:spacing w:after="0" w:line="258" w:lineRule="auto"/>
        <w:tabs>
          <w:tab w:leader="none" w:pos="101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To the extent that any court action is permitted consistent with or to enforce Section 9 of this Agreement, the parties hereby consent to the jurisdiction of the state and federal courts of the Commonwealth of Massachusetts. Accordingly, with respect to any such court action, you (a) submit to the exclusive personal jurisdiction of such courts; (b) consent to service of process; (c) waive any other requirement (whether imposed by statute, rule of court, or otherwise) with respect to personal jurisdiction or service of process and (d) you and the Company waive any right to a jury in connection with any such court action.</w:t>
      </w:r>
    </w:p>
    <w:p>
      <w:pPr>
        <w:spacing w:after="0" w:line="183"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“Indemnification Agreement” between the Company and you, dated February 26, 2024 (the “Indemnification Agreement”) is hereby incorporated by reference.</w:t>
      </w:r>
    </w:p>
    <w:p>
      <w:pPr>
        <w:spacing w:after="0" w:line="161" w:lineRule="exact"/>
        <w:rPr>
          <w:rFonts w:ascii="Times New Roman" w:cs="Times New Roman" w:eastAsia="Times New Roman" w:hAnsi="Times New Roman"/>
          <w:sz w:val="18"/>
          <w:szCs w:val="18"/>
          <w:color w:val="auto"/>
        </w:rPr>
      </w:pPr>
    </w:p>
    <w:p>
      <w:pPr>
        <w:jc w:val="both"/>
        <w:ind w:firstLine="757"/>
        <w:spacing w:after="0" w:line="266" w:lineRule="auto"/>
        <w:tabs>
          <w:tab w:leader="none" w:pos="101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Mitigation</w:t>
      </w:r>
      <w:r>
        <w:rPr>
          <w:rFonts w:ascii="Times New Roman" w:cs="Times New Roman" w:eastAsia="Times New Roman" w:hAnsi="Times New Roman"/>
          <w:sz w:val="18"/>
          <w:szCs w:val="18"/>
          <w:color w:val="auto"/>
        </w:rPr>
        <w:t>. The Company agrees that if your employment by the Company is terminated during the term of this Agreement, you are not required to seek other employment or to attempt in any way to reduce any amounts payable to you by the Company pursuant to Sections 5 or 6 hereof. Further, the amount of any payment provided for in this Agreement shall not be reduced by any compensation earned by you.</w:t>
      </w:r>
    </w:p>
    <w:p>
      <w:pPr>
        <w:spacing w:after="0" w:line="175" w:lineRule="exact"/>
        <w:rPr>
          <w:rFonts w:ascii="Times New Roman" w:cs="Times New Roman" w:eastAsia="Times New Roman" w:hAnsi="Times New Roman"/>
          <w:sz w:val="18"/>
          <w:szCs w:val="18"/>
          <w:color w:val="auto"/>
        </w:rPr>
      </w:pPr>
    </w:p>
    <w:p>
      <w:pPr>
        <w:jc w:val="both"/>
        <w:ind w:firstLine="757"/>
        <w:spacing w:after="0" w:line="266" w:lineRule="auto"/>
        <w:tabs>
          <w:tab w:leader="none" w:pos="101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the subject matter hereof and supersedes all prior agreements between the parties concerning such subject matter, including the Prior Agreement, provided that the Restrictive Covenants Agreement, the Indemnification Agreement and the Equity Documents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7" w:name="page148"/>
    <w:bookmarkEnd w:id="147"/>
    <w:p>
      <w:pPr>
        <w:jc w:val="both"/>
        <w:ind w:firstLine="757"/>
        <w:spacing w:after="0" w:line="266" w:lineRule="auto"/>
        <w:tabs>
          <w:tab w:leader="none" w:pos="101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 Effect</w:t>
      </w:r>
      <w:r>
        <w:rPr>
          <w:rFonts w:ascii="Times New Roman" w:cs="Times New Roman" w:eastAsia="Times New Roman" w:hAnsi="Times New Roman"/>
          <w:sz w:val="18"/>
          <w:szCs w:val="18"/>
          <w:color w:val="auto"/>
        </w:rPr>
        <w:t>. All payments made by the Company to you under this Agreement shall be net of any tax or other amounts required to be withheld by the Company under applicable law. Nothing in this Agreement shall be construed to require the Company to make any payments to compensate you for any adverse tax effect associated with any payments or benefits or for any deduction or withholding from any payment or benefit.</w:t>
      </w:r>
    </w:p>
    <w:p>
      <w:pPr>
        <w:spacing w:after="0" w:line="175" w:lineRule="exact"/>
        <w:rPr>
          <w:rFonts w:ascii="Times New Roman" w:cs="Times New Roman" w:eastAsia="Times New Roman" w:hAnsi="Times New Roman"/>
          <w:sz w:val="18"/>
          <w:szCs w:val="18"/>
          <w:color w:val="auto"/>
        </w:rPr>
      </w:pPr>
    </w:p>
    <w:p>
      <w:pPr>
        <w:jc w:val="both"/>
        <w:ind w:firstLine="757"/>
        <w:spacing w:after="0" w:line="254" w:lineRule="auto"/>
        <w:tabs>
          <w:tab w:leader="none" w:pos="101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you nor the Company may make any assignment of this Agreement or any interest in it, by operation of law or otherwise, without the prior written consent of the other; provided, however, that the Company may assign its rights and obligations under this Agreement (including the Restrictive Covenants Agreement) without your consent to any affiliate or to any person or entity with whom the Company shall hereafter effect a reorganization, consolidate with, or merge into or to whom it transfers all or substantially all of its properties or assets, but only on the condition that it assigns both its rights and obligations. This Agreement shall inure to the benefit of and be binding upon you and the Company, and each of yours and the Company’s respective successors, executors, administrators, heirs, personal representatives, and permitted assigns. In the event of your death prior to the completion by the Company of any payments due to you under Sections 5 or 6 of this Agreement, the Company shall continue such payments to the beneficiary you designated in writing to the Company prior to your death, or to your estate, heirs, executors or personal representatives if you failed to make such designation.</w:t>
      </w:r>
    </w:p>
    <w:p>
      <w:pPr>
        <w:spacing w:after="0" w:line="188" w:lineRule="exact"/>
        <w:rPr>
          <w:rFonts w:ascii="Times New Roman" w:cs="Times New Roman" w:eastAsia="Times New Roman" w:hAnsi="Times New Roman"/>
          <w:sz w:val="18"/>
          <w:szCs w:val="18"/>
          <w:color w:val="auto"/>
        </w:rPr>
      </w:pPr>
    </w:p>
    <w:p>
      <w:pPr>
        <w:jc w:val="both"/>
        <w:ind w:right="20" w:firstLine="757"/>
        <w:spacing w:after="0" w:line="261" w:lineRule="auto"/>
        <w:tabs>
          <w:tab w:leader="none" w:pos="101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9"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provisions of this Agreement shall survive the termination of this Agreement and/or the termination of your employment to the extent necessary to effectuate the terms contained herein.</w:t>
      </w:r>
    </w:p>
    <w:p>
      <w:pPr>
        <w:spacing w:after="0" w:line="161" w:lineRule="exact"/>
        <w:rPr>
          <w:rFonts w:ascii="Times New Roman" w:cs="Times New Roman" w:eastAsia="Times New Roman" w:hAnsi="Times New Roman"/>
          <w:sz w:val="18"/>
          <w:szCs w:val="18"/>
          <w:color w:val="auto"/>
        </w:rPr>
      </w:pPr>
    </w:p>
    <w:p>
      <w:pPr>
        <w:jc w:val="both"/>
        <w:ind w:firstLine="757"/>
        <w:spacing w:after="0" w:line="266" w:lineRule="auto"/>
        <w:tabs>
          <w:tab w:leader="none" w:pos="101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8" w:name="page149"/>
    <w:bookmarkEnd w:id="148"/>
    <w:p>
      <w:pPr>
        <w:jc w:val="both"/>
        <w:ind w:firstLine="757"/>
        <w:spacing w:after="0" w:line="266" w:lineRule="auto"/>
        <w:tabs>
          <w:tab w:leader="none" w:pos="101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you at the last address you have on file in writing with the Company or, in the case of the Company, at its main offices, attention of the Board.</w:t>
      </w:r>
    </w:p>
    <w:p>
      <w:pPr>
        <w:spacing w:after="0" w:line="175"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or modified only by a written instrument signed by you and by a duly authorized representative of the Company.</w:t>
      </w:r>
    </w:p>
    <w:p>
      <w:pPr>
        <w:spacing w:after="0" w:line="161" w:lineRule="exact"/>
        <w:rPr>
          <w:rFonts w:ascii="Times New Roman" w:cs="Times New Roman" w:eastAsia="Times New Roman" w:hAnsi="Times New Roman"/>
          <w:sz w:val="18"/>
          <w:szCs w:val="18"/>
          <w:color w:val="auto"/>
        </w:rPr>
      </w:pPr>
    </w:p>
    <w:p>
      <w:pPr>
        <w:jc w:val="both"/>
        <w:ind w:firstLine="757"/>
        <w:spacing w:after="0" w:line="254" w:lineRule="auto"/>
        <w:tabs>
          <w:tab w:leader="none" w:pos="101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Other Plans and Agreements</w:t>
      </w:r>
      <w:r>
        <w:rPr>
          <w:rFonts w:ascii="Times New Roman" w:cs="Times New Roman" w:eastAsia="Times New Roman" w:hAnsi="Times New Roman"/>
          <w:sz w:val="18"/>
          <w:szCs w:val="18"/>
          <w:color w:val="auto"/>
        </w:rPr>
        <w:t>. An election by you to resign for Good Reason under the provisions of this Agreement shall not be deemed a voluntary termination of employment by you for the purpose of interpreting the provisions of any of the Company's benefit plans, programs or policies. Nothing in this Agreement shall be construed to limit the rights of you under the Company’s benefit plans, programs or policies except as otherwise provided in Section 8 hereof, and except that you shall have no rights to any severance benefits under any Company severance pay plan, offer letter or otherwise. In the event that you are a party to an agreement with the Company providing for payments or benefits under such plan or agreement and under this Agreement, the terms of this Agreement shall govern and you may receive payment under this Agreement only and not both. Further, Section 5 and Section 6 of this Agreement are mutually exclusive and in no event shall you be entitled to payments or benefits pursuant to both Section 5 and Section 6 of this Agreement.</w:t>
      </w:r>
    </w:p>
    <w:p>
      <w:pPr>
        <w:spacing w:after="0" w:line="191" w:lineRule="exact"/>
        <w:rPr>
          <w:rFonts w:ascii="Times New Roman" w:cs="Times New Roman" w:eastAsia="Times New Roman" w:hAnsi="Times New Roman"/>
          <w:sz w:val="18"/>
          <w:szCs w:val="18"/>
          <w:color w:val="auto"/>
        </w:rPr>
      </w:pPr>
    </w:p>
    <w:p>
      <w:pPr>
        <w:jc w:val="both"/>
        <w:ind w:firstLine="757"/>
        <w:spacing w:after="0" w:line="263" w:lineRule="auto"/>
        <w:tabs>
          <w:tab w:leader="none" w:pos="101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is a Massachusetts contract and shall be construed under and be governed in all respects by the laws of the Commonwealth of Massachusetts, without giving effect to the conflict of laws principles thereof. With respect to any disputes concerning federal law, such disputes shall be determined in accordance with the law as it would be interpreted and applied by the United States Court of Appeals for the First Circuit.</w:t>
      </w:r>
    </w:p>
    <w:p>
      <w:pPr>
        <w:spacing w:after="0" w:line="399"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effective on the Effective Date.</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229" w:lineRule="exact"/>
        <w:rPr>
          <w:sz w:val="20"/>
          <w:szCs w:val="20"/>
          <w:color w:val="auto"/>
        </w:rPr>
      </w:pPr>
    </w:p>
    <w:tbl>
      <w:tblPr>
        <w:tblLayout w:type="fixed"/>
        <w:tblInd w:w="610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Quisel</w:t>
            </w:r>
          </w:p>
        </w:tc>
      </w:tr>
      <w:tr>
        <w:trPr>
          <w:trHeight w:val="20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42"/>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w:t>
            </w:r>
          </w:p>
        </w:tc>
      </w:tr>
      <w:tr>
        <w:trPr>
          <w:trHeight w:val="64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Pamela Stephenson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3877310</wp:posOffset>
            </wp:positionH>
            <wp:positionV relativeFrom="paragraph">
              <wp:posOffset>0</wp:posOffset>
            </wp:positionV>
            <wp:extent cx="27774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8"/>
          <w:szCs w:val="18"/>
          <w:color w:val="auto"/>
        </w:rPr>
        <w:t>Pamela Stephenson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Restrictive Covenants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898525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EMPLOYMENT AGREEMENT</w:t>
      </w:r>
    </w:p>
    <w:p>
      <w:pPr>
        <w:spacing w:after="0" w:line="33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This Amended and Restated Employment Agreement (“Agreement”) is made between Disc Medicine, Inc., (the “Company”), and William Savage, MD, PhD (“You”) and is effective as of July 29, 2026 (the “Effective Date”). Except with respect to the Restrictive Covenants Agreement, the Indemnification Agreement and the Equity Documents (each as defined below), this Agreement supersedes in all respects all prior agreements between you and the Company regarding the subject matter herein, including without limitation the employment agreement between you and the Company, executed on or about December 29, 2022 (the “Prior Agreement”).</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WHEREAS, the Company desires to continue to employ you and you desire to continue to be employed by the Company on the new terms and conditions contained herein.</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62" w:lineRule="exact"/>
        <w:rPr>
          <w:sz w:val="20"/>
          <w:szCs w:val="20"/>
          <w:color w:val="auto"/>
        </w:rPr>
      </w:pPr>
    </w:p>
    <w:p>
      <w:pPr>
        <w:ind w:left="1020" w:hanging="263"/>
        <w:spacing w:after="0"/>
        <w:tabs>
          <w:tab w:leader="none" w:pos="10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Company shall employ you and you shall be employed by the Company pursuant to this Agreement commencing as of the Effective Date and continuing until such employment is terminated in accordance with the provisions hereof (the “Term”). Your employment with the Company will continue to be “at will,” meaning that your employment may be terminated by the Company or you at any time and for any reason subject to the terms of this Agreement.</w:t>
      </w:r>
    </w:p>
    <w:p>
      <w:pPr>
        <w:spacing w:after="0" w:line="179"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 You shall serve as the Chief Medical Officer of the Company and shall report directly to the Chief Executive Officer (“CEO”). You shall have such powers and duties as may from time to time be prescribed by the CEO or other duly authorized executive which are consistent with your position as Chief Medical Officer. You shall devote your full working time and efforts to the business and affairs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2" w:name="page153"/>
    <w:bookmarkEnd w:id="152"/>
    <w:p>
      <w:pPr>
        <w:jc w:val="both"/>
        <w:spacing w:after="0" w:line="256" w:lineRule="auto"/>
        <w:rPr>
          <w:sz w:val="20"/>
          <w:szCs w:val="20"/>
          <w:color w:val="auto"/>
        </w:rPr>
      </w:pPr>
      <w:r>
        <w:rPr>
          <w:rFonts w:ascii="Times New Roman" w:cs="Times New Roman" w:eastAsia="Times New Roman" w:hAnsi="Times New Roman"/>
          <w:sz w:val="18"/>
          <w:szCs w:val="18"/>
          <w:color w:val="auto"/>
        </w:rPr>
        <w:t>Company. Notwithstanding the foregoing, you may serve on other boards of directors, with the approval of the Board of Directors of the Company (including any committee thereof, the “Board”), which approval shall not unreasonably be withheld by the Board, or engage in religious, charitable or other community activities as long as such services and activities are disclosed to the Board and do not interfere with your performance of your duties to the Company. To the extent applicable, you shall be deemed to have resigned from all officer and, if applicable, board member positions that you hold with the Company or any of its respective subsidiaries and affiliates upon the termination of your employment for any reason. You shall execute any documents in reasonable form as may be requested to confirm or effectuate any such resignations.</w:t>
      </w:r>
    </w:p>
    <w:p>
      <w:pPr>
        <w:spacing w:after="0" w:line="187" w:lineRule="exact"/>
        <w:rPr>
          <w:sz w:val="20"/>
          <w:szCs w:val="20"/>
          <w:color w:val="auto"/>
        </w:rPr>
      </w:pPr>
    </w:p>
    <w:p>
      <w:pPr>
        <w:ind w:left="1020" w:hanging="263"/>
        <w:spacing w:after="0"/>
        <w:tabs>
          <w:tab w:leader="none" w:pos="10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Related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05"/>
        <w:spacing w:after="0" w:line="258" w:lineRule="auto"/>
        <w:tabs>
          <w:tab w:leader="none" w:pos="2036"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Your initial base salary shall be paid at the rate of $556,000 per year. Your base salary shall be subject to periodic review and increase (but not decrease, except for an across-the-board reduction of no greater than 10% based on the Company’s financial performance similarly affecting all or substantially all senior management employees of the Company) by the Board or the Compensation Committee of the Board (the “Compensation Committee”). The base salary in effect at any given time is referred to herein as “Base Salary.” The Base Salary shall be payable in a manner that is consistent with the Company’s usual payroll practices for executive officers.</w:t>
      </w:r>
    </w:p>
    <w:p>
      <w:pPr>
        <w:spacing w:after="0" w:line="183" w:lineRule="exact"/>
        <w:rPr>
          <w:rFonts w:ascii="Times New Roman" w:cs="Times New Roman" w:eastAsia="Times New Roman" w:hAnsi="Times New Roman"/>
          <w:sz w:val="18"/>
          <w:szCs w:val="18"/>
          <w:color w:val="auto"/>
        </w:rPr>
      </w:pPr>
    </w:p>
    <w:p>
      <w:pPr>
        <w:jc w:val="both"/>
        <w:ind w:firstLine="1505"/>
        <w:spacing w:after="0" w:line="255" w:lineRule="auto"/>
        <w:tabs>
          <w:tab w:leader="none" w:pos="2036"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You shall be eligible to receive cash incentive compensation as determined by the Board or the Compensation Committee from time to time. Your target annual incentive compensation shall be forty-five percent (45%) of your Base Salary. The target annual incentive compensation in effect at any given time is referred to herein as “Target Bonus.” The actual amount of your annual incentive compensation, if any, shall be determined in the sole discretion of the Board or the Compensation Committee, subject to the terms of any applicable incentive compensation plan that may be in effect from time to time (the “Bonus”). Except as otherwise provided herein, to earn incentive compensation, you must be employed by the Company on the day such incentive compensation is paid. The incentive compensation for each fiscal year will be paid no later than two and a half months following such fiscal year.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3" w:name="page154"/>
    <w:bookmarkEnd w:id="153"/>
    <w:p>
      <w:pPr>
        <w:ind w:firstLine="1505"/>
        <w:spacing w:after="0" w:line="282" w:lineRule="auto"/>
        <w:tabs>
          <w:tab w:leader="none" w:pos="203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You shall be entitled to receive prompt reimbursement for all reasonable expenses incurred by you during the Term in performing services hereunder, in accordance with the policies and procedures then in effect and established by the Company for its executive officers.</w:t>
      </w:r>
    </w:p>
    <w:p>
      <w:pPr>
        <w:spacing w:after="0" w:line="161"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 You shall be eligible to participate in or receive benefits under the Company’s employee benefit plans in effect from time to time, subject to the terms of such plans.</w:t>
      </w:r>
    </w:p>
    <w:p>
      <w:pPr>
        <w:spacing w:after="0" w:line="161" w:lineRule="exact"/>
        <w:rPr>
          <w:rFonts w:ascii="Times New Roman" w:cs="Times New Roman" w:eastAsia="Times New Roman" w:hAnsi="Times New Roman"/>
          <w:sz w:val="18"/>
          <w:szCs w:val="18"/>
          <w:color w:val="auto"/>
        </w:rPr>
      </w:pPr>
    </w:p>
    <w:p>
      <w:pPr>
        <w:ind w:right="20" w:firstLine="1505"/>
        <w:spacing w:after="0" w:line="282" w:lineRule="auto"/>
        <w:tabs>
          <w:tab w:leader="none" w:pos="203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Paid Time Off</w:t>
      </w:r>
      <w:r>
        <w:rPr>
          <w:rFonts w:ascii="Times New Roman" w:cs="Times New Roman" w:eastAsia="Times New Roman" w:hAnsi="Times New Roman"/>
          <w:sz w:val="18"/>
          <w:szCs w:val="18"/>
          <w:color w:val="auto"/>
        </w:rPr>
        <w:t>. You shall be entitled to take paid time off in accordance with the Company’s applicable paid time off policy for executives, as may be in effect from time to time. You shall also be entitled to all paid holidays given by the Company to its employees.</w:t>
      </w:r>
    </w:p>
    <w:p>
      <w:pPr>
        <w:spacing w:after="0" w:line="161" w:lineRule="exact"/>
        <w:rPr>
          <w:rFonts w:ascii="Times New Roman" w:cs="Times New Roman" w:eastAsia="Times New Roman" w:hAnsi="Times New Roman"/>
          <w:sz w:val="18"/>
          <w:szCs w:val="18"/>
          <w:color w:val="auto"/>
        </w:rPr>
      </w:pPr>
    </w:p>
    <w:p>
      <w:pPr>
        <w:jc w:val="both"/>
        <w:ind w:firstLine="1505"/>
        <w:spacing w:after="0" w:line="258" w:lineRule="auto"/>
        <w:tabs>
          <w:tab w:leader="none" w:pos="203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The equity awards held by you shall continue to be governed by the terms and conditions of the Company’s applicable equity incentive plan(s) and the applicable award agreement(s) governing the terms of such equity awards held by you (collectively, the “Equity Documents”); provided, however, and notwithstanding anything to the contrary in the Equity Documents, Section 6(a)(ii) of this Agreement shall apply in the event of a termination by the Company without Cause or by you for Good Reason in either event within the Change in Control Period (as such terms are defined below).</w:t>
      </w:r>
    </w:p>
    <w:p>
      <w:pPr>
        <w:spacing w:after="0" w:line="183"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Your employment hereunder may be terminated without any breach of this Agreement under the following circumstances:</w:t>
      </w:r>
    </w:p>
    <w:p>
      <w:pPr>
        <w:spacing w:after="0" w:line="22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Your employment hereunder shall terminate upon your death.</w:t>
      </w:r>
    </w:p>
    <w:p>
      <w:pPr>
        <w:spacing w:after="0" w:line="225" w:lineRule="exact"/>
        <w:rPr>
          <w:rFonts w:ascii="Times New Roman" w:cs="Times New Roman" w:eastAsia="Times New Roman" w:hAnsi="Times New Roman"/>
          <w:sz w:val="18"/>
          <w:szCs w:val="18"/>
          <w:color w:val="auto"/>
        </w:rPr>
      </w:pPr>
    </w:p>
    <w:p>
      <w:pPr>
        <w:jc w:val="both"/>
        <w:ind w:firstLine="1505"/>
        <w:spacing w:after="0" w:line="255" w:lineRule="auto"/>
        <w:tabs>
          <w:tab w:leader="none" w:pos="2036"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The Company may terminate your employment due to your “Disability” if you are unable to perform the essential functions of your then existing position or positions under this Agreement with or without reasonable accommodation for a period of 180 days (which need not be consecutive) in any 12-month period. If any question shall arise as to whether during any period you are disabled so as to be unable to perform the essential functions of your then existing position or positions with or without reasonable accommodation, you may, and at the request of the Company shall, submit to the Company a certification in reasonable detail by a physician selected by the Company who is board certified in the specialty relevant to your medical condition to whom you or your guardian has no reasonable objection as to whether you are disabled or how long such disability is expected to continue,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4" w:name="page155"/>
    <w:bookmarkEnd w:id="154"/>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such certification shall for the purposes of this Agreement be conclusive of the issue. You shall cooperate with any reasonable request of the physician in connection with such certification. If such question shall arise and you shall fail to submit such certification, the Company’s reasonable determination of such issue shall be binding on you. Nothing in this Section 3(b) shall be construed to waive your rights, if any, under existing law including, without limitation, the Family and Medical Leave Act of 1993, 29 U.S.C. §2601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the Americans with Disabilities Act, 42 U.S.C. §12101 </w:t>
      </w:r>
      <w:r>
        <w:rPr>
          <w:rFonts w:ascii="Times New Roman" w:cs="Times New Roman" w:eastAsia="Times New Roman" w:hAnsi="Times New Roman"/>
          <w:sz w:val="18"/>
          <w:szCs w:val="18"/>
          <w:i w:val="1"/>
          <w:iCs w:val="1"/>
          <w:color w:val="auto"/>
        </w:rPr>
        <w:t>et seq.</w:t>
      </w:r>
    </w:p>
    <w:p>
      <w:pPr>
        <w:spacing w:after="0" w:line="180" w:lineRule="exact"/>
        <w:rPr>
          <w:sz w:val="20"/>
          <w:szCs w:val="20"/>
          <w:color w:val="auto"/>
        </w:rPr>
      </w:pPr>
    </w:p>
    <w:p>
      <w:pPr>
        <w:ind w:firstLine="1505"/>
        <w:spacing w:after="0" w:line="282" w:lineRule="auto"/>
        <w:tabs>
          <w:tab w:leader="none" w:pos="203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Company for Cause</w:t>
      </w:r>
      <w:r>
        <w:rPr>
          <w:rFonts w:ascii="Times New Roman" w:cs="Times New Roman" w:eastAsia="Times New Roman" w:hAnsi="Times New Roman"/>
          <w:sz w:val="18"/>
          <w:szCs w:val="18"/>
          <w:color w:val="auto"/>
        </w:rPr>
        <w:t>. The Company may terminate your employment hereunder for Cause. For purposes of this Agreement, “Cause” shall mean any of the following:</w:t>
      </w:r>
    </w:p>
    <w:p>
      <w:pPr>
        <w:spacing w:after="0" w:line="161" w:lineRule="exact"/>
        <w:rPr>
          <w:rFonts w:ascii="Times New Roman" w:cs="Times New Roman" w:eastAsia="Times New Roman" w:hAnsi="Times New Roman"/>
          <w:sz w:val="18"/>
          <w:szCs w:val="18"/>
          <w:color w:val="auto"/>
        </w:rPr>
      </w:pPr>
    </w:p>
    <w:p>
      <w:pPr>
        <w:jc w:val="both"/>
        <w:ind w:firstLine="2254"/>
        <w:spacing w:after="0" w:line="261" w:lineRule="auto"/>
        <w:tabs>
          <w:tab w:leader="none" w:pos="254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conduct by you constituting a material act of intentional misconduct in connection with the performance of your duties, including, without limitation, (A) willful failure or willful refusal to perform material responsibilities that have been lawfully requested by the CEO; (B) intentional dishonesty to the CEO with respect to any material matter; or (C) intentional misappropriation of funds or property of the Company or any of its subsidiaries or affiliates other than the occasional, customary and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use of Company property for personal purposes;</w:t>
      </w:r>
    </w:p>
    <w:p>
      <w:pPr>
        <w:spacing w:after="0" w:line="179"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 by you of (A) any felony or (B) a misdemeanor involving moral turpitude, deceit, dishonesty or fraud;</w:t>
      </w:r>
    </w:p>
    <w:p>
      <w:pPr>
        <w:spacing w:after="0" w:line="225" w:lineRule="exact"/>
        <w:rPr>
          <w:rFonts w:ascii="Times New Roman" w:cs="Times New Roman" w:eastAsia="Times New Roman" w:hAnsi="Times New Roman"/>
          <w:sz w:val="18"/>
          <w:szCs w:val="18"/>
          <w:color w:val="auto"/>
        </w:rPr>
      </w:pPr>
    </w:p>
    <w:p>
      <w:pPr>
        <w:jc w:val="both"/>
        <w:ind w:firstLine="2254"/>
        <w:spacing w:after="0" w:line="266" w:lineRule="auto"/>
        <w:tabs>
          <w:tab w:leader="none" w:pos="254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intentional misconduct by you, regardless of whether or not in the course of your employment, that results in material injury or material reputational harm to the Company or any of its subsidiaries or affiliates if you were to continue to be employed in the same position;</w:t>
      </w:r>
    </w:p>
    <w:p>
      <w:pPr>
        <w:spacing w:after="0" w:line="175" w:lineRule="exact"/>
        <w:rPr>
          <w:rFonts w:ascii="Times New Roman" w:cs="Times New Roman" w:eastAsia="Times New Roman" w:hAnsi="Times New Roman"/>
          <w:sz w:val="18"/>
          <w:szCs w:val="18"/>
          <w:color w:val="auto"/>
        </w:rPr>
      </w:pPr>
    </w:p>
    <w:p>
      <w:pPr>
        <w:ind w:firstLine="2254"/>
        <w:spacing w:after="0" w:line="282" w:lineRule="auto"/>
        <w:tabs>
          <w:tab w:leader="none" w:pos="254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continued willful non-performance by you of your duties hereunder (other than by reason of your physical or mental illness, incapacity or Disability) which has continued for more than 30 days following written notice of such non-performance from the CEO;</w:t>
      </w:r>
    </w:p>
    <w:p>
      <w:pPr>
        <w:spacing w:after="0" w:line="161" w:lineRule="exact"/>
        <w:rPr>
          <w:rFonts w:ascii="Times New Roman" w:cs="Times New Roman" w:eastAsia="Times New Roman" w:hAnsi="Times New Roman"/>
          <w:sz w:val="18"/>
          <w:szCs w:val="18"/>
          <w:color w:val="auto"/>
        </w:rPr>
      </w:pPr>
    </w:p>
    <w:p>
      <w:pPr>
        <w:ind w:firstLine="2254"/>
        <w:spacing w:after="0" w:line="282" w:lineRule="auto"/>
        <w:tabs>
          <w:tab w:leader="none" w:pos="254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you of any of the provisions contained in Section 8 of this Agreement or the Restrictive Covenants Agreement and, if such breach is curable, has continued for more than 30 days following written notice of such material breach (as defined below); or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5" w:name="page156"/>
    <w:bookmarkEnd w:id="155"/>
    <w:p>
      <w:pPr>
        <w:jc w:val="both"/>
        <w:ind w:firstLine="2254"/>
        <w:spacing w:after="0" w:line="261" w:lineRule="auto"/>
        <w:tabs>
          <w:tab w:leader="none" w:pos="2546"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willful failure to reasonably cooperate with a bona fide internal investigation or an investigation by regulatory or law enforcement authorities, after being reasonably instructed by the Company to cooperate, or the willful destruction or failure to preserve documents or other materials known to be relevant to such investigation or the willful inducement of others to fail to cooperate or to produce documents or other materials in connection with such investigation.</w:t>
      </w:r>
    </w:p>
    <w:p>
      <w:pPr>
        <w:spacing w:after="0" w:line="179"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without Cause</w:t>
      </w:r>
      <w:r>
        <w:rPr>
          <w:rFonts w:ascii="Times New Roman" w:cs="Times New Roman" w:eastAsia="Times New Roman" w:hAnsi="Times New Roman"/>
          <w:sz w:val="18"/>
          <w:szCs w:val="18"/>
          <w:color w:val="auto"/>
        </w:rPr>
        <w:t>. The Company may terminate your employment hereunder at any time without Cause. Any termination by the Company of your employment under this Agreement which does not constitute a termination for Cause under Section 3(c) and does not result from the death or Disability of you under Section 3(a) or (b) shall be deemed a termination without Cause.</w:t>
      </w:r>
    </w:p>
    <w:p>
      <w:pPr>
        <w:spacing w:after="0" w:line="175"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You</w:t>
      </w:r>
      <w:r>
        <w:rPr>
          <w:rFonts w:ascii="Times New Roman" w:cs="Times New Roman" w:eastAsia="Times New Roman" w:hAnsi="Times New Roman"/>
          <w:sz w:val="18"/>
          <w:szCs w:val="18"/>
          <w:color w:val="auto"/>
        </w:rPr>
        <w:t>. You may terminate employment hereunder at any time for any reason, including but not limited to, Good Reason. For purposes of this Agreement, “Good Reason” shall mean that you have completed all steps of the Good Reason Process (hereinafter defined) following the occurrence of any of the following events without your written consent (each, a “Good Reason Condition”):</w:t>
      </w:r>
    </w:p>
    <w:p>
      <w:pPr>
        <w:spacing w:after="0" w:line="175"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your responsibilities, authority or duties</w:t>
      </w:r>
    </w:p>
    <w:p>
      <w:pPr>
        <w:spacing w:after="0" w:line="225" w:lineRule="exact"/>
        <w:rPr>
          <w:rFonts w:ascii="Times New Roman" w:cs="Times New Roman" w:eastAsia="Times New Roman" w:hAnsi="Times New Roman"/>
          <w:sz w:val="18"/>
          <w:szCs w:val="18"/>
          <w:color w:val="auto"/>
        </w:rPr>
      </w:pPr>
    </w:p>
    <w:p>
      <w:pPr>
        <w:ind w:left="760" w:firstLine="1494"/>
        <w:spacing w:after="0" w:line="282" w:lineRule="auto"/>
        <w:tabs>
          <w:tab w:leader="none" w:pos="2557"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your Base Salary except for across-the-board salary reductions of no greater than 10% based on the Company’s financial performance similarly affecting all or substantially all senior management employees of the Company;</w:t>
      </w:r>
    </w:p>
    <w:p>
      <w:pPr>
        <w:spacing w:after="0" w:line="161" w:lineRule="exact"/>
        <w:rPr>
          <w:rFonts w:ascii="Times New Roman" w:cs="Times New Roman" w:eastAsia="Times New Roman" w:hAnsi="Times New Roman"/>
          <w:sz w:val="18"/>
          <w:szCs w:val="18"/>
          <w:color w:val="auto"/>
        </w:rPr>
      </w:pPr>
    </w:p>
    <w:p>
      <w:pPr>
        <w:ind w:left="760" w:firstLine="1494"/>
        <w:spacing w:after="0" w:line="282" w:lineRule="auto"/>
        <w:tabs>
          <w:tab w:leader="none" w:pos="2557"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of at least thirty (30) miles of the location of the physical Company office to which you report (which to avoid doubt does not include any home office you may have); or</w:t>
      </w:r>
    </w:p>
    <w:p>
      <w:pPr>
        <w:spacing w:after="0" w:line="161"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by the Company of the material terms of this Agreement or any other written agreement between the Company</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you.</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“Good Reason Process” consists of the following steps: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6" w:name="page157"/>
    <w:bookmarkEnd w:id="156"/>
    <w:p>
      <w:pPr>
        <w:ind w:left="2560" w:hanging="306"/>
        <w:spacing w:after="0"/>
        <w:tabs>
          <w:tab w:leader="none" w:pos="25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reasonably determine in good faith that a Good Reason Condition has occurred;</w:t>
      </w:r>
    </w:p>
    <w:p>
      <w:pPr>
        <w:spacing w:after="0" w:line="225" w:lineRule="exact"/>
        <w:rPr>
          <w:rFonts w:ascii="Times New Roman" w:cs="Times New Roman" w:eastAsia="Times New Roman" w:hAnsi="Times New Roman"/>
          <w:sz w:val="18"/>
          <w:szCs w:val="18"/>
          <w:color w:val="auto"/>
        </w:rPr>
      </w:pPr>
    </w:p>
    <w:p>
      <w:pPr>
        <w:ind w:left="760" w:firstLine="1494"/>
        <w:spacing w:after="0" w:line="282" w:lineRule="auto"/>
        <w:tabs>
          <w:tab w:leader="none" w:pos="255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notify the Company in writing of the first occurrence of the Good Reason Condition within 60 days of the first occurrence of such condition;</w:t>
      </w:r>
    </w:p>
    <w:p>
      <w:pPr>
        <w:spacing w:after="0" w:line="162" w:lineRule="exact"/>
        <w:rPr>
          <w:sz w:val="20"/>
          <w:szCs w:val="20"/>
          <w:color w:val="auto"/>
        </w:rPr>
      </w:pPr>
    </w:p>
    <w:p>
      <w:pPr>
        <w:ind w:left="760" w:firstLine="1497"/>
        <w:spacing w:after="0" w:line="282" w:lineRule="auto"/>
        <w:rPr>
          <w:sz w:val="20"/>
          <w:szCs w:val="20"/>
          <w:color w:val="auto"/>
        </w:rPr>
      </w:pPr>
      <w:r>
        <w:rPr>
          <w:rFonts w:ascii="Times New Roman" w:cs="Times New Roman" w:eastAsia="Times New Roman" w:hAnsi="Times New Roman"/>
          <w:sz w:val="18"/>
          <w:szCs w:val="18"/>
          <w:color w:val="auto"/>
        </w:rPr>
        <w:t>(vii)you cooperate in good faith with the Company’s efforts, for a period of not less than 30 days following such notice (the “Cure Period”), to remedy the Good Reason Condition;</w:t>
      </w:r>
    </w:p>
    <w:p>
      <w:pPr>
        <w:spacing w:after="0" w:line="16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(viii)notwithstanding such Cure Period, the Good Reason Condition continues to exist; and</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(ix) you terminate employment within 60 days after the end of the Cure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Company cures the Good Reason Condition during the Cure Period, Good Reason shall be deemed not to have occurred.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your employment with the Company is terminated for any reason, the Company shall pay or provide to you (or your authorized representative or estate)</w:t>
      </w:r>
    </w:p>
    <w:p>
      <w:pPr>
        <w:spacing w:after="0" w:line="27" w:lineRule="exact"/>
        <w:rPr>
          <w:sz w:val="20"/>
          <w:szCs w:val="20"/>
          <w:color w:val="auto"/>
        </w:rPr>
      </w:pPr>
    </w:p>
    <w:p>
      <w:pPr>
        <w:jc w:val="both"/>
        <w:ind w:firstLine="8"/>
        <w:spacing w:after="0" w:line="252" w:lineRule="auto"/>
        <w:tabs>
          <w:tab w:leader="none" w:pos="22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Base Salary earned through the Date of Termination; (ii) unpaid expense reimbursements (subject to, and in accordance with, Section 2(c) of this Agreement); (iii) any vested benefits you may have under any employee benefit plan of the Company through the Date of Termination, which vested benefits shall be paid and/or provided in accordance with the terms of such employee benefit plans; and (iv) if your employment is terminated by the Company because of your death or Disability, a lump sum payment of any earned, but unpaid Bonus for the fiscal year prior to the fiscal year your employment is terminated because of your death or Disability (collectively, the “Accrued Obligations”). The earned but unpaid Bonus in subsection (iv) will be paid at the same time as the Company pays bonuses to similarly situated executives, but in no event later than the end of the taxable year in which the Date of Termination occurs.</w:t>
      </w:r>
    </w:p>
    <w:p>
      <w:pPr>
        <w:spacing w:after="0" w:line="188"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and Date of 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Except for termination as specified in Section 3(a), any termination of your employment by the Company or any such termination by you shall be communicated by written Notice of</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7" w:name="page158"/>
    <w:bookmarkEnd w:id="157"/>
    <w:p>
      <w:pPr>
        <w:ind w:right="20"/>
        <w:spacing w:after="0" w:line="282" w:lineRule="auto"/>
        <w:rPr>
          <w:sz w:val="20"/>
          <w:szCs w:val="20"/>
          <w:color w:val="auto"/>
        </w:rPr>
      </w:pPr>
      <w:r>
        <w:rPr>
          <w:rFonts w:ascii="Times New Roman" w:cs="Times New Roman" w:eastAsia="Times New Roman" w:hAnsi="Times New Roman"/>
          <w:sz w:val="18"/>
          <w:szCs w:val="18"/>
          <w:color w:val="auto"/>
        </w:rPr>
        <w:t>Termination to the other party hereto. For purposes of this Agreement, a “Notice of Termination” shall mean a notice which shall indicate the specific termination provision in this Agreement relied upon.</w:t>
      </w:r>
    </w:p>
    <w:p>
      <w:pPr>
        <w:spacing w:after="0" w:line="162" w:lineRule="exact"/>
        <w:rPr>
          <w:sz w:val="20"/>
          <w:szCs w:val="20"/>
          <w:color w:val="auto"/>
        </w:rPr>
      </w:pPr>
    </w:p>
    <w:p>
      <w:pPr>
        <w:jc w:val="both"/>
        <w:ind w:firstLine="1505"/>
        <w:spacing w:after="0" w:line="254" w:lineRule="auto"/>
        <w:tabs>
          <w:tab w:leader="none" w:pos="2036"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“Date of Termination” shall mean: (i) if your employment is terminated by death, the date of death; (ii) if your employment is terminated on account of Disability under Section 3(b) or by the Company for Cause under Section 3(c), the date on which Notice of Termination is given; (iii) if your employment is terminated by the Company without Cause under Section 3(d), the date on which a Notice of Termination is given or the date otherwise specified by the Company in the Notice of Termination; (iv) if your employment is terminated by you under Section 3(e) other than for Good Reason, 14 days after the date on which a Notice of Termination is given, and (v) if your employment is terminated by you under Section 3(e) for Good Reason, the date on which a Notice of Termination is given after the end of the Cure Period. Notwithstanding the foregoing, in the event that you give a Notice of Termination to the Company, the Company may unilaterally accelerate the Date of Termination and such acceleration shall not result in a termination by the Company for purposes of this Agreement. However, the Company will continue paying you your Base Salary until the original Date of Termination.</w:t>
      </w:r>
    </w:p>
    <w:p>
      <w:pPr>
        <w:spacing w:after="0" w:line="188" w:lineRule="exact"/>
        <w:rPr>
          <w:rFonts w:ascii="Times New Roman" w:cs="Times New Roman" w:eastAsia="Times New Roman" w:hAnsi="Times New Roman"/>
          <w:sz w:val="18"/>
          <w:szCs w:val="18"/>
          <w:color w:val="auto"/>
        </w:rPr>
      </w:pPr>
    </w:p>
    <w:p>
      <w:pPr>
        <w:jc w:val="both"/>
        <w:ind w:firstLine="757"/>
        <w:spacing w:after="0" w:line="254" w:lineRule="auto"/>
        <w:tabs>
          <w:tab w:leader="none" w:pos="101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 and Benefits Upon Termination by the Company without Cause or by You for Good Reason Outside the Change in Control Period</w:t>
      </w:r>
      <w:r>
        <w:rPr>
          <w:rFonts w:ascii="Times New Roman" w:cs="Times New Roman" w:eastAsia="Times New Roman" w:hAnsi="Times New Roman"/>
          <w:sz w:val="18"/>
          <w:szCs w:val="18"/>
          <w:color w:val="auto"/>
        </w:rPr>
        <w:t>. If your employment is terminated by the Company without Cause as provided in Section 3(d), or you terminate employment for Good Reason as provided in Section 3(e), each outside of the Change in Control Period (as defined below), then, in addition to the Accrued Obligations, and subject to (i) your signing a separation agreement and release in a form and manner reasonably satisfactory to the Company, which shall include, without limitation, a general release of claims against the Company and all related persons and entities, a reaffirmation of all of your Continuing Obligations (as defined below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shall provide that if you materially breach any of the Continuing Obligations, and if such breach is curable, which has continued for more than 30 days following written notice of such breach, all payments of the Severance Amount shall immediately cease (the “Separation Agreement and Release”), and (ii) the Separation Agreement and Release becoming irrevocable, all within 60 days after the Date of Termination (or such shorter period as set forth in the Separation Agreement and Release), which shall include a seven (7) business day revocation period:</w:t>
      </w:r>
    </w:p>
    <w:p>
      <w:pPr>
        <w:spacing w:after="0" w:line="188"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you an amount equal to nine (9) months of your Base Salary (the “Severance Amount”); provided in the event you are entitled to any payments pursuant to the Restrictive Covenants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8" w:name="page159"/>
    <w:bookmarkEnd w:id="158"/>
    <w:p>
      <w:pPr>
        <w:ind w:right="20"/>
        <w:spacing w:after="0" w:line="282" w:lineRule="auto"/>
        <w:rPr>
          <w:sz w:val="20"/>
          <w:szCs w:val="20"/>
          <w:color w:val="auto"/>
        </w:rPr>
      </w:pPr>
      <w:r>
        <w:rPr>
          <w:rFonts w:ascii="Times New Roman" w:cs="Times New Roman" w:eastAsia="Times New Roman" w:hAnsi="Times New Roman"/>
          <w:sz w:val="18"/>
          <w:szCs w:val="18"/>
          <w:color w:val="auto"/>
        </w:rPr>
        <w:t>Agreement, as a condition of such receipt of the Severance Amount, you shall acknowledge and agree in the Separation Agreement and Release that such Severance Amount will be in lieu of any garden leave pay under the Restrictive Covenants Agreement;</w:t>
      </w:r>
    </w:p>
    <w:p>
      <w:pPr>
        <w:spacing w:after="0" w:line="162" w:lineRule="exact"/>
        <w:rPr>
          <w:sz w:val="20"/>
          <w:szCs w:val="20"/>
          <w:color w:val="auto"/>
        </w:rPr>
      </w:pPr>
    </w:p>
    <w:p>
      <w:pPr>
        <w:jc w:val="both"/>
        <w:ind w:firstLine="1505"/>
        <w:spacing w:after="0" w:line="266" w:lineRule="auto"/>
        <w:tabs>
          <w:tab w:leader="none" w:pos="2036"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you, if applicable, a lump sum payment of any earned, but unpaid Bonus for the fiscal year prior to the fiscal year of your Date of Termination, to be paid at the same time as the Company pays bonuses to similarly situated executives, but in no event later than the end of the taxable year in which the Date of Termination occurs; and</w:t>
      </w:r>
    </w:p>
    <w:p>
      <w:pPr>
        <w:spacing w:after="0" w:line="175" w:lineRule="exact"/>
        <w:rPr>
          <w:rFonts w:ascii="Times New Roman" w:cs="Times New Roman" w:eastAsia="Times New Roman" w:hAnsi="Times New Roman"/>
          <w:sz w:val="18"/>
          <w:szCs w:val="18"/>
          <w:color w:val="auto"/>
        </w:rPr>
      </w:pPr>
    </w:p>
    <w:p>
      <w:pPr>
        <w:jc w:val="both"/>
        <w:ind w:firstLine="1505"/>
        <w:spacing w:after="0" w:line="255" w:lineRule="auto"/>
        <w:tabs>
          <w:tab w:leader="none" w:pos="2036"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your copayment of premium amounts at the applicable active employees’ rate and your proper election to receive benefits under the Consolidated Omnibus Budget Reconciliation Act of 1985, as amended (“COBRA”), the Company shall pay to the group health plan provider, the COBRA provider or you a monthly payment equal to the monthly employer contribution that the Company would have made to provide health insurance to you if you had remained employed by the Company until the earliest of (A) the nine (9) month anniversary of the Date of Termination;</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9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eligibility for group medical plan benefits under any other employer’s group medical plan; or (C) the cessation of your continuation rights under COBRA; provided, however,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shall be subject to tax-related deductions and withholdings and paid on the Company’s regular payroll dates.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amounts payable under Sections 5(a) and (c), to the extent taxable, shall be paid out in substantially equal installments in accordance with the Company’s payroll practice over nine (9) months commencing within 60 days after the Date of Termination; provided, however, that if the 60-day period begins in one calendar year and ends in a second calendar year, the Severance Amount, to the extent it qualifies as “non-qualified deferred compensation” within the meaning of Section 409A of the Internal Revenue Code of 1986, as amended (the “Code”), shall begin to be paid in the second calendar year by the last day of such 60-day period; provided, further, that the initial payment shall include a catch-up payment to cover amounts retroactive to the day immediately following the Date of Termination.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color w:val="auto"/>
        </w:rPr>
        <w:t>Each payment pursuant to this Agreement is intended to constitute a separate payment for purposes of Treasury Regulation Section 1.409A-2(b)(2).</w:t>
      </w:r>
    </w:p>
    <w:p>
      <w:pPr>
        <w:spacing w:after="0" w:line="225" w:lineRule="exact"/>
        <w:rPr>
          <w:sz w:val="20"/>
          <w:szCs w:val="20"/>
          <w:color w:val="auto"/>
        </w:rPr>
      </w:pPr>
    </w:p>
    <w:p>
      <w:pPr>
        <w:jc w:val="both"/>
        <w:ind w:firstLine="757"/>
        <w:spacing w:after="0" w:line="256" w:lineRule="auto"/>
        <w:tabs>
          <w:tab w:leader="none" w:pos="101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 and Benefits Upon Termination by the Company without Cause or by You for Good Reason within the Change in Control Period</w:t>
      </w:r>
      <w:r>
        <w:rPr>
          <w:rFonts w:ascii="Times New Roman" w:cs="Times New Roman" w:eastAsia="Times New Roman" w:hAnsi="Times New Roman"/>
          <w:sz w:val="18"/>
          <w:szCs w:val="18"/>
          <w:color w:val="auto"/>
        </w:rPr>
        <w:t>. The provisions of this Section 6 shall apply in lieu of, and expressly supersede, the provisions of Section 5 if (i) your employment is terminated either (a) by the Company without Cause as provided in Section 3(d), or (b) by you for Good Reason as provided in Section 3(e), and (ii) the Date of Termination is within 3 months prior to, or within 12 months after, the occurrence of the first event constituting a Change in Control (as defined below) (such period, the “Change in Control Period”). These provisions of Section 6 shall terminate and be of no further force or effect after a Change in Control Period.</w:t>
      </w:r>
    </w:p>
    <w:p>
      <w:pPr>
        <w:spacing w:after="0" w:line="187"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employment is terminated by the Company without Cause as provided in Section 3(d) or you terminate employment for Good Reason as provided in Section 3(e) and in either case the Date of Termination occurs during the Change in Control Period, then, in addition to the Accrued Obligations, and subject to the signing of the Separation Agreement and Release by you and the Separation Agreement and Release becoming fully effective, all within the time frame set forth in the Separation Agreement and Release but in no event more than 60 days after the Date of Termination:</w:t>
      </w:r>
    </w:p>
    <w:p>
      <w:pPr>
        <w:spacing w:after="0" w:line="179" w:lineRule="exact"/>
        <w:rPr>
          <w:rFonts w:ascii="Times New Roman" w:cs="Times New Roman" w:eastAsia="Times New Roman" w:hAnsi="Times New Roman"/>
          <w:sz w:val="18"/>
          <w:szCs w:val="18"/>
          <w:color w:val="auto"/>
        </w:rPr>
      </w:pPr>
    </w:p>
    <w:p>
      <w:pPr>
        <w:jc w:val="both"/>
        <w:ind w:left="760" w:firstLine="1494"/>
        <w:spacing w:after="0" w:line="256" w:lineRule="auto"/>
        <w:tabs>
          <w:tab w:leader="none" w:pos="2557"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you a lump sum in cash in an amount equal to the sum of (A) fifteen (15) months of your then current Base Salary (or your Base Salary in effect immediately prior to the Change in Control, if higher), (B) 1.25x your Target Bonus for the then-current fiscal year; and (C) any earned, but unpaid Bonus for the fiscal year prior to the fiscal year of your Date of Termination, (the “Change in Control Payment”) provided that, if applicable and as a condition of such receipt of the Change in Control Payment, you shall acknowledge and agree in the Separation Agreement and Release that such Change in Control Payment will be in lieu of any garden leave pay under the Restrictive Covenants Agreement; and</w:t>
      </w:r>
    </w:p>
    <w:p>
      <w:pPr>
        <w:spacing w:after="0" w:line="187" w:lineRule="exact"/>
        <w:rPr>
          <w:rFonts w:ascii="Times New Roman" w:cs="Times New Roman" w:eastAsia="Times New Roman" w:hAnsi="Times New Roman"/>
          <w:sz w:val="18"/>
          <w:szCs w:val="18"/>
          <w:color w:val="auto"/>
        </w:rPr>
      </w:pPr>
    </w:p>
    <w:p>
      <w:pPr>
        <w:jc w:val="both"/>
        <w:ind w:left="760" w:firstLine="1494"/>
        <w:spacing w:after="0" w:line="289" w:lineRule="auto"/>
        <w:tabs>
          <w:tab w:leader="none" w:pos="2557" w:val="left"/>
        </w:tabs>
        <w:numPr>
          <w:ilvl w:val="2"/>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any applicable option agreement or other stock-based award agreement, all time-based stock options and other stock-based awards subject to time-based vesting held by you (the “Time-Based Equity Awards”) shall immediately accelerate and become fully exercisable or nonforfeitable as of the later of (i) the Date of Termination or (ii) the effective date of the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0" w:name="page161"/>
    <w:bookmarkEnd w:id="160"/>
    <w:p>
      <w:pPr>
        <w:jc w:val="both"/>
        <w:ind w:left="760"/>
        <w:spacing w:after="0" w:line="257" w:lineRule="auto"/>
        <w:rPr>
          <w:sz w:val="20"/>
          <w:szCs w:val="20"/>
          <w:color w:val="auto"/>
        </w:rPr>
      </w:pPr>
      <w:r>
        <w:rPr>
          <w:rFonts w:ascii="Times New Roman" w:cs="Times New Roman" w:eastAsia="Times New Roman" w:hAnsi="Times New Roman"/>
          <w:sz w:val="18"/>
          <w:szCs w:val="18"/>
          <w:color w:val="auto"/>
        </w:rPr>
        <w:t xml:space="preserve">Separation Agreement and Release (the “Accelerated Vesting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termination or forfeiture of the unvested portion of such Time-Based Equity Awards that would otherwise occur on the Date of Termination in the absence of this Agreement will be delayed until the effective date of the Separation Agreement and Release and will only occur if the vesting pursuant to this subsection does not occur due to the absence of the Separation Agreement and Release becoming fully effective within the time period set forth therein. Notwithstanding the foregoing, no additional vesting of the Time-Based Equity Awards shall occur during the period between your Date of Termination and the Accelerated Vesting Date; and</w:t>
      </w:r>
    </w:p>
    <w:p>
      <w:pPr>
        <w:spacing w:after="0" w:line="184" w:lineRule="exact"/>
        <w:rPr>
          <w:sz w:val="20"/>
          <w:szCs w:val="20"/>
          <w:color w:val="auto"/>
        </w:rPr>
      </w:pPr>
    </w:p>
    <w:p>
      <w:pPr>
        <w:jc w:val="both"/>
        <w:ind w:left="760" w:firstLine="1494"/>
        <w:spacing w:after="0" w:line="254" w:lineRule="auto"/>
        <w:tabs>
          <w:tab w:leader="none" w:pos="2557"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your copayment of premium amounts at the applicable active employees’ rate and your proper election to receive benefits under COBRA, the Company shall pay to the group health plan provider, the COBRA provider or you a monthly payment equal to the monthly employer contribution that the Company would have made to provide health insurance to you if you had remained employed by the Company until the earliest of (A) the 15-month anniversary of the Date of Termination; (B) your eligibility for group medical plan benefits under any other employer’s group medical plan; or (C) the cessation of your continuation rights under COBRA; provided, however,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shall be subject to tax-related deductions and withholdings and paid on the Company’s regular payroll dates.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amounts payable under this Section 6(a) (other than 6(a)(i)(C)), to the extent taxable, shall be paid or commence to be paid within 60 days after the Date of Termination; provided, however,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 The amount payable under Section 6(a)(i)(C) shall be paid at the same time as the Company pays bonuses to similarly situated executives, but in no event later than the end of the taxable year in which the Date of Termination occurs.</w:t>
      </w:r>
    </w:p>
    <w:p>
      <w:pPr>
        <w:spacing w:after="0" w:line="183" w:lineRule="exact"/>
        <w:rPr>
          <w:sz w:val="20"/>
          <w:szCs w:val="20"/>
          <w:color w:val="auto"/>
        </w:rPr>
      </w:pPr>
    </w:p>
    <w:p>
      <w:pPr>
        <w:ind w:left="2040" w:hanging="535"/>
        <w:spacing w:after="0"/>
        <w:tabs>
          <w:tab w:leader="none" w:pos="20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Limitation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61" w:name="page162"/>
    <w:bookmarkEnd w:id="161"/>
    <w:p>
      <w:pPr>
        <w:jc w:val="both"/>
        <w:ind w:left="3" w:firstLine="1494"/>
        <w:spacing w:after="0" w:line="252" w:lineRule="auto"/>
        <w:tabs>
          <w:tab w:leader="none" w:pos="180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in the event that the amount of any compensation, payment or distribution by the Company to or for the benefit of you, whether paid or payable or distributed or distributable pursuant to the terms of this Agreement or otherwise, calculated in a manner consistent with Section 280G of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you became the subject to the excise tax imposed by Section 4999 of the Code; provided that such reduction shall only occur if it would result in you receiving a higher After Tax Amount (as defined below) than you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w:t>
      </w:r>
    </w:p>
    <w:p>
      <w:pPr>
        <w:spacing w:after="0" w:line="5" w:lineRule="exact"/>
        <w:rPr>
          <w:rFonts w:ascii="Times New Roman" w:cs="Times New Roman" w:eastAsia="Times New Roman" w:hAnsi="Times New Roman"/>
          <w:sz w:val="18"/>
          <w:szCs w:val="18"/>
          <w:color w:val="auto"/>
        </w:rPr>
      </w:pPr>
    </w:p>
    <w:p>
      <w:pPr>
        <w:jc w:val="both"/>
        <w:ind w:left="3" w:hanging="3"/>
        <w:spacing w:after="0" w:line="255" w:lineRule="auto"/>
        <w:tabs>
          <w:tab w:leader="none" w:pos="26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85" w:lineRule="exact"/>
        <w:rPr>
          <w:rFonts w:ascii="Times New Roman" w:cs="Times New Roman" w:eastAsia="Times New Roman" w:hAnsi="Times New Roman"/>
          <w:sz w:val="18"/>
          <w:szCs w:val="18"/>
          <w:color w:val="auto"/>
        </w:rPr>
      </w:pPr>
    </w:p>
    <w:p>
      <w:pPr>
        <w:jc w:val="both"/>
        <w:ind w:left="3" w:firstLine="1494"/>
        <w:spacing w:after="0" w:line="256" w:lineRule="auto"/>
        <w:tabs>
          <w:tab w:leader="none" w:pos="18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6(b), the “After Tax Amount” means the amount of the Aggregate Payments less all federal, state, and local income, excise and employment taxes imposed on you as a result of your receipt of the Aggregate Payments. For purposes of determining the After Tax Amount, you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87" w:lineRule="exact"/>
        <w:rPr>
          <w:rFonts w:ascii="Times New Roman" w:cs="Times New Roman" w:eastAsia="Times New Roman" w:hAnsi="Times New Roman"/>
          <w:sz w:val="18"/>
          <w:szCs w:val="18"/>
          <w:color w:val="auto"/>
        </w:rPr>
      </w:pPr>
    </w:p>
    <w:p>
      <w:pPr>
        <w:ind w:left="3" w:firstLine="1494"/>
        <w:spacing w:after="0" w:line="282" w:lineRule="auto"/>
        <w:tabs>
          <w:tab w:leader="none" w:pos="18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as to whether a reduction in the Aggregate Payments shall be made pursuant to Section 6(b)(i) shall be made by a nationally recognized accounting firm selected by the</w:t>
      </w:r>
    </w:p>
    <w:p>
      <w:pPr>
        <w:spacing w:after="0" w:line="200" w:lineRule="exact"/>
        <w:rPr>
          <w:sz w:val="20"/>
          <w:szCs w:val="20"/>
          <w:color w:val="auto"/>
        </w:rPr>
      </w:pPr>
    </w:p>
    <w:p>
      <w:pPr>
        <w:spacing w:after="0" w:line="394"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7" w:right="339" w:bottom="1440" w:gutter="0" w:footer="0" w:header="0"/>
        </w:sectPr>
      </w:pPr>
    </w:p>
    <w:bookmarkStart w:id="162" w:name="page163"/>
    <w:bookmarkEnd w:id="162"/>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Company (the “Accounting Firm”), which shall provide detailed supporting calculations both to the Company and you within 15 business days of the Date of Termination, if applicable, or at such earlier time as is reasonably requested by the Company or you. Any determination by the Accounting Firm shall be binding upon the Company and you.</w:t>
      </w:r>
    </w:p>
    <w:p>
      <w:pPr>
        <w:spacing w:after="0" w:line="176" w:lineRule="exact"/>
        <w:rPr>
          <w:sz w:val="20"/>
          <w:szCs w:val="20"/>
          <w:color w:val="auto"/>
        </w:rPr>
      </w:pPr>
    </w:p>
    <w:p>
      <w:pPr>
        <w:jc w:val="both"/>
        <w:ind w:left="760" w:firstLine="1494"/>
        <w:spacing w:after="0" w:line="252" w:lineRule="auto"/>
        <w:tabs>
          <w:tab w:leader="none" w:pos="2557"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of this Section 6, a “Change in Control” shall be deemed to have occurred upon the occurrence of any one of the following events: (a) the sale or transfer of all or substantially all of the assets of the Company (i.e., &gt;50% of the value) on a consolidated basis to one or more unrelated persons or entities, (b) a merger, reorganization or consolidation pursuant to which the holders of the Company’s outstanding voting power and outstanding stock immediately prior to such transaction do not own a majority of the outstanding voting power or fair market value of the stock or other equity interests of the resulting or successor entity (or its ultimate parent, if applicable) immediately upon completion of such transaction, (c) the sale of all or substantially all of the stock of the Company to an unrelated person, entity or group thereof acting in concert, (d)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or (e) the date a majority of the members of the Board is replaced during any 12-month period by directors whose appointment or election is not endorsed by a majority of the members of the Board before the date of the appointment or election provided that with respect to any of the clauses (a) through</w:t>
      </w:r>
    </w:p>
    <w:p>
      <w:pPr>
        <w:spacing w:after="0" w:line="3" w:lineRule="exact"/>
        <w:rPr>
          <w:rFonts w:ascii="Times New Roman" w:cs="Times New Roman" w:eastAsia="Times New Roman" w:hAnsi="Times New Roman"/>
          <w:sz w:val="18"/>
          <w:szCs w:val="18"/>
          <w:color w:val="auto"/>
        </w:rPr>
      </w:pPr>
    </w:p>
    <w:p>
      <w:pPr>
        <w:jc w:val="both"/>
        <w:ind w:left="760" w:hanging="3"/>
        <w:spacing w:after="0" w:line="253" w:lineRule="auto"/>
        <w:tabs>
          <w:tab w:leader="none" w:pos="1067"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 raising transaction of the Company (including the Company’s IPO) shall not be treated as a “Change in Control.” Notwithstanding any other provision of this Agreement (other than the foregoing proviso), “Change in Control” shall be interpreted, administered and applied in a manner consistent and in compliance with a “change in control event” as set forth in Treasury Regulation Section 1.409A-3(i)(5) (“Change in Control Event”).</w:t>
      </w:r>
    </w:p>
    <w:p>
      <w:pPr>
        <w:spacing w:after="0" w:line="189" w:lineRule="exact"/>
        <w:rPr>
          <w:sz w:val="20"/>
          <w:szCs w:val="20"/>
          <w:color w:val="auto"/>
        </w:rPr>
      </w:pPr>
    </w:p>
    <w:p>
      <w:pPr>
        <w:ind w:left="1020" w:hanging="263"/>
        <w:spacing w:after="0"/>
        <w:tabs>
          <w:tab w:leader="none" w:pos="10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if at the time of your separation from service within the meaning of Section 409A of the Code, the Company determines that you are a</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3" w:name="page164"/>
    <w:bookmarkEnd w:id="163"/>
    <w:p>
      <w:pPr>
        <w:jc w:val="both"/>
        <w:spacing w:after="0" w:line="255" w:lineRule="auto"/>
        <w:rPr>
          <w:sz w:val="20"/>
          <w:szCs w:val="20"/>
          <w:color w:val="auto"/>
        </w:rPr>
      </w:pPr>
      <w:r>
        <w:rPr>
          <w:rFonts w:ascii="Times New Roman" w:cs="Times New Roman" w:eastAsia="Times New Roman" w:hAnsi="Times New Roman"/>
          <w:sz w:val="18"/>
          <w:szCs w:val="18"/>
          <w:color w:val="auto"/>
        </w:rPr>
        <w:t>“specified employee” within the meaning of Section 409A(a)(2)(B)(i) of the Code, then to the extent any payment or benefit that you become entitled to under this Agreement or otherwise on account of your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your separation from service, or (B) your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89" w:lineRule="exact"/>
        <w:rPr>
          <w:sz w:val="20"/>
          <w:szCs w:val="20"/>
          <w:color w:val="auto"/>
        </w:rPr>
      </w:pPr>
    </w:p>
    <w:p>
      <w:pPr>
        <w:jc w:val="both"/>
        <w:ind w:firstLine="1505"/>
        <w:spacing w:after="0" w:line="256" w:lineRule="auto"/>
        <w:tabs>
          <w:tab w:leader="none" w:pos="203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in-kind benefits provided and expenses eligible for reimbursement under this Agreement shall be provided by the Company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87" w:lineRule="exact"/>
        <w:rPr>
          <w:rFonts w:ascii="Times New Roman" w:cs="Times New Roman" w:eastAsia="Times New Roman" w:hAnsi="Times New Roman"/>
          <w:sz w:val="18"/>
          <w:szCs w:val="18"/>
          <w:color w:val="auto"/>
        </w:rPr>
      </w:pPr>
    </w:p>
    <w:p>
      <w:pPr>
        <w:jc w:val="both"/>
        <w:ind w:firstLine="1505"/>
        <w:spacing w:after="0" w:line="227" w:lineRule="exact"/>
        <w:tabs>
          <w:tab w:leader="none" w:pos="203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payment or benefit described in this Agreement constitutes “non-qualified deferred compensation” under Section 409A of the Code, and to the extent that such payment or benefit is payable upon your termination of employment, then such payments or benefits shall be payable only upon your “separation from service.” The determination of whether and when a separation from service has occurred shall be made in accordance with the presumptions set forth in Treasury Regulation Section 1.409A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1(h).</w:t>
      </w:r>
    </w:p>
    <w:p>
      <w:pPr>
        <w:spacing w:after="0" w:line="172" w:lineRule="exact"/>
        <w:rPr>
          <w:rFonts w:ascii="Times New Roman" w:cs="Times New Roman" w:eastAsia="Times New Roman" w:hAnsi="Times New Roman"/>
          <w:sz w:val="18"/>
          <w:szCs w:val="18"/>
          <w:color w:val="auto"/>
        </w:rPr>
      </w:pPr>
    </w:p>
    <w:p>
      <w:pPr>
        <w:jc w:val="both"/>
        <w:ind w:firstLine="1505"/>
        <w:spacing w:after="0" w:line="227" w:lineRule="exact"/>
        <w:tabs>
          <w:tab w:leader="none" w:pos="203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or the Restrictive Covenants Agreement is intended to constitute a separate payment for purposes of Treasury Regulation Section 1.409A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2(b)(2). The parties agree that this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4" w:name="page165"/>
    <w:bookmarkEnd w:id="164"/>
    <w:p>
      <w:pPr>
        <w:spacing w:after="0" w:line="282" w:lineRule="auto"/>
        <w:rPr>
          <w:sz w:val="20"/>
          <w:szCs w:val="20"/>
          <w:color w:val="auto"/>
        </w:rPr>
      </w:pPr>
      <w:r>
        <w:rPr>
          <w:rFonts w:ascii="Times New Roman" w:cs="Times New Roman" w:eastAsia="Times New Roman" w:hAnsi="Times New Roman"/>
          <w:sz w:val="18"/>
          <w:szCs w:val="18"/>
          <w:color w:val="auto"/>
        </w:rPr>
        <w:t>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62" w:lineRule="exact"/>
        <w:rPr>
          <w:sz w:val="20"/>
          <w:szCs w:val="20"/>
          <w:color w:val="auto"/>
        </w:rPr>
      </w:pPr>
    </w:p>
    <w:p>
      <w:pPr>
        <w:jc w:val="both"/>
        <w:ind w:firstLine="1505"/>
        <w:spacing w:after="0" w:line="266" w:lineRule="auto"/>
        <w:tabs>
          <w:tab w:leader="none" w:pos="2036"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such Section.</w:t>
      </w:r>
    </w:p>
    <w:p>
      <w:pPr>
        <w:spacing w:after="0" w:line="17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05"/>
        <w:spacing w:after="0" w:line="256" w:lineRule="auto"/>
        <w:tabs>
          <w:tab w:leader="none" w:pos="203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 Agreement</w:t>
      </w:r>
      <w:r>
        <w:rPr>
          <w:rFonts w:ascii="Times New Roman" w:cs="Times New Roman" w:eastAsia="Times New Roman" w:hAnsi="Times New Roman"/>
          <w:sz w:val="18"/>
          <w:szCs w:val="18"/>
          <w:color w:val="auto"/>
        </w:rPr>
        <w:t xml:space="preserve">. The Disc Medicine, Inc. Employee Confidentiality, Assignment, Nonsolicitation and Noncompetition Agreement between the Company and you (the “Restrictive Covenants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continues to be in full force and effect. You acknowledge and agree that your eligibility for enhanced severance benefits provided by this Agreement constitutes additional, fair and reasonable consideration independent from the continuation of your employment, for the Restrictive Covenants Agreement. For purposes of this Agreement, the obligations in this Section 8 and those that arise in the Restrictive Covenants Agreement shall collectively be referred to as the “Continuing Obligations.”</w:t>
      </w:r>
    </w:p>
    <w:p>
      <w:pPr>
        <w:spacing w:after="0" w:line="187" w:lineRule="exact"/>
        <w:rPr>
          <w:rFonts w:ascii="Times New Roman" w:cs="Times New Roman" w:eastAsia="Times New Roman" w:hAnsi="Times New Roman"/>
          <w:sz w:val="18"/>
          <w:szCs w:val="18"/>
          <w:color w:val="auto"/>
        </w:rPr>
      </w:pPr>
    </w:p>
    <w:p>
      <w:pPr>
        <w:jc w:val="both"/>
        <w:ind w:firstLine="1505"/>
        <w:spacing w:after="0" w:line="255" w:lineRule="auto"/>
        <w:tabs>
          <w:tab w:leader="none" w:pos="203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Third-Party Agreements and Rights</w:t>
      </w:r>
      <w:r>
        <w:rPr>
          <w:rFonts w:ascii="Times New Roman" w:cs="Times New Roman" w:eastAsia="Times New Roman" w:hAnsi="Times New Roman"/>
          <w:sz w:val="18"/>
          <w:szCs w:val="18"/>
          <w:color w:val="auto"/>
        </w:rPr>
        <w:t>. You hereby confirm that you are not bound by the terms of any agreement with any previous employer or other party which restricts in any way your use or disclosure of information, other than confidentiality restrictions (if any), or your engagement in any business. You represent to the Company that your execution of this Agreement, your employment with the Company and the performance of your proposed duties for the Company will not violate any obligations you may have to any such previous employer or other party. In your work for the Company, you will not disclose or make use of any information in violation of any agreements with or rights of any such previous employer or other party, and you will not bring to the premises of the Company any copies or other tangible embodiments of non-public information belonging to or obtained from any such previous employment or other party.</w:t>
      </w:r>
    </w:p>
    <w:p>
      <w:pPr>
        <w:spacing w:after="0" w:line="188" w:lineRule="exact"/>
        <w:rPr>
          <w:rFonts w:ascii="Times New Roman" w:cs="Times New Roman" w:eastAsia="Times New Roman" w:hAnsi="Times New Roman"/>
          <w:sz w:val="18"/>
          <w:szCs w:val="18"/>
          <w:color w:val="auto"/>
        </w:rPr>
      </w:pPr>
    </w:p>
    <w:p>
      <w:pPr>
        <w:jc w:val="both"/>
        <w:ind w:right="20" w:firstLine="1505"/>
        <w:spacing w:after="0" w:line="266" w:lineRule="auto"/>
        <w:tabs>
          <w:tab w:leader="none" w:pos="203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 and Regulatory Cooperation</w:t>
      </w:r>
      <w:r>
        <w:rPr>
          <w:rFonts w:ascii="Times New Roman" w:cs="Times New Roman" w:eastAsia="Times New Roman" w:hAnsi="Times New Roman"/>
          <w:sz w:val="18"/>
          <w:szCs w:val="18"/>
          <w:color w:val="auto"/>
        </w:rPr>
        <w:t>. During and after your employment, you shall reasonably cooperate fully with the Company in (i) the defense or prosecution of any claims or actions now in existence or which may be brought in the future against or on behalf of the Company which relate to events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1755775</wp:posOffset>
            </wp:positionH>
            <wp:positionV relativeFrom="paragraph">
              <wp:posOffset>-2644775</wp:posOffset>
            </wp:positionV>
            <wp:extent cx="2857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5" w:name="page166"/>
    <w:bookmarkEnd w:id="165"/>
    <w:p>
      <w:pPr>
        <w:jc w:val="both"/>
        <w:spacing w:after="0" w:line="219" w:lineRule="exact"/>
        <w:rPr>
          <w:sz w:val="20"/>
          <w:szCs w:val="20"/>
          <w:color w:val="auto"/>
        </w:rPr>
      </w:pPr>
      <w:r>
        <w:rPr>
          <w:rFonts w:ascii="Times New Roman" w:cs="Times New Roman" w:eastAsia="Times New Roman" w:hAnsi="Times New Roman"/>
          <w:sz w:val="18"/>
          <w:szCs w:val="18"/>
          <w:color w:val="auto"/>
        </w:rPr>
        <w:t>occurrences that transpired while you were employed by the Company, and (ii) the investigation, whether internal or external, of any matters about which the Company believes you may have knowledge or information. Your full reasonable cooperation in connection with such claims, actions or investigations shall include, but not be limited to, being available to meet with counsel to answer questions or to prepare for discovery or trial and to act as a witness on behalf of the Company at mutually convenient times. During and after your employment, you also shall reasonably cooperate fully with the Company in connection with any investigation or review of any federal, state or local regulatory authority as any such investigation or review relates to events or occurrences that transpired while you were employed by the Company. The Company shall reimburse you for any reasonable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expenses incurred in connection with your performance of obligations pursuant to this Section 8(c). The Company agrees that if you have provided fifteen (15) hours of cooperation to the Company after your Date of Termination, the Company shall pay you an hourly rate of $400 for any additional hours of cooperation, over the initial fifteen (15) hours, except for your testimony pursuant to a lawfully issued summons or subpoena. The Company further agrees that it will pay/reimburse your reasonable out-of-pocket expenses and fees within thirty (30) days of your submission of receipts and invoices to the Company.</w:t>
      </w:r>
    </w:p>
    <w:p>
      <w:pPr>
        <w:spacing w:after="0" w:line="200" w:lineRule="exact"/>
        <w:rPr>
          <w:sz w:val="20"/>
          <w:szCs w:val="20"/>
          <w:color w:val="auto"/>
        </w:rPr>
      </w:pPr>
    </w:p>
    <w:p>
      <w:pPr>
        <w:spacing w:after="0" w:line="210" w:lineRule="exact"/>
        <w:rPr>
          <w:sz w:val="20"/>
          <w:szCs w:val="20"/>
          <w:color w:val="auto"/>
        </w:rPr>
      </w:pPr>
    </w:p>
    <w:p>
      <w:pPr>
        <w:jc w:val="both"/>
        <w:ind w:firstLine="1505"/>
        <w:spacing w:after="0" w:line="258" w:lineRule="auto"/>
        <w:tabs>
          <w:tab w:leader="none" w:pos="203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Relief</w:t>
      </w:r>
      <w:r>
        <w:rPr>
          <w:rFonts w:ascii="Times New Roman" w:cs="Times New Roman" w:eastAsia="Times New Roman" w:hAnsi="Times New Roman"/>
          <w:sz w:val="18"/>
          <w:szCs w:val="18"/>
          <w:color w:val="auto"/>
        </w:rPr>
        <w:t>. You agree that it may be difficult to measure any damages caused to the Company which might result from any breach by you of the Continuing Obligations, and that in any event money damages may be an inadequate remedy for any such breach. Accordingly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you agree that if you breach, or propose to breach, any portion of the Continuing Obligations, the Company shall be entitled, in addition to all other remedies that it may have, to seek an injunction or other appropriate equitable relief to restrain any such breach without showing or proving any actual damage to the Company.</w:t>
      </w:r>
    </w:p>
    <w:p>
      <w:pPr>
        <w:spacing w:after="0" w:line="183" w:lineRule="exact"/>
        <w:rPr>
          <w:rFonts w:ascii="Times New Roman" w:cs="Times New Roman" w:eastAsia="Times New Roman" w:hAnsi="Times New Roman"/>
          <w:sz w:val="18"/>
          <w:szCs w:val="18"/>
          <w:color w:val="auto"/>
        </w:rPr>
      </w:pPr>
    </w:p>
    <w:p>
      <w:pPr>
        <w:jc w:val="both"/>
        <w:ind w:firstLine="1505"/>
        <w:spacing w:after="0" w:line="256" w:lineRule="auto"/>
        <w:tabs>
          <w:tab w:leader="none" w:pos="203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Protected Activities; Defend Trade Secrets Act of 2016</w:t>
      </w:r>
      <w:r>
        <w:rPr>
          <w:rFonts w:ascii="Times New Roman" w:cs="Times New Roman" w:eastAsia="Times New Roman" w:hAnsi="Times New Roman"/>
          <w:sz w:val="18"/>
          <w:szCs w:val="18"/>
          <w:color w:val="auto"/>
        </w:rPr>
        <w:t>. Nothing contained in this Agreement, any other agreement with the Company or any Company policy limits your ability, with or without notice to the Company, to: (i) file a charge or complaint with any federal, state or local governmental agency or commission (a “Government Agency”), including without limitation, the Equal Employment Opportunity Commission, the National Labor Relations Board or the Securities and Exchange Commission; (ii) communicate with any Government Agency or otherwise participate in any investigation or proceeding that may be conducted by an Government Agency, including by providing non-privileged documents or information; (iii) exercise any rights under Section 7 of the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6" w:name="page167"/>
    <w:bookmarkEnd w:id="166"/>
    <w:p>
      <w:pPr>
        <w:jc w:val="both"/>
        <w:spacing w:after="0" w:line="254" w:lineRule="auto"/>
        <w:rPr>
          <w:sz w:val="20"/>
          <w:szCs w:val="20"/>
          <w:color w:val="auto"/>
        </w:rPr>
      </w:pPr>
      <w:r>
        <w:rPr>
          <w:rFonts w:ascii="Times New Roman" w:cs="Times New Roman" w:eastAsia="Times New Roman" w:hAnsi="Times New Roman"/>
          <w:sz w:val="18"/>
          <w:szCs w:val="18"/>
          <w:color w:val="auto"/>
        </w:rPr>
        <w:t>National Labor Relations Act, which are available to non-supervisory employees, including assisting co-workers with or discussing any employment issue as part of engaging in concerted activities for purpose of mutual aid or protection; (iv) discuss or disclose information about unlawful acts in the workplace, such as harassment or discrimination or any other conduct that you have reason to believe is unlawful; or (v) testify truthfully in a legal proceeding. Any such communications and disclosures must not violate applicable law and the information disclosed must not have been obtained through a communication that was subject to the attorney-client privilege (unless disclosure of that information would otherwise be permitted consistent with such privilege or applicable law). In addition, pursuant to the federal Defend Trade Secrets Act of 2016, you shall not be held criminally or civilly liable under any federal or state trade secret law or under this Agreement or the Restrictive Covenants Agreement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200" w:lineRule="exact"/>
        <w:rPr>
          <w:sz w:val="20"/>
          <w:szCs w:val="20"/>
          <w:color w:val="auto"/>
        </w:rPr>
      </w:pPr>
    </w:p>
    <w:p>
      <w:pPr>
        <w:spacing w:after="0" w:line="204" w:lineRule="exact"/>
        <w:rPr>
          <w:sz w:val="20"/>
          <w:szCs w:val="20"/>
          <w:color w:val="auto"/>
        </w:rPr>
      </w:pPr>
    </w:p>
    <w:p>
      <w:pPr>
        <w:ind w:left="1020" w:hanging="263"/>
        <w:spacing w:after="0"/>
        <w:tabs>
          <w:tab w:leader="none" w:pos="10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of Disputes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05"/>
        <w:spacing w:after="0" w:line="253" w:lineRule="auto"/>
        <w:tabs>
          <w:tab w:leader="none" w:pos="2036"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Generally</w:t>
      </w:r>
      <w:r>
        <w:rPr>
          <w:rFonts w:ascii="Times New Roman" w:cs="Times New Roman" w:eastAsia="Times New Roman" w:hAnsi="Times New Roman"/>
          <w:sz w:val="18"/>
          <w:szCs w:val="18"/>
          <w:color w:val="auto"/>
        </w:rPr>
        <w:t>. Any controversy or claim arising out of or relating to this Agreement or the breach thereof or otherwise arising out of your employment or the termination of that employment (including, without limitation, any claims of unlawful employment discrimination or retaliation, whether based on race, religion, national origin, sex, gender, age, disability, sexual orientation, or any other protected class under applicable law, including without limitation Massachusetts General Laws Chapter 151B) shall, to the fullest extent permitted by law, be settled by arbitration in any forum and form agreed upon by the parties or, in the absence of such an agreement, under the auspices of JAMS in Boston, Massachusetts in accordance with the JAMS Employment Arbitration Rules, including, but not limited to, the rules and procedures applicable to the selection of arbitrators. You understand that you may only bring such claims in your individual capacity, and not as a plaintiff or class member in any purported class proceeding or any purported representative proceeding. You further understand that, by signing this Agreement, the Company and you are giving up any right they may have to a jury trial on all claims they may have against each other. Judgment upon the award rendered by the arbitrator may be entered in any court having jurisdiction thereof. This Section 9 shall be specifically enforceable. Notwithstanding the foregoing, this Section 9 shall not preclude either party from pursuing a court action for the sole purpose of obtaining a temporary restraining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7" w:name="page168"/>
    <w:bookmarkEnd w:id="167"/>
    <w:p>
      <w:pPr>
        <w:ind w:right="20"/>
        <w:spacing w:after="0" w:line="282" w:lineRule="auto"/>
        <w:rPr>
          <w:sz w:val="20"/>
          <w:szCs w:val="20"/>
          <w:color w:val="auto"/>
        </w:rPr>
      </w:pPr>
      <w:r>
        <w:rPr>
          <w:rFonts w:ascii="Times New Roman" w:cs="Times New Roman" w:eastAsia="Times New Roman" w:hAnsi="Times New Roman"/>
          <w:sz w:val="18"/>
          <w:szCs w:val="18"/>
          <w:color w:val="auto"/>
        </w:rPr>
        <w:t>order or a preliminary injunction in circumstances in which such relief is appropriate, including without limitation relief sought under the Restrictive Covenants Agreement; provided that any other relief shall be pursued through an arbitration proceeding pursuant to this Section 9.</w:t>
      </w:r>
    </w:p>
    <w:p>
      <w:pPr>
        <w:spacing w:after="0" w:line="162" w:lineRule="exact"/>
        <w:rPr>
          <w:sz w:val="20"/>
          <w:szCs w:val="20"/>
          <w:color w:val="auto"/>
        </w:rPr>
      </w:pPr>
    </w:p>
    <w:p>
      <w:pPr>
        <w:jc w:val="both"/>
        <w:ind w:firstLine="1505"/>
        <w:spacing w:after="0" w:line="261" w:lineRule="auto"/>
        <w:tabs>
          <w:tab w:leader="none" w:pos="2036"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Fees and Costs</w:t>
      </w:r>
      <w:r>
        <w:rPr>
          <w:rFonts w:ascii="Times New Roman" w:cs="Times New Roman" w:eastAsia="Times New Roman" w:hAnsi="Times New Roman"/>
          <w:sz w:val="18"/>
          <w:szCs w:val="18"/>
          <w:color w:val="auto"/>
        </w:rPr>
        <w:t>. You shall be required to pay an arbitration fee to initiate any arbitration equal to what you would be charged as a first appearance fee in court. The Company shall pay the remaining fees and costs of the arbitrator. Each party shall pay its own costs and attorneys’ fees, if any. If, however, any party prevails on a statutory or contractual claim that entitles the prevailing party to attorneys’ fees (including pursuant to this Agreement), the arbitrator will award attorneys’ fees to the prevailing party to the extent permitted by law.</w:t>
      </w:r>
    </w:p>
    <w:p>
      <w:pPr>
        <w:spacing w:after="0" w:line="179" w:lineRule="exact"/>
        <w:rPr>
          <w:rFonts w:ascii="Times New Roman" w:cs="Times New Roman" w:eastAsia="Times New Roman" w:hAnsi="Times New Roman"/>
          <w:sz w:val="18"/>
          <w:szCs w:val="18"/>
          <w:color w:val="auto"/>
        </w:rPr>
      </w:pPr>
    </w:p>
    <w:p>
      <w:pPr>
        <w:jc w:val="both"/>
        <w:ind w:firstLine="757"/>
        <w:spacing w:after="0" w:line="258" w:lineRule="auto"/>
        <w:tabs>
          <w:tab w:leader="none" w:pos="101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To the extent that any court action is permitted consistent with or to enforce Section 9 of this Agreement, the parties hereby consent to the jurisdiction of the state and federal courts of the Commonwealth of Massachusetts. Accordingly, with respect to any such court action, you (a) submit to the exclusive personal jurisdiction of such courts; (b) consent to service of process; (c) waive any other requirement (whether imposed by statute, rule of court, or otherwise) with respect to personal jurisdiction or service of process and (d) you and the Company waive any right to a jury in connection with any such court action.</w:t>
      </w:r>
    </w:p>
    <w:p>
      <w:pPr>
        <w:spacing w:after="0" w:line="183"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“Indemnification Agreement” between the Company and you, dated December 29, 2022 (the “Indemnification Agreement”) is hereby incorporated by reference.</w:t>
      </w:r>
    </w:p>
    <w:p>
      <w:pPr>
        <w:spacing w:after="0" w:line="161" w:lineRule="exact"/>
        <w:rPr>
          <w:rFonts w:ascii="Times New Roman" w:cs="Times New Roman" w:eastAsia="Times New Roman" w:hAnsi="Times New Roman"/>
          <w:sz w:val="18"/>
          <w:szCs w:val="18"/>
          <w:color w:val="auto"/>
        </w:rPr>
      </w:pPr>
    </w:p>
    <w:p>
      <w:pPr>
        <w:jc w:val="both"/>
        <w:ind w:firstLine="757"/>
        <w:spacing w:after="0" w:line="266" w:lineRule="auto"/>
        <w:tabs>
          <w:tab w:leader="none" w:pos="101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Mitigation</w:t>
      </w:r>
      <w:r>
        <w:rPr>
          <w:rFonts w:ascii="Times New Roman" w:cs="Times New Roman" w:eastAsia="Times New Roman" w:hAnsi="Times New Roman"/>
          <w:sz w:val="18"/>
          <w:szCs w:val="18"/>
          <w:color w:val="auto"/>
        </w:rPr>
        <w:t>. The Company agrees that if your employment by the Company is terminated during the term of this Agreement, you are not required to seek other employment or to attempt in any way to reduce any amounts payable to you by the Company pursuant to Sections 5 or 6 hereof. Further, the amount of any payment provided for in this Agreement shall not be reduced by any compensation earned by you.</w:t>
      </w:r>
    </w:p>
    <w:p>
      <w:pPr>
        <w:spacing w:after="0" w:line="175" w:lineRule="exact"/>
        <w:rPr>
          <w:rFonts w:ascii="Times New Roman" w:cs="Times New Roman" w:eastAsia="Times New Roman" w:hAnsi="Times New Roman"/>
          <w:sz w:val="18"/>
          <w:szCs w:val="18"/>
          <w:color w:val="auto"/>
        </w:rPr>
      </w:pPr>
    </w:p>
    <w:p>
      <w:pPr>
        <w:jc w:val="both"/>
        <w:ind w:firstLine="757"/>
        <w:spacing w:after="0" w:line="266" w:lineRule="auto"/>
        <w:tabs>
          <w:tab w:leader="none" w:pos="101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the subject matter hereof and supersedes all prior agreements between the parties concerning such subject matter, including the Prior Agreement, provided that the Restrictive Covenants Agreement, the Indemnification Agreement and the Equity Documents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8" w:name="page169"/>
    <w:bookmarkEnd w:id="168"/>
    <w:p>
      <w:pPr>
        <w:jc w:val="both"/>
        <w:ind w:firstLine="757"/>
        <w:spacing w:after="0" w:line="266" w:lineRule="auto"/>
        <w:tabs>
          <w:tab w:leader="none" w:pos="101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 Effect</w:t>
      </w:r>
      <w:r>
        <w:rPr>
          <w:rFonts w:ascii="Times New Roman" w:cs="Times New Roman" w:eastAsia="Times New Roman" w:hAnsi="Times New Roman"/>
          <w:sz w:val="18"/>
          <w:szCs w:val="18"/>
          <w:color w:val="auto"/>
        </w:rPr>
        <w:t>. All payments made by the Company to you under this Agreement shall be net of any tax or other amounts required to be withheld by the Company under applicable law. Nothing in this Agreement shall be construed to require the Company to make any payments to compensate you for any adverse tax effect associated with any payments or benefits or for any deduction or withholding from any payment or benefit.</w:t>
      </w:r>
    </w:p>
    <w:p>
      <w:pPr>
        <w:spacing w:after="0" w:line="175" w:lineRule="exact"/>
        <w:rPr>
          <w:rFonts w:ascii="Times New Roman" w:cs="Times New Roman" w:eastAsia="Times New Roman" w:hAnsi="Times New Roman"/>
          <w:sz w:val="18"/>
          <w:szCs w:val="18"/>
          <w:color w:val="auto"/>
        </w:rPr>
      </w:pPr>
    </w:p>
    <w:p>
      <w:pPr>
        <w:jc w:val="both"/>
        <w:ind w:firstLine="757"/>
        <w:spacing w:after="0" w:line="254" w:lineRule="auto"/>
        <w:tabs>
          <w:tab w:leader="none" w:pos="101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you nor the Company may make any assignment of this Agreement or any interest in it, by operation of law or otherwise, without the prior written consent of the other; provided, however, that the Company may assign its rights and obligations under this Agreement (including the Restrictive Covenants Agreement) without your consent to any affiliate or to any person or entity with whom the Company shall hereafter effect a reorganization, consolidate with, or merge into or to whom it transfers all or substantially all of its properties or assets, but only on the condition that it assigns both its rights and obligations. This Agreement shall inure to the benefit of and be binding upon you and the Company, and each of yours and the Company’s respective successors, executors, administrators, heirs, personal representatives, and permitted assigns. In the event of your death prior to the completion by the Company of any payments due to you under Sections 5 or 6 of this Agreement, the Company shall continue such payments to the beneficiary you designated in writing to the Company prior to your death, or to your estate, heirs, executors or personal representatives if you failed to make such designation.</w:t>
      </w:r>
    </w:p>
    <w:p>
      <w:pPr>
        <w:spacing w:after="0" w:line="188" w:lineRule="exact"/>
        <w:rPr>
          <w:rFonts w:ascii="Times New Roman" w:cs="Times New Roman" w:eastAsia="Times New Roman" w:hAnsi="Times New Roman"/>
          <w:sz w:val="18"/>
          <w:szCs w:val="18"/>
          <w:color w:val="auto"/>
        </w:rPr>
      </w:pPr>
    </w:p>
    <w:p>
      <w:pPr>
        <w:jc w:val="both"/>
        <w:ind w:right="20" w:firstLine="757"/>
        <w:spacing w:after="0" w:line="261" w:lineRule="auto"/>
        <w:tabs>
          <w:tab w:leader="none" w:pos="101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9"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provisions of this Agreement shall survive the termination of this Agreement and/or the termination of your employment to the extent necessary to effectuate the terms contained herein.</w:t>
      </w:r>
    </w:p>
    <w:p>
      <w:pPr>
        <w:spacing w:after="0" w:line="161" w:lineRule="exact"/>
        <w:rPr>
          <w:rFonts w:ascii="Times New Roman" w:cs="Times New Roman" w:eastAsia="Times New Roman" w:hAnsi="Times New Roman"/>
          <w:sz w:val="18"/>
          <w:szCs w:val="18"/>
          <w:color w:val="auto"/>
        </w:rPr>
      </w:pPr>
    </w:p>
    <w:p>
      <w:pPr>
        <w:jc w:val="both"/>
        <w:ind w:firstLine="757"/>
        <w:spacing w:after="0" w:line="266" w:lineRule="auto"/>
        <w:tabs>
          <w:tab w:leader="none" w:pos="101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9" w:name="page170"/>
    <w:bookmarkEnd w:id="169"/>
    <w:p>
      <w:pPr>
        <w:jc w:val="both"/>
        <w:ind w:firstLine="757"/>
        <w:spacing w:after="0" w:line="266" w:lineRule="auto"/>
        <w:tabs>
          <w:tab w:leader="none" w:pos="101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you at the last address you have on file in writing with the Company or, in the case of the Company, at its main offices, attention of the Board.</w:t>
      </w:r>
    </w:p>
    <w:p>
      <w:pPr>
        <w:spacing w:after="0" w:line="175"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or modified only by a written instrument signed by you and by a duly authorized representative of the Company.</w:t>
      </w:r>
    </w:p>
    <w:p>
      <w:pPr>
        <w:spacing w:after="0" w:line="161" w:lineRule="exact"/>
        <w:rPr>
          <w:rFonts w:ascii="Times New Roman" w:cs="Times New Roman" w:eastAsia="Times New Roman" w:hAnsi="Times New Roman"/>
          <w:sz w:val="18"/>
          <w:szCs w:val="18"/>
          <w:color w:val="auto"/>
        </w:rPr>
      </w:pPr>
    </w:p>
    <w:p>
      <w:pPr>
        <w:jc w:val="both"/>
        <w:ind w:firstLine="757"/>
        <w:spacing w:after="0" w:line="254" w:lineRule="auto"/>
        <w:tabs>
          <w:tab w:leader="none" w:pos="101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Other Plans and Agreements</w:t>
      </w:r>
      <w:r>
        <w:rPr>
          <w:rFonts w:ascii="Times New Roman" w:cs="Times New Roman" w:eastAsia="Times New Roman" w:hAnsi="Times New Roman"/>
          <w:sz w:val="18"/>
          <w:szCs w:val="18"/>
          <w:color w:val="auto"/>
        </w:rPr>
        <w:t>. An election by you to resign for Good Reason under the provisions of this Agreement shall not be deemed a voluntary termination of employment by you for the purpose of interpreting the provisions of any of the Company's benefit plans, programs or policies. Nothing in this Agreement shall be construed to limit the rights of you under the Company’s benefit plans, programs or policies except as otherwise provided in Section 8 hereof, and except that you shall have no rights to any severance benefits under any Company severance pay plan, offer letter or otherwise. In the event that you are a party to an agreement with the Company providing for payments or benefits under such plan or agreement and under this Agreement, the terms of this Agreement shall govern and you may receive payment under this Agreement only and not both. Further, Section 5 and Section 6 of this Agreement are mutually exclusive and in no event shall you be entitled to payments or benefits pursuant to both Section 5 and Section 6 of this Agreement.</w:t>
      </w:r>
    </w:p>
    <w:p>
      <w:pPr>
        <w:spacing w:after="0" w:line="191" w:lineRule="exact"/>
        <w:rPr>
          <w:rFonts w:ascii="Times New Roman" w:cs="Times New Roman" w:eastAsia="Times New Roman" w:hAnsi="Times New Roman"/>
          <w:sz w:val="18"/>
          <w:szCs w:val="18"/>
          <w:color w:val="auto"/>
        </w:rPr>
      </w:pPr>
    </w:p>
    <w:p>
      <w:pPr>
        <w:jc w:val="both"/>
        <w:ind w:firstLine="757"/>
        <w:spacing w:after="0" w:line="263" w:lineRule="auto"/>
        <w:tabs>
          <w:tab w:leader="none" w:pos="101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is a Massachusetts contract and shall be construed under and be governed in all respects by the laws of the Commonwealth of Massachusetts, without giving effect to the conflict of laws principles thereof. With respect to any disputes concerning federal law, such disputes shall be determined in accordance with the law as it would be interpreted and applied by the United States Court of Appeals for the First Circuit.</w:t>
      </w:r>
    </w:p>
    <w:p>
      <w:pPr>
        <w:spacing w:after="0" w:line="399"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effective on the Effective Date.</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229" w:lineRule="exact"/>
        <w:rPr>
          <w:sz w:val="20"/>
          <w:szCs w:val="20"/>
          <w:color w:val="auto"/>
        </w:rPr>
      </w:pPr>
    </w:p>
    <w:tbl>
      <w:tblPr>
        <w:tblLayout w:type="fixed"/>
        <w:tblInd w:w="610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Quisel</w:t>
            </w:r>
          </w:p>
        </w:tc>
      </w:tr>
      <w:tr>
        <w:trPr>
          <w:trHeight w:val="20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42"/>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w:t>
            </w:r>
          </w:p>
        </w:tc>
      </w:tr>
      <w:tr>
        <w:trPr>
          <w:trHeight w:val="64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William Savage, MD, PhD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3877310</wp:posOffset>
            </wp:positionH>
            <wp:positionV relativeFrom="paragraph">
              <wp:posOffset>0</wp:posOffset>
            </wp:positionV>
            <wp:extent cx="27774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8"/>
          <w:szCs w:val="18"/>
          <w:color w:val="auto"/>
        </w:rPr>
        <w:t>William Savage, MD, PhD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Restrictive Covenants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898525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EMPLOYMENT AGREEMENT</w:t>
      </w:r>
    </w:p>
    <w:p>
      <w:pPr>
        <w:spacing w:after="0" w:line="33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This Amended and Restated Employment Agreement (“Agreement”) is made between Disc Medicine, Inc., (the “Company”), and Jonathan Yu (“You”) and is effective as of July 29, 2026 (the “Effective Date”). Except with respect to the Restrictive Covenants Agreement, the Indemnification Agreement and the Equity Documents (each as defined below), this Agreement supersedes in all respects all prior agreements between you and the Company regarding the subject matter herein, including without limitation the employment agreement between you and the Company, December 29, 2022 (the “Prior Agreement”).</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WHEREAS, the Company desires to continue to employ you and you desire to continue to be employed by the Company on the new terms and conditions contained herein.</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62" w:lineRule="exact"/>
        <w:rPr>
          <w:sz w:val="20"/>
          <w:szCs w:val="20"/>
          <w:color w:val="auto"/>
        </w:rPr>
      </w:pPr>
    </w:p>
    <w:p>
      <w:pPr>
        <w:ind w:left="1020" w:hanging="263"/>
        <w:spacing w:after="0"/>
        <w:tabs>
          <w:tab w:leader="none" w:pos="10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Company shall employ you and you shall be employed by the Company pursuant to this Agreement commencing as of the Effective Date and continuing until such employment is terminated in accordance with the provisions hereof (the “Term”). Your employment with the Company will continue to be “at will,” meaning that your employment may be terminated by the Company or you at any time and for any reason subject to the terms of this Agreement.</w:t>
      </w:r>
    </w:p>
    <w:p>
      <w:pPr>
        <w:spacing w:after="0" w:line="179"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 You shall serve as the Chief Operating Officer of the Company and shall report directly to the Chief Executive Officer (“CEO”). You shall have such powers and duties as may from time to time be prescribed by the CEO or other duly authorized executive which are consistent with your position as Chief Business Officer. You shall devote your full working time and efforts to the business and affairs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3" w:name="page174"/>
    <w:bookmarkEnd w:id="173"/>
    <w:p>
      <w:pPr>
        <w:jc w:val="both"/>
        <w:spacing w:after="0" w:line="256" w:lineRule="auto"/>
        <w:rPr>
          <w:sz w:val="20"/>
          <w:szCs w:val="20"/>
          <w:color w:val="auto"/>
        </w:rPr>
      </w:pPr>
      <w:r>
        <w:rPr>
          <w:rFonts w:ascii="Times New Roman" w:cs="Times New Roman" w:eastAsia="Times New Roman" w:hAnsi="Times New Roman"/>
          <w:sz w:val="18"/>
          <w:szCs w:val="18"/>
          <w:color w:val="auto"/>
        </w:rPr>
        <w:t>Company. Notwithstanding the foregoing, you may serve on other boards of directors, with the approval of the Board of Directors of the Company (including any committee thereof, the “Board”), which approval shall not unreasonably be withheld by the Board, or engage in religious, charitable or other community activities as long as such services and activities are disclosed to the Board and do not interfere with your performance of your duties to the Company. To the extent applicable, you shall be deemed to have resigned from all officer and, if applicable, board member positions that you hold with the Company or any of its respective subsidiaries and affiliates upon the termination of your employment for any reason. You shall execute any documents in reasonable form as may be requested to confirm or effectuate any such resignations.</w:t>
      </w:r>
    </w:p>
    <w:p>
      <w:pPr>
        <w:spacing w:after="0" w:line="187" w:lineRule="exact"/>
        <w:rPr>
          <w:sz w:val="20"/>
          <w:szCs w:val="20"/>
          <w:color w:val="auto"/>
        </w:rPr>
      </w:pPr>
    </w:p>
    <w:p>
      <w:pPr>
        <w:ind w:left="1020" w:hanging="263"/>
        <w:spacing w:after="0"/>
        <w:tabs>
          <w:tab w:leader="none" w:pos="10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Related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05"/>
        <w:spacing w:after="0" w:line="258" w:lineRule="auto"/>
        <w:tabs>
          <w:tab w:leader="none" w:pos="2036"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Your initial base salary shall be paid at the rate of $530,000 per year. Your base salary shall be subject to periodic review and increase (but not decrease, except for an across-the-board reduction of no greater than 10% based on the Company’s financial performance similarly affecting all or substantially all senior management employees of the Company) by the Board or the Compensation Committee of the Board (the “Compensation Committee”). The base salary in effect at any given time is referred to herein as “Base Salary.” The Base Salary shall be payable in a manner that is consistent with the Company’s usual payroll practices for executive officers.</w:t>
      </w:r>
    </w:p>
    <w:p>
      <w:pPr>
        <w:spacing w:after="0" w:line="183" w:lineRule="exact"/>
        <w:rPr>
          <w:rFonts w:ascii="Times New Roman" w:cs="Times New Roman" w:eastAsia="Times New Roman" w:hAnsi="Times New Roman"/>
          <w:sz w:val="18"/>
          <w:szCs w:val="18"/>
          <w:color w:val="auto"/>
        </w:rPr>
      </w:pPr>
    </w:p>
    <w:p>
      <w:pPr>
        <w:jc w:val="both"/>
        <w:ind w:firstLine="1505"/>
        <w:spacing w:after="0" w:line="255" w:lineRule="auto"/>
        <w:tabs>
          <w:tab w:leader="none" w:pos="2036"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You shall be eligible to receive cash incentive compensation as determined by the Board or the Compensation Committee from time to time. Your target annual incentive compensation shall be forty-five percent (45%) of your Base Salary. The target annual incentive compensation in effect at any given time is referred to herein as “Target Bonus.” The actual amount of your annual incentive compensation, if any, shall be determined in the sole discretion of the Board or the Compensation Committee, subject to the terms of any applicable incentive compensation plan that may be in effect from time to time (the “Bonus”). Except as otherwise provided herein, to earn incentive compensation, you must be employed by the Company on the day such incentive compensation is paid. The incentive compensation for each fiscal year will be paid no later than two and a half months following such fiscal year.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4" w:name="page175"/>
    <w:bookmarkEnd w:id="174"/>
    <w:p>
      <w:pPr>
        <w:ind w:firstLine="1505"/>
        <w:spacing w:after="0" w:line="282" w:lineRule="auto"/>
        <w:tabs>
          <w:tab w:leader="none" w:pos="203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You shall be entitled to receive prompt reimbursement for all reasonable expenses incurred by you during the Term in performing services hereunder, in accordance with the policies and procedures then in effect and established by the Company for its executive officers.</w:t>
      </w:r>
    </w:p>
    <w:p>
      <w:pPr>
        <w:spacing w:after="0" w:line="161"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 You shall be eligible to participate in or receive benefits under the Company’s employee benefit plans in effect from time to time, subject to the terms of such plans.</w:t>
      </w:r>
    </w:p>
    <w:p>
      <w:pPr>
        <w:spacing w:after="0" w:line="161" w:lineRule="exact"/>
        <w:rPr>
          <w:rFonts w:ascii="Times New Roman" w:cs="Times New Roman" w:eastAsia="Times New Roman" w:hAnsi="Times New Roman"/>
          <w:sz w:val="18"/>
          <w:szCs w:val="18"/>
          <w:color w:val="auto"/>
        </w:rPr>
      </w:pPr>
    </w:p>
    <w:p>
      <w:pPr>
        <w:ind w:right="20" w:firstLine="1505"/>
        <w:spacing w:after="0" w:line="282" w:lineRule="auto"/>
        <w:tabs>
          <w:tab w:leader="none" w:pos="203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Paid Time Off</w:t>
      </w:r>
      <w:r>
        <w:rPr>
          <w:rFonts w:ascii="Times New Roman" w:cs="Times New Roman" w:eastAsia="Times New Roman" w:hAnsi="Times New Roman"/>
          <w:sz w:val="18"/>
          <w:szCs w:val="18"/>
          <w:color w:val="auto"/>
        </w:rPr>
        <w:t>. You shall be entitled to take paid time off in accordance with the Company’s applicable paid time off policy for executives, as may be in effect from time to time. You shall also be entitled to all paid holidays given by the Company to its employees.</w:t>
      </w:r>
    </w:p>
    <w:p>
      <w:pPr>
        <w:spacing w:after="0" w:line="161" w:lineRule="exact"/>
        <w:rPr>
          <w:rFonts w:ascii="Times New Roman" w:cs="Times New Roman" w:eastAsia="Times New Roman" w:hAnsi="Times New Roman"/>
          <w:sz w:val="18"/>
          <w:szCs w:val="18"/>
          <w:color w:val="auto"/>
        </w:rPr>
      </w:pPr>
    </w:p>
    <w:p>
      <w:pPr>
        <w:jc w:val="both"/>
        <w:ind w:firstLine="1505"/>
        <w:spacing w:after="0" w:line="258" w:lineRule="auto"/>
        <w:tabs>
          <w:tab w:leader="none" w:pos="203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The equity awards held by you shall continue to be governed by the terms and conditions of the Company’s applicable equity incentive plan(s) and the applicable award agreement(s) governing the terms of such equity awards held by you (collectively, the “Equity Documents”); provided, however, and notwithstanding anything to the contrary in the Equity Documents, Section 6(a)(ii) of this Agreement shall apply in the event of a termination by the Company without Cause or by you for Good Reason in either event within the Change in Control Period (as such terms are defined below).</w:t>
      </w:r>
    </w:p>
    <w:p>
      <w:pPr>
        <w:spacing w:after="0" w:line="183"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Your employment hereunder may be terminated without any breach of this Agreement under the following circumstances:</w:t>
      </w:r>
    </w:p>
    <w:p>
      <w:pPr>
        <w:spacing w:after="0" w:line="22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Your employment hereunder shall terminate upon your death.</w:t>
      </w:r>
    </w:p>
    <w:p>
      <w:pPr>
        <w:spacing w:after="0" w:line="225" w:lineRule="exact"/>
        <w:rPr>
          <w:rFonts w:ascii="Times New Roman" w:cs="Times New Roman" w:eastAsia="Times New Roman" w:hAnsi="Times New Roman"/>
          <w:sz w:val="18"/>
          <w:szCs w:val="18"/>
          <w:color w:val="auto"/>
        </w:rPr>
      </w:pPr>
    </w:p>
    <w:p>
      <w:pPr>
        <w:jc w:val="both"/>
        <w:ind w:firstLine="1505"/>
        <w:spacing w:after="0" w:line="255" w:lineRule="auto"/>
        <w:tabs>
          <w:tab w:leader="none" w:pos="2036"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The Company may terminate your employment due to your “Disability” if you are unable to perform the essential functions of your then existing position or positions under this Agreement with or without reasonable accommodation for a period of 180 days (which need not be consecutive) in any 12-month period. If any question shall arise as to whether during any period you are disabled so as to be unable to perform the essential functions of your then existing position or positions with or without reasonable accommodation, you may, and at the request of the Company shall, submit to the Company a certification in reasonable detail by a physician selected by the Company who is board certified in the specialty relevant to your medical condition to whom you or your guardian has no reasonable objection as to whether you are disabled or how long such disability is expected to continue,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5" w:name="page176"/>
    <w:bookmarkEnd w:id="175"/>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such certification shall for the purposes of this Agreement be conclusive of the issue. You shall cooperate with any reasonable request of the physician in connection with such certification. If such question shall arise and you shall fail to submit such certification, the Company’s reasonable determination of such issue shall be binding on you. Nothing in this Section 3(b) shall be construed to waive your rights, if any, under existing law including, without limitation, the Family and Medical Leave Act of 1993, 29 U.S.C. §2601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the Americans with Disabilities Act, 42 U.S.C. §12101 </w:t>
      </w:r>
      <w:r>
        <w:rPr>
          <w:rFonts w:ascii="Times New Roman" w:cs="Times New Roman" w:eastAsia="Times New Roman" w:hAnsi="Times New Roman"/>
          <w:sz w:val="18"/>
          <w:szCs w:val="18"/>
          <w:i w:val="1"/>
          <w:iCs w:val="1"/>
          <w:color w:val="auto"/>
        </w:rPr>
        <w:t>et seq.</w:t>
      </w:r>
    </w:p>
    <w:p>
      <w:pPr>
        <w:spacing w:after="0" w:line="180" w:lineRule="exact"/>
        <w:rPr>
          <w:sz w:val="20"/>
          <w:szCs w:val="20"/>
          <w:color w:val="auto"/>
        </w:rPr>
      </w:pPr>
    </w:p>
    <w:p>
      <w:pPr>
        <w:ind w:firstLine="1505"/>
        <w:spacing w:after="0" w:line="282" w:lineRule="auto"/>
        <w:tabs>
          <w:tab w:leader="none" w:pos="203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Company for Cause</w:t>
      </w:r>
      <w:r>
        <w:rPr>
          <w:rFonts w:ascii="Times New Roman" w:cs="Times New Roman" w:eastAsia="Times New Roman" w:hAnsi="Times New Roman"/>
          <w:sz w:val="18"/>
          <w:szCs w:val="18"/>
          <w:color w:val="auto"/>
        </w:rPr>
        <w:t>. The Company may terminate your employment hereunder for Cause. For purposes of this Agreement, “Cause” shall mean any of the following:</w:t>
      </w:r>
    </w:p>
    <w:p>
      <w:pPr>
        <w:spacing w:after="0" w:line="161" w:lineRule="exact"/>
        <w:rPr>
          <w:rFonts w:ascii="Times New Roman" w:cs="Times New Roman" w:eastAsia="Times New Roman" w:hAnsi="Times New Roman"/>
          <w:sz w:val="18"/>
          <w:szCs w:val="18"/>
          <w:color w:val="auto"/>
        </w:rPr>
      </w:pPr>
    </w:p>
    <w:p>
      <w:pPr>
        <w:jc w:val="both"/>
        <w:ind w:firstLine="2254"/>
        <w:spacing w:after="0" w:line="261" w:lineRule="auto"/>
        <w:tabs>
          <w:tab w:leader="none" w:pos="2546"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conduct by you constituting a material act of intentional misconduct in connection with the performance of your duties, including, without limitation, (A) willful failure or willful refusal to perform material responsibilities that have been lawfully requested by the CEO; (B) intentional dishonesty to the CEO with respect to any material matter; or (C) intentional misappropriation of funds or property of the Company or any of its subsidiaries or affiliates other than the occasional, customary and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use of Company property for personal purposes;</w:t>
      </w:r>
    </w:p>
    <w:p>
      <w:pPr>
        <w:spacing w:after="0" w:line="179"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 by you of (A) any felony or (B) a misdemeanor involving moral turpitude, deceit, dishonesty or fraud;</w:t>
      </w:r>
    </w:p>
    <w:p>
      <w:pPr>
        <w:spacing w:after="0" w:line="225" w:lineRule="exact"/>
        <w:rPr>
          <w:rFonts w:ascii="Times New Roman" w:cs="Times New Roman" w:eastAsia="Times New Roman" w:hAnsi="Times New Roman"/>
          <w:sz w:val="18"/>
          <w:szCs w:val="18"/>
          <w:color w:val="auto"/>
        </w:rPr>
      </w:pPr>
    </w:p>
    <w:p>
      <w:pPr>
        <w:jc w:val="both"/>
        <w:ind w:firstLine="2254"/>
        <w:spacing w:after="0" w:line="266" w:lineRule="auto"/>
        <w:tabs>
          <w:tab w:leader="none" w:pos="2546"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intentional misconduct by you, regardless of whether or not in the course of your employment, that results in material injury or material reputational harm to the Company or any of its subsidiaries or affiliates if you were to continue to be employed in the same position;</w:t>
      </w:r>
    </w:p>
    <w:p>
      <w:pPr>
        <w:spacing w:after="0" w:line="175" w:lineRule="exact"/>
        <w:rPr>
          <w:rFonts w:ascii="Times New Roman" w:cs="Times New Roman" w:eastAsia="Times New Roman" w:hAnsi="Times New Roman"/>
          <w:sz w:val="18"/>
          <w:szCs w:val="18"/>
          <w:color w:val="auto"/>
        </w:rPr>
      </w:pPr>
    </w:p>
    <w:p>
      <w:pPr>
        <w:ind w:firstLine="2254"/>
        <w:spacing w:after="0" w:line="282" w:lineRule="auto"/>
        <w:tabs>
          <w:tab w:leader="none" w:pos="2546"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continued willful non-performance by you of your duties hereunder (other than by reason of your physical or mental illness, incapacity or Disability) which has continued for more than 30 days following written notice of such non-performance from the CEO;</w:t>
      </w:r>
    </w:p>
    <w:p>
      <w:pPr>
        <w:spacing w:after="0" w:line="161" w:lineRule="exact"/>
        <w:rPr>
          <w:rFonts w:ascii="Times New Roman" w:cs="Times New Roman" w:eastAsia="Times New Roman" w:hAnsi="Times New Roman"/>
          <w:sz w:val="18"/>
          <w:szCs w:val="18"/>
          <w:color w:val="auto"/>
        </w:rPr>
      </w:pPr>
    </w:p>
    <w:p>
      <w:pPr>
        <w:ind w:firstLine="2254"/>
        <w:spacing w:after="0" w:line="282" w:lineRule="auto"/>
        <w:tabs>
          <w:tab w:leader="none" w:pos="2546"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you of any of the provisions contained in Section 8 of this Agreement or the Restrictive Covenants Agreement and, if such breach is curable, has continued for more than 30 days following written notice of such material breach (as defined below); or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6" w:name="page177"/>
    <w:bookmarkEnd w:id="176"/>
    <w:p>
      <w:pPr>
        <w:jc w:val="both"/>
        <w:ind w:firstLine="2254"/>
        <w:spacing w:after="0" w:line="261" w:lineRule="auto"/>
        <w:tabs>
          <w:tab w:leader="none" w:pos="254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willful failure to reasonably cooperate with a bona fide internal investigation or an investigation by regulatory or law enforcement authorities, after being reasonably instructed by the Company to cooperate, or the willful destruction or failure to preserve documents or other materials known to be relevant to such investigation or the willful inducement of others to fail to cooperate or to produce documents or other materials in connection with such investigation.</w:t>
      </w:r>
    </w:p>
    <w:p>
      <w:pPr>
        <w:spacing w:after="0" w:line="179"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without Cause</w:t>
      </w:r>
      <w:r>
        <w:rPr>
          <w:rFonts w:ascii="Times New Roman" w:cs="Times New Roman" w:eastAsia="Times New Roman" w:hAnsi="Times New Roman"/>
          <w:sz w:val="18"/>
          <w:szCs w:val="18"/>
          <w:color w:val="auto"/>
        </w:rPr>
        <w:t>. The Company may terminate your employment hereunder at any time without Cause. Any termination by the Company of your employment under this Agreement which does not constitute a termination for Cause under Section 3(c) and does not result from the death or Disability of you under Section 3(a) or (b) shall be deemed a termination without Cause.</w:t>
      </w:r>
    </w:p>
    <w:p>
      <w:pPr>
        <w:spacing w:after="0" w:line="175"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You</w:t>
      </w:r>
      <w:r>
        <w:rPr>
          <w:rFonts w:ascii="Times New Roman" w:cs="Times New Roman" w:eastAsia="Times New Roman" w:hAnsi="Times New Roman"/>
          <w:sz w:val="18"/>
          <w:szCs w:val="18"/>
          <w:color w:val="auto"/>
        </w:rPr>
        <w:t>. You may terminate employment hereunder at any time for any reason, including but not limited to, Good Reason. For purposes of this Agreement, “Good Reason” shall mean that you have completed all steps of the Good Reason Process (hereinafter defined) following the occurrence of any of the following events without your written consent (each, a “Good Reason Condition”):</w:t>
      </w:r>
    </w:p>
    <w:p>
      <w:pPr>
        <w:spacing w:after="0" w:line="175"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your responsibilities, authority or duties</w:t>
      </w:r>
    </w:p>
    <w:p>
      <w:pPr>
        <w:spacing w:after="0" w:line="225" w:lineRule="exact"/>
        <w:rPr>
          <w:rFonts w:ascii="Times New Roman" w:cs="Times New Roman" w:eastAsia="Times New Roman" w:hAnsi="Times New Roman"/>
          <w:sz w:val="18"/>
          <w:szCs w:val="18"/>
          <w:color w:val="auto"/>
        </w:rPr>
      </w:pPr>
    </w:p>
    <w:p>
      <w:pPr>
        <w:ind w:left="760" w:firstLine="1494"/>
        <w:spacing w:after="0" w:line="282" w:lineRule="auto"/>
        <w:tabs>
          <w:tab w:leader="none" w:pos="2557"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your Base Salary except for across-the-board salary reductions of no greater than 10% based on the Company’s financial performance similarly affecting all or substantially all senior management employees of the Company;</w:t>
      </w:r>
    </w:p>
    <w:p>
      <w:pPr>
        <w:spacing w:after="0" w:line="161" w:lineRule="exact"/>
        <w:rPr>
          <w:rFonts w:ascii="Times New Roman" w:cs="Times New Roman" w:eastAsia="Times New Roman" w:hAnsi="Times New Roman"/>
          <w:sz w:val="18"/>
          <w:szCs w:val="18"/>
          <w:color w:val="auto"/>
        </w:rPr>
      </w:pPr>
    </w:p>
    <w:p>
      <w:pPr>
        <w:ind w:left="760" w:firstLine="1494"/>
        <w:spacing w:after="0" w:line="282" w:lineRule="auto"/>
        <w:tabs>
          <w:tab w:leader="none" w:pos="2557"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of at least thirty (30) miles of the location of the physical Company office to which you report (which to avoid doubt does not include any home office you may have); or</w:t>
      </w:r>
    </w:p>
    <w:p>
      <w:pPr>
        <w:spacing w:after="0" w:line="161"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by the Company of the material terms of this Agreement or any other written agreement between the Company</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you.</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“Good Reason Process” consists of the following steps: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7" w:name="page178"/>
    <w:bookmarkEnd w:id="177"/>
    <w:p>
      <w:pPr>
        <w:ind w:left="2560" w:hanging="306"/>
        <w:spacing w:after="0"/>
        <w:tabs>
          <w:tab w:leader="none" w:pos="25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reasonably determine in good faith that a Good Reason Condition has occurred;</w:t>
      </w:r>
    </w:p>
    <w:p>
      <w:pPr>
        <w:spacing w:after="0" w:line="225" w:lineRule="exact"/>
        <w:rPr>
          <w:rFonts w:ascii="Times New Roman" w:cs="Times New Roman" w:eastAsia="Times New Roman" w:hAnsi="Times New Roman"/>
          <w:sz w:val="18"/>
          <w:szCs w:val="18"/>
          <w:color w:val="auto"/>
        </w:rPr>
      </w:pPr>
    </w:p>
    <w:p>
      <w:pPr>
        <w:ind w:left="760" w:firstLine="1494"/>
        <w:spacing w:after="0" w:line="282" w:lineRule="auto"/>
        <w:tabs>
          <w:tab w:leader="none" w:pos="2557"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notify the Company in writing of the first occurrence of the Good Reason Condition within 60 days of the first occurrence of such condition;</w:t>
      </w:r>
    </w:p>
    <w:p>
      <w:pPr>
        <w:spacing w:after="0" w:line="162" w:lineRule="exact"/>
        <w:rPr>
          <w:sz w:val="20"/>
          <w:szCs w:val="20"/>
          <w:color w:val="auto"/>
        </w:rPr>
      </w:pPr>
    </w:p>
    <w:p>
      <w:pPr>
        <w:ind w:left="760" w:firstLine="1497"/>
        <w:spacing w:after="0" w:line="282" w:lineRule="auto"/>
        <w:rPr>
          <w:sz w:val="20"/>
          <w:szCs w:val="20"/>
          <w:color w:val="auto"/>
        </w:rPr>
      </w:pPr>
      <w:r>
        <w:rPr>
          <w:rFonts w:ascii="Times New Roman" w:cs="Times New Roman" w:eastAsia="Times New Roman" w:hAnsi="Times New Roman"/>
          <w:sz w:val="18"/>
          <w:szCs w:val="18"/>
          <w:color w:val="auto"/>
        </w:rPr>
        <w:t>(vii)you cooperate in good faith with the Company’s efforts, for a period of not less than 30 days following such notice (the “Cure Period”), to remedy the Good Reason Condition;</w:t>
      </w:r>
    </w:p>
    <w:p>
      <w:pPr>
        <w:spacing w:after="0" w:line="16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(viii)notwithstanding such Cure Period, the Good Reason Condition continues to exist; and</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(ix) you terminate employment within 60 days after the end of the Cure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Company cures the Good Reason Condition during the Cure Period, Good Reason shall be deemed not to have occurred.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your employment with the Company is terminated for any reason, the Company shall pay or provide to you (or your authorized representative or estate)</w:t>
      </w:r>
    </w:p>
    <w:p>
      <w:pPr>
        <w:spacing w:after="0" w:line="27" w:lineRule="exact"/>
        <w:rPr>
          <w:sz w:val="20"/>
          <w:szCs w:val="20"/>
          <w:color w:val="auto"/>
        </w:rPr>
      </w:pPr>
    </w:p>
    <w:p>
      <w:pPr>
        <w:jc w:val="both"/>
        <w:ind w:firstLine="8"/>
        <w:spacing w:after="0" w:line="252" w:lineRule="auto"/>
        <w:tabs>
          <w:tab w:leader="none" w:pos="22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Base Salary earned through the Date of Termination; (ii) unpaid expense reimbursements (subject to, and in accordance with, Section 2(c) of this Agreement); (iii) any vested benefits you may have under any employee benefit plan of the Company through the Date of Termination, which vested benefits shall be paid and/or provided in accordance with the terms of such employee benefit plans; and (iv) if your employment is terminated by the Company because of your death or Disability, a lump sum payment of any earned, but unpaid Bonus for the fiscal year prior to the fiscal year your employment is terminated because of your death or Disability (collectively, the “Accrued Obligations”). The earned but unpaid Bonus in subsection (iv) will be paid at the same time as the Company pays bonuses to similarly situated executives, but in no event later than the end of the taxable year in which the Date of Termination occurs.</w:t>
      </w:r>
    </w:p>
    <w:p>
      <w:pPr>
        <w:spacing w:after="0" w:line="188"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and Date of 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2"/>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Except for termination as specified in Section 3(a), any termination of your employment by the Company or any such termination by you shall be communicated by written Notice of</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8" w:name="page179"/>
    <w:bookmarkEnd w:id="178"/>
    <w:p>
      <w:pPr>
        <w:ind w:right="20"/>
        <w:spacing w:after="0" w:line="282" w:lineRule="auto"/>
        <w:rPr>
          <w:sz w:val="20"/>
          <w:szCs w:val="20"/>
          <w:color w:val="auto"/>
        </w:rPr>
      </w:pPr>
      <w:r>
        <w:rPr>
          <w:rFonts w:ascii="Times New Roman" w:cs="Times New Roman" w:eastAsia="Times New Roman" w:hAnsi="Times New Roman"/>
          <w:sz w:val="18"/>
          <w:szCs w:val="18"/>
          <w:color w:val="auto"/>
        </w:rPr>
        <w:t>Termination to the other party hereto. For purposes of this Agreement, a “Notice of Termination” shall mean a notice which shall indicate the specific termination provision in this Agreement relied upon.</w:t>
      </w:r>
    </w:p>
    <w:p>
      <w:pPr>
        <w:spacing w:after="0" w:line="162" w:lineRule="exact"/>
        <w:rPr>
          <w:sz w:val="20"/>
          <w:szCs w:val="20"/>
          <w:color w:val="auto"/>
        </w:rPr>
      </w:pPr>
    </w:p>
    <w:p>
      <w:pPr>
        <w:jc w:val="both"/>
        <w:ind w:firstLine="1505"/>
        <w:spacing w:after="0" w:line="254" w:lineRule="auto"/>
        <w:tabs>
          <w:tab w:leader="none" w:pos="2036"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“Date of Termination” shall mean: (i) if your employment is terminated by death, the date of death; (ii) if your employment is terminated on account of Disability under Section 3(b) or by the Company for Cause under Section 3(c), the date on which Notice of Termination is given; (iii) if your employment is terminated by the Company without Cause under Section 3(d), the date on which a Notice of Termination is given or the date otherwise specified by the Company in the Notice of Termination; (iv) if your employment is terminated by you under Section 3(e) other than for Good Reason, 14 days after the date on which a Notice of Termination is given, and (v) if your employment is terminated by you under Section 3(e) for Good Reason, the date on which a Notice of Termination is given after the end of the Cure Period. Notwithstanding the foregoing, in the event that you give a Notice of Termination to the Company, the Company may unilaterally accelerate the Date of Termination and such acceleration shall not result in a termination by the Company for purposes of this Agreement. However, the Company will continue paying you your Base Salary until the original Date of Termination.</w:t>
      </w:r>
    </w:p>
    <w:p>
      <w:pPr>
        <w:spacing w:after="0" w:line="188" w:lineRule="exact"/>
        <w:rPr>
          <w:rFonts w:ascii="Times New Roman" w:cs="Times New Roman" w:eastAsia="Times New Roman" w:hAnsi="Times New Roman"/>
          <w:sz w:val="18"/>
          <w:szCs w:val="18"/>
          <w:color w:val="auto"/>
        </w:rPr>
      </w:pPr>
    </w:p>
    <w:p>
      <w:pPr>
        <w:jc w:val="both"/>
        <w:ind w:firstLine="757"/>
        <w:spacing w:after="0" w:line="254" w:lineRule="auto"/>
        <w:tabs>
          <w:tab w:leader="none" w:pos="101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 and Benefits Upon Termination by the Company without Cause or by You for Good Reason Outside the Change in Control Period</w:t>
      </w:r>
      <w:r>
        <w:rPr>
          <w:rFonts w:ascii="Times New Roman" w:cs="Times New Roman" w:eastAsia="Times New Roman" w:hAnsi="Times New Roman"/>
          <w:sz w:val="18"/>
          <w:szCs w:val="18"/>
          <w:color w:val="auto"/>
        </w:rPr>
        <w:t>. If your employment is terminated by the Company without Cause as provided in Section 3(d), or you terminate employment for Good Reason as provided in Section 3(e), each outside of the Change in Control Period (as defined below), then, in addition to the Accrued Obligations, and subject to (i) your signing a separation agreement and release in a form and manner reasonably satisfactory to the Company, which shall include, without limitation, a general release of claims against the Company and all related persons and entities, a reaffirmation of all of your Continuing Obligations (as defined below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shall provide that if you materially breach any of the Continuing Obligations, and if such breach is curable, which has continued for more than 30 days following written notice of such breach, all payments of the Severance Amount shall immediately cease (the “Separation Agreement and Release”), and (ii) the Separation Agreement and Release becoming irrevocable, all within 60 days after the Date of Termination (or such shorter period as set forth in the Separation Agreement and Release), which shall include a seven (7) business day revocation period:</w:t>
      </w:r>
    </w:p>
    <w:p>
      <w:pPr>
        <w:spacing w:after="0" w:line="188"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you an amount equal to nine (9) months of your Base Salary (the “Severance Amount”); provided in the event you are entitled to any payments pursuant to the Restrictive Covenants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9" w:name="page180"/>
    <w:bookmarkEnd w:id="179"/>
    <w:p>
      <w:pPr>
        <w:ind w:right="20"/>
        <w:spacing w:after="0" w:line="282" w:lineRule="auto"/>
        <w:rPr>
          <w:sz w:val="20"/>
          <w:szCs w:val="20"/>
          <w:color w:val="auto"/>
        </w:rPr>
      </w:pPr>
      <w:r>
        <w:rPr>
          <w:rFonts w:ascii="Times New Roman" w:cs="Times New Roman" w:eastAsia="Times New Roman" w:hAnsi="Times New Roman"/>
          <w:sz w:val="18"/>
          <w:szCs w:val="18"/>
          <w:color w:val="auto"/>
        </w:rPr>
        <w:t>Agreement, as a condition of such receipt of the Severance Amount, you shall acknowledge and agree in the Separation Agreement and Release that such Severance Amount will be in lieu of any garden leave pay under the Restrictive Covenants Agreement;</w:t>
      </w:r>
    </w:p>
    <w:p>
      <w:pPr>
        <w:spacing w:after="0" w:line="162" w:lineRule="exact"/>
        <w:rPr>
          <w:sz w:val="20"/>
          <w:szCs w:val="20"/>
          <w:color w:val="auto"/>
        </w:rPr>
      </w:pPr>
    </w:p>
    <w:p>
      <w:pPr>
        <w:jc w:val="both"/>
        <w:ind w:firstLine="1505"/>
        <w:spacing w:after="0" w:line="266" w:lineRule="auto"/>
        <w:tabs>
          <w:tab w:leader="none" w:pos="2036"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you, if applicable, a lump sum payment of any earned, but unpaid Bonus for the fiscal year prior to the fiscal year of your Date of Termination, to be paid at the same time as the Company pays bonuses to similarly situated executives, but in no event later than the end of the taxable year in which the Date of Termination occurs; and</w:t>
      </w:r>
    </w:p>
    <w:p>
      <w:pPr>
        <w:spacing w:after="0" w:line="175" w:lineRule="exact"/>
        <w:rPr>
          <w:rFonts w:ascii="Times New Roman" w:cs="Times New Roman" w:eastAsia="Times New Roman" w:hAnsi="Times New Roman"/>
          <w:sz w:val="18"/>
          <w:szCs w:val="18"/>
          <w:color w:val="auto"/>
        </w:rPr>
      </w:pPr>
    </w:p>
    <w:p>
      <w:pPr>
        <w:jc w:val="both"/>
        <w:ind w:firstLine="1505"/>
        <w:spacing w:after="0" w:line="255" w:lineRule="auto"/>
        <w:tabs>
          <w:tab w:leader="none" w:pos="2036"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your copayment of premium amounts at the applicable active employees’ rate and your proper election to receive benefits under the Consolidated Omnibus Budget Reconciliation Act of 1985, as amended (“COBRA”), the Company shall pay to the group health plan provider, the COBRA provider or you a monthly payment equal to the monthly employer contribution that the Company would have made to provide health insurance to you if you had remained employed by the Company until the earliest of (A) the nine (9) month anniversary of the Date of Termination;</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92"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eligibility for group medical plan benefits under any other employer’s group medical plan; or (C) the cessation of your continuation rights under COBRA; provided, however,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shall be subject to tax-related deductions and withholdings and paid on the Company’s regular payroll dates.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amounts payable under Sections 5(a) and (c), to the extent taxable, shall be paid out in substantially equal installments in accordance with the Company’s payroll practice over nine (9) months commencing within 60 days after the Date of Termination; provided, however, that if the 60-day period begins in one calendar year and ends in a second calendar year, the Severance Amount, to the extent it qualifies as “non-qualified deferred compensation” within the meaning of Section 409A of the Internal Revenue Code of 1986, as amended (the “Code”), shall begin to be paid in the second calendar year by the last day of such 60-day period; provided, further, that the initial payment shall include a catch-up payment to cover amounts retroactive to the day immediately following the Date of Termination.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color w:val="auto"/>
        </w:rPr>
        <w:t>Each payment pursuant to this Agreement is intended to constitute a separate payment for purposes of Treasury Regulation Section 1.409A-2(b)(2).</w:t>
      </w:r>
    </w:p>
    <w:p>
      <w:pPr>
        <w:spacing w:after="0" w:line="225" w:lineRule="exact"/>
        <w:rPr>
          <w:sz w:val="20"/>
          <w:szCs w:val="20"/>
          <w:color w:val="auto"/>
        </w:rPr>
      </w:pPr>
    </w:p>
    <w:p>
      <w:pPr>
        <w:jc w:val="both"/>
        <w:ind w:firstLine="757"/>
        <w:spacing w:after="0" w:line="256" w:lineRule="auto"/>
        <w:tabs>
          <w:tab w:leader="none" w:pos="101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 and Benefits Upon Termination by the Company without Cause or by You for Good Reason within the Change in Control Period</w:t>
      </w:r>
      <w:r>
        <w:rPr>
          <w:rFonts w:ascii="Times New Roman" w:cs="Times New Roman" w:eastAsia="Times New Roman" w:hAnsi="Times New Roman"/>
          <w:sz w:val="18"/>
          <w:szCs w:val="18"/>
          <w:color w:val="auto"/>
        </w:rPr>
        <w:t>. The provisions of this Section 6 shall apply in lieu of, and expressly supersede, the provisions of Section 5 if (i) your employment is terminated either (a) by the Company without Cause as provided in Section 3(d), or (b) by you for Good Reason as provided in Section 3(e), and (ii) the Date of Termination is within 3 months prior to, or within 12 months after, the occurrence of the first event constituting a Change in Control (as defined below) (such period, the “Change in Control Period”). These provisions of Section 6 shall terminate and be of no further force or effect after a Change in Control Period.</w:t>
      </w:r>
    </w:p>
    <w:p>
      <w:pPr>
        <w:spacing w:after="0" w:line="187"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employment is terminated by the Company without Cause as provided in Section 3(d) or you terminate employment for Good Reason as provided in Section 3(e) and in either case the Date of Termination occurs during the Change in Control Period, then, in addition to the Accrued Obligations, and subject to the signing of the Separation Agreement and Release by you and the Separation Agreement and Release becoming fully effective, all within the time frame set forth in the Separation Agreement and Release but in no event more than 60 days after the Date of Termination:</w:t>
      </w:r>
    </w:p>
    <w:p>
      <w:pPr>
        <w:spacing w:after="0" w:line="179" w:lineRule="exact"/>
        <w:rPr>
          <w:rFonts w:ascii="Times New Roman" w:cs="Times New Roman" w:eastAsia="Times New Roman" w:hAnsi="Times New Roman"/>
          <w:sz w:val="18"/>
          <w:szCs w:val="18"/>
          <w:color w:val="auto"/>
        </w:rPr>
      </w:pPr>
    </w:p>
    <w:p>
      <w:pPr>
        <w:jc w:val="both"/>
        <w:ind w:left="760" w:firstLine="1494"/>
        <w:spacing w:after="0" w:line="256" w:lineRule="auto"/>
        <w:tabs>
          <w:tab w:leader="none" w:pos="2557" w:val="left"/>
        </w:tabs>
        <w:numPr>
          <w:ilvl w:val="2"/>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you a lump sum in cash in an amount equal to the sum of (A) fifteen (15) months of your then current Base Salary (or your Base Salary in effect immediately prior to the Change in Control, if higher), (B) 1.25x your Target Bonus for the then-current fiscal year; and (C) any earned, but unpaid Bonus for the fiscal year prior to the fiscal year of your Date of Termination, (the “Change in Control Payment”) provided that, if applicable and as a condition of such receipt of the Change in Control Payment, you shall acknowledge and agree in the Separation Agreement and Release that such Change in Control Payment will be in lieu of any garden leave pay under the Restrictive Covenants Agreement; and</w:t>
      </w:r>
    </w:p>
    <w:p>
      <w:pPr>
        <w:spacing w:after="0" w:line="187" w:lineRule="exact"/>
        <w:rPr>
          <w:rFonts w:ascii="Times New Roman" w:cs="Times New Roman" w:eastAsia="Times New Roman" w:hAnsi="Times New Roman"/>
          <w:sz w:val="18"/>
          <w:szCs w:val="18"/>
          <w:color w:val="auto"/>
        </w:rPr>
      </w:pPr>
    </w:p>
    <w:p>
      <w:pPr>
        <w:jc w:val="both"/>
        <w:ind w:left="760" w:firstLine="1494"/>
        <w:spacing w:after="0" w:line="289" w:lineRule="auto"/>
        <w:tabs>
          <w:tab w:leader="none" w:pos="2557" w:val="left"/>
        </w:tabs>
        <w:numPr>
          <w:ilvl w:val="2"/>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any applicable option agreement or other stock-based award agreement, all time-based stock options and other stock-based awards subject to time-based vesting held by you (the “Time-Based Equity Awards”) shall immediately accelerate and become fully exercisable or nonforfeitable as of the later of (i) the Date of Termination or (ii) the effective date of the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1" w:name="page182"/>
    <w:bookmarkEnd w:id="181"/>
    <w:p>
      <w:pPr>
        <w:jc w:val="both"/>
        <w:ind w:left="760"/>
        <w:spacing w:after="0" w:line="257" w:lineRule="auto"/>
        <w:rPr>
          <w:sz w:val="20"/>
          <w:szCs w:val="20"/>
          <w:color w:val="auto"/>
        </w:rPr>
      </w:pPr>
      <w:r>
        <w:rPr>
          <w:rFonts w:ascii="Times New Roman" w:cs="Times New Roman" w:eastAsia="Times New Roman" w:hAnsi="Times New Roman"/>
          <w:sz w:val="18"/>
          <w:szCs w:val="18"/>
          <w:color w:val="auto"/>
        </w:rPr>
        <w:t xml:space="preserve">Separation Agreement and Release (the “Accelerated Vesting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termination or forfeiture of the unvested portion of such Time-Based Equity Awards that would otherwise occur on the Date of Termination in the absence of this Agreement will be delayed until the effective date of the Separation Agreement and Release and will only occur if the vesting pursuant to this subsection does not occur due to the absence of the Separation Agreement and Release becoming fully effective within the time period set forth therein. Notwithstanding the foregoing, no additional vesting of the Time-Based Equity Awards shall occur during the period between your Date of Termination and the Accelerated Vesting Date; and</w:t>
      </w:r>
    </w:p>
    <w:p>
      <w:pPr>
        <w:spacing w:after="0" w:line="184" w:lineRule="exact"/>
        <w:rPr>
          <w:sz w:val="20"/>
          <w:szCs w:val="20"/>
          <w:color w:val="auto"/>
        </w:rPr>
      </w:pPr>
    </w:p>
    <w:p>
      <w:pPr>
        <w:jc w:val="both"/>
        <w:ind w:left="760" w:firstLine="1494"/>
        <w:spacing w:after="0" w:line="254" w:lineRule="auto"/>
        <w:tabs>
          <w:tab w:leader="none" w:pos="2557"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your copayment of premium amounts at the applicable active employees’ rate and your proper election to receive benefits under COBRA, the Company shall pay to the group health plan provider, the COBRA provider or you a monthly payment equal to the monthly employer contribution that the Company would have made to provide health insurance to you if you had remained employed by the Company until the earliest of (A) the 15-month anniversary of the Date of Termination; (B) your eligibility for group medical plan benefits under any other employer’s group medical plan; or (C) the cessation of your continuation rights under COBRA; provided, however,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shall be subject to tax-related deductions and withholdings and paid on the Company’s regular payroll dates.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amounts payable under this Section 6(a) (other than 6(a)(i)(C)), to the extent taxable, shall be paid or commence to be paid within 60 days after the Date of Termination; provided, however,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 The amount payable under Section 6(a)(i)(C) shall be paid at the same time as the Company pays bonuses to similarly situated executives, but in no event later than the end of the taxable year in which the Date of Termination occurs.</w:t>
      </w:r>
    </w:p>
    <w:p>
      <w:pPr>
        <w:spacing w:after="0" w:line="183" w:lineRule="exact"/>
        <w:rPr>
          <w:sz w:val="20"/>
          <w:szCs w:val="20"/>
          <w:color w:val="auto"/>
        </w:rPr>
      </w:pPr>
    </w:p>
    <w:p>
      <w:pPr>
        <w:ind w:left="2040" w:hanging="535"/>
        <w:spacing w:after="0"/>
        <w:tabs>
          <w:tab w:leader="none" w:pos="20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Limitation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82" w:name="page183"/>
    <w:bookmarkEnd w:id="182"/>
    <w:p>
      <w:pPr>
        <w:jc w:val="both"/>
        <w:ind w:left="3" w:firstLine="1494"/>
        <w:spacing w:after="0" w:line="252" w:lineRule="auto"/>
        <w:tabs>
          <w:tab w:leader="none" w:pos="180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in the event that the amount of any compensation, payment or distribution by the Company to or for the benefit of you, whether paid or payable or distributed or distributable pursuant to the terms of this Agreement or otherwise, calculated in a manner consistent with Section 280G of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you became the subject to the excise tax imposed by Section 4999 of the Code; provided that such reduction shall only occur if it would result in you receiving a higher After Tax Amount (as defined below) than you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w:t>
      </w:r>
    </w:p>
    <w:p>
      <w:pPr>
        <w:spacing w:after="0" w:line="5" w:lineRule="exact"/>
        <w:rPr>
          <w:rFonts w:ascii="Times New Roman" w:cs="Times New Roman" w:eastAsia="Times New Roman" w:hAnsi="Times New Roman"/>
          <w:sz w:val="18"/>
          <w:szCs w:val="18"/>
          <w:color w:val="auto"/>
        </w:rPr>
      </w:pPr>
    </w:p>
    <w:p>
      <w:pPr>
        <w:jc w:val="both"/>
        <w:ind w:left="3" w:hanging="3"/>
        <w:spacing w:after="0" w:line="255" w:lineRule="auto"/>
        <w:tabs>
          <w:tab w:leader="none" w:pos="261"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85" w:lineRule="exact"/>
        <w:rPr>
          <w:rFonts w:ascii="Times New Roman" w:cs="Times New Roman" w:eastAsia="Times New Roman" w:hAnsi="Times New Roman"/>
          <w:sz w:val="18"/>
          <w:szCs w:val="18"/>
          <w:color w:val="auto"/>
        </w:rPr>
      </w:pPr>
    </w:p>
    <w:p>
      <w:pPr>
        <w:jc w:val="both"/>
        <w:ind w:left="3" w:firstLine="1494"/>
        <w:spacing w:after="0" w:line="256" w:lineRule="auto"/>
        <w:tabs>
          <w:tab w:leader="none" w:pos="18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6(b), the “After Tax Amount” means the amount of the Aggregate Payments less all federal, state, and local income, excise and employment taxes imposed on you as a result of your receipt of the Aggregate Payments. For purposes of determining the After Tax Amount, you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87" w:lineRule="exact"/>
        <w:rPr>
          <w:rFonts w:ascii="Times New Roman" w:cs="Times New Roman" w:eastAsia="Times New Roman" w:hAnsi="Times New Roman"/>
          <w:sz w:val="18"/>
          <w:szCs w:val="18"/>
          <w:color w:val="auto"/>
        </w:rPr>
      </w:pPr>
    </w:p>
    <w:p>
      <w:pPr>
        <w:ind w:left="3" w:firstLine="1494"/>
        <w:spacing w:after="0" w:line="282" w:lineRule="auto"/>
        <w:tabs>
          <w:tab w:leader="none" w:pos="18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as to whether a reduction in the Aggregate Payments shall be made pursuant to Section 6(b)(i) shall be made by a nationally recognized accounting firm selected by the</w:t>
      </w:r>
    </w:p>
    <w:p>
      <w:pPr>
        <w:spacing w:after="0" w:line="200" w:lineRule="exact"/>
        <w:rPr>
          <w:sz w:val="20"/>
          <w:szCs w:val="20"/>
          <w:color w:val="auto"/>
        </w:rPr>
      </w:pPr>
    </w:p>
    <w:p>
      <w:pPr>
        <w:spacing w:after="0" w:line="394"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7" w:right="339" w:bottom="1440" w:gutter="0" w:footer="0" w:header="0"/>
        </w:sectPr>
      </w:pPr>
    </w:p>
    <w:bookmarkStart w:id="183" w:name="page184"/>
    <w:bookmarkEnd w:id="183"/>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Company (the “Accounting Firm”), which shall provide detailed supporting calculations both to the Company and you within 15 business days of the Date of Termination, if applicable, or at such earlier time as is reasonably requested by the Company or you. Any determination by the Accounting Firm shall be binding upon the Company and you.</w:t>
      </w:r>
    </w:p>
    <w:p>
      <w:pPr>
        <w:spacing w:after="0" w:line="176" w:lineRule="exact"/>
        <w:rPr>
          <w:sz w:val="20"/>
          <w:szCs w:val="20"/>
          <w:color w:val="auto"/>
        </w:rPr>
      </w:pPr>
    </w:p>
    <w:p>
      <w:pPr>
        <w:jc w:val="both"/>
        <w:ind w:left="760" w:firstLine="1494"/>
        <w:spacing w:after="0" w:line="252" w:lineRule="auto"/>
        <w:tabs>
          <w:tab w:leader="none" w:pos="2557"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of this Section 6, a “Change in Control” shall be deemed to have occurred upon the occurrence of any one of the following events: (a) the sale or transfer of all or substantially all of the assets of the Company (i.e., &gt;50% of the value) on a consolidated basis to one or more unrelated persons or entities, (b) a merger, reorganization or consolidation pursuant to which the holders of the Company’s outstanding voting power and outstanding stock immediately prior to such transaction do not own a majority of the outstanding voting power or fair market value of the stock or other equity interests of the resulting or successor entity (or its ultimate parent, if applicable) immediately upon completion of such transaction, (c) the sale of all or substantially all of the stock of the Company to an unrelated person, entity or group thereof acting in concert, (d)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or (e) the date a majority of the members of the Board is replaced during any 12-month period by directors whose appointment or election is not endorsed by a majority of the members of the Board before the date of the appointment or election provided that with respect to any of the clauses (a) through</w:t>
      </w:r>
    </w:p>
    <w:p>
      <w:pPr>
        <w:spacing w:after="0" w:line="3" w:lineRule="exact"/>
        <w:rPr>
          <w:rFonts w:ascii="Times New Roman" w:cs="Times New Roman" w:eastAsia="Times New Roman" w:hAnsi="Times New Roman"/>
          <w:sz w:val="18"/>
          <w:szCs w:val="18"/>
          <w:color w:val="auto"/>
        </w:rPr>
      </w:pPr>
    </w:p>
    <w:p>
      <w:pPr>
        <w:jc w:val="both"/>
        <w:ind w:left="760" w:hanging="3"/>
        <w:spacing w:after="0" w:line="253" w:lineRule="auto"/>
        <w:tabs>
          <w:tab w:leader="none" w:pos="106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 raising transaction of the Company (including the Company’s IPO) shall not be treated as a “Change in Control.” Notwithstanding any other provision of this Agreement (other than the foregoing proviso), “Change in Control” shall be interpreted, administered and applied in a manner consistent and in compliance with a “change in control event” as set forth in Treasury Regulation Section 1.409A-3(i)(5) (“Change in Control Event”).</w:t>
      </w:r>
    </w:p>
    <w:p>
      <w:pPr>
        <w:spacing w:after="0" w:line="189" w:lineRule="exact"/>
        <w:rPr>
          <w:sz w:val="20"/>
          <w:szCs w:val="20"/>
          <w:color w:val="auto"/>
        </w:rPr>
      </w:pPr>
    </w:p>
    <w:p>
      <w:pPr>
        <w:ind w:left="1020" w:hanging="263"/>
        <w:spacing w:after="0"/>
        <w:tabs>
          <w:tab w:leader="none" w:pos="10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if at the time of your separation from service within the meaning of Section 409A of the Code, the Company determines that you are a</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4" w:name="page185"/>
    <w:bookmarkEnd w:id="184"/>
    <w:p>
      <w:pPr>
        <w:jc w:val="both"/>
        <w:spacing w:after="0" w:line="255" w:lineRule="auto"/>
        <w:rPr>
          <w:sz w:val="20"/>
          <w:szCs w:val="20"/>
          <w:color w:val="auto"/>
        </w:rPr>
      </w:pPr>
      <w:r>
        <w:rPr>
          <w:rFonts w:ascii="Times New Roman" w:cs="Times New Roman" w:eastAsia="Times New Roman" w:hAnsi="Times New Roman"/>
          <w:sz w:val="18"/>
          <w:szCs w:val="18"/>
          <w:color w:val="auto"/>
        </w:rPr>
        <w:t>“specified employee” within the meaning of Section 409A(a)(2)(B)(i) of the Code, then to the extent any payment or benefit that you become entitled to under this Agreement or otherwise on account of your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your separation from service, or (B) your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89" w:lineRule="exact"/>
        <w:rPr>
          <w:sz w:val="20"/>
          <w:szCs w:val="20"/>
          <w:color w:val="auto"/>
        </w:rPr>
      </w:pPr>
    </w:p>
    <w:p>
      <w:pPr>
        <w:jc w:val="both"/>
        <w:ind w:firstLine="1505"/>
        <w:spacing w:after="0" w:line="256" w:lineRule="auto"/>
        <w:tabs>
          <w:tab w:leader="none" w:pos="203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in-kind benefits provided and expenses eligible for reimbursement under this Agreement shall be provided by the Company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87" w:lineRule="exact"/>
        <w:rPr>
          <w:rFonts w:ascii="Times New Roman" w:cs="Times New Roman" w:eastAsia="Times New Roman" w:hAnsi="Times New Roman"/>
          <w:sz w:val="18"/>
          <w:szCs w:val="18"/>
          <w:color w:val="auto"/>
        </w:rPr>
      </w:pPr>
    </w:p>
    <w:p>
      <w:pPr>
        <w:jc w:val="both"/>
        <w:ind w:firstLine="1505"/>
        <w:spacing w:after="0" w:line="227" w:lineRule="exact"/>
        <w:tabs>
          <w:tab w:leader="none" w:pos="203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payment or benefit described in this Agreement constitutes “non-qualified deferred compensation” under Section 409A of the Code, and to the extent that such payment or benefit is payable upon your termination of employment, then such payments or benefits shall be payable only upon your “separation from service.” The determination of whether and when a separation from service has occurred shall be made in accordance with the presumptions set forth in Treasury Regulation Section 1.409A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1(h).</w:t>
      </w:r>
    </w:p>
    <w:p>
      <w:pPr>
        <w:spacing w:after="0" w:line="172" w:lineRule="exact"/>
        <w:rPr>
          <w:rFonts w:ascii="Times New Roman" w:cs="Times New Roman" w:eastAsia="Times New Roman" w:hAnsi="Times New Roman"/>
          <w:sz w:val="18"/>
          <w:szCs w:val="18"/>
          <w:color w:val="auto"/>
        </w:rPr>
      </w:pPr>
    </w:p>
    <w:p>
      <w:pPr>
        <w:jc w:val="both"/>
        <w:ind w:firstLine="1505"/>
        <w:spacing w:after="0" w:line="227" w:lineRule="exact"/>
        <w:tabs>
          <w:tab w:leader="none" w:pos="203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or the Restrictive Covenants Agreement is intended to constitute a separate payment for purposes of Treasury Regulation Section 1.409A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2(b)(2). The parties agree that this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5" w:name="page186"/>
    <w:bookmarkEnd w:id="185"/>
    <w:p>
      <w:pPr>
        <w:spacing w:after="0" w:line="282" w:lineRule="auto"/>
        <w:rPr>
          <w:sz w:val="20"/>
          <w:szCs w:val="20"/>
          <w:color w:val="auto"/>
        </w:rPr>
      </w:pPr>
      <w:r>
        <w:rPr>
          <w:rFonts w:ascii="Times New Roman" w:cs="Times New Roman" w:eastAsia="Times New Roman" w:hAnsi="Times New Roman"/>
          <w:sz w:val="18"/>
          <w:szCs w:val="18"/>
          <w:color w:val="auto"/>
        </w:rPr>
        <w:t>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62" w:lineRule="exact"/>
        <w:rPr>
          <w:sz w:val="20"/>
          <w:szCs w:val="20"/>
          <w:color w:val="auto"/>
        </w:rPr>
      </w:pPr>
    </w:p>
    <w:p>
      <w:pPr>
        <w:jc w:val="both"/>
        <w:ind w:firstLine="1505"/>
        <w:spacing w:after="0" w:line="266" w:lineRule="auto"/>
        <w:tabs>
          <w:tab w:leader="none" w:pos="2036"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such Section.</w:t>
      </w:r>
    </w:p>
    <w:p>
      <w:pPr>
        <w:spacing w:after="0" w:line="17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05"/>
        <w:spacing w:after="0" w:line="256" w:lineRule="auto"/>
        <w:tabs>
          <w:tab w:leader="none" w:pos="2036"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 Agreement</w:t>
      </w:r>
      <w:r>
        <w:rPr>
          <w:rFonts w:ascii="Times New Roman" w:cs="Times New Roman" w:eastAsia="Times New Roman" w:hAnsi="Times New Roman"/>
          <w:sz w:val="18"/>
          <w:szCs w:val="18"/>
          <w:color w:val="auto"/>
        </w:rPr>
        <w:t xml:space="preserve">. The Disc Medicine, Inc. Employee Confidentiality, Assignment, Nonsolicitation and Noncompetition Agreement between the Company and you (the “Restrictive Covenants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continues to be in full force and effect. You acknowledge and agree that your eligibility for enhanced severance benefits provided by this Agreement constitutes additional, fair and reasonable consideration independent from the continuation of your employment, for the Restrictive Covenants Agreement. For purposes of this Agreement, the obligations in this Section 8 and those that arise in the Restrictive Covenants Agreement shall collectively be referred to as the “Continuing Obligations.”</w:t>
      </w:r>
    </w:p>
    <w:p>
      <w:pPr>
        <w:spacing w:after="0" w:line="187" w:lineRule="exact"/>
        <w:rPr>
          <w:rFonts w:ascii="Times New Roman" w:cs="Times New Roman" w:eastAsia="Times New Roman" w:hAnsi="Times New Roman"/>
          <w:sz w:val="18"/>
          <w:szCs w:val="18"/>
          <w:color w:val="auto"/>
        </w:rPr>
      </w:pPr>
    </w:p>
    <w:p>
      <w:pPr>
        <w:jc w:val="both"/>
        <w:ind w:firstLine="1505"/>
        <w:spacing w:after="0" w:line="255" w:lineRule="auto"/>
        <w:tabs>
          <w:tab w:leader="none" w:pos="2036"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Third-Party Agreements and Rights</w:t>
      </w:r>
      <w:r>
        <w:rPr>
          <w:rFonts w:ascii="Times New Roman" w:cs="Times New Roman" w:eastAsia="Times New Roman" w:hAnsi="Times New Roman"/>
          <w:sz w:val="18"/>
          <w:szCs w:val="18"/>
          <w:color w:val="auto"/>
        </w:rPr>
        <w:t>. You hereby confirm that you are not bound by the terms of any agreement with any previous employer or other party which restricts in any way your use or disclosure of information, other than confidentiality restrictions (if any), or your engagement in any business. You represent to the Company that your execution of this Agreement, your employment with the Company and the performance of your proposed duties for the Company will not violate any obligations you may have to any such previous employer or other party. In your work for the Company, you will not disclose or make use of any information in violation of any agreements with or rights of any such previous employer or other party, and you will not bring to the premises of the Company any copies or other tangible embodiments of non-public information belonging to or obtained from any such previous employment or other party.</w:t>
      </w:r>
    </w:p>
    <w:p>
      <w:pPr>
        <w:spacing w:after="0" w:line="188" w:lineRule="exact"/>
        <w:rPr>
          <w:rFonts w:ascii="Times New Roman" w:cs="Times New Roman" w:eastAsia="Times New Roman" w:hAnsi="Times New Roman"/>
          <w:sz w:val="18"/>
          <w:szCs w:val="18"/>
          <w:color w:val="auto"/>
        </w:rPr>
      </w:pPr>
    </w:p>
    <w:p>
      <w:pPr>
        <w:jc w:val="both"/>
        <w:ind w:right="20" w:firstLine="1505"/>
        <w:spacing w:after="0" w:line="266" w:lineRule="auto"/>
        <w:tabs>
          <w:tab w:leader="none" w:pos="2036"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 and Regulatory Cooperation</w:t>
      </w:r>
      <w:r>
        <w:rPr>
          <w:rFonts w:ascii="Times New Roman" w:cs="Times New Roman" w:eastAsia="Times New Roman" w:hAnsi="Times New Roman"/>
          <w:sz w:val="18"/>
          <w:szCs w:val="18"/>
          <w:color w:val="auto"/>
        </w:rPr>
        <w:t>. During and after your employment, you shall reasonably cooperate fully with the Company in (i) the defense or prosecution of any claims or actions now in existence or which may be brought in the future against or on behalf of the Company which relate to events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1755775</wp:posOffset>
            </wp:positionH>
            <wp:positionV relativeFrom="paragraph">
              <wp:posOffset>-2644775</wp:posOffset>
            </wp:positionV>
            <wp:extent cx="2857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6" w:name="page187"/>
    <w:bookmarkEnd w:id="186"/>
    <w:p>
      <w:pPr>
        <w:jc w:val="both"/>
        <w:spacing w:after="0" w:line="219" w:lineRule="exact"/>
        <w:rPr>
          <w:sz w:val="20"/>
          <w:szCs w:val="20"/>
          <w:color w:val="auto"/>
        </w:rPr>
      </w:pPr>
      <w:r>
        <w:rPr>
          <w:rFonts w:ascii="Times New Roman" w:cs="Times New Roman" w:eastAsia="Times New Roman" w:hAnsi="Times New Roman"/>
          <w:sz w:val="18"/>
          <w:szCs w:val="18"/>
          <w:color w:val="auto"/>
        </w:rPr>
        <w:t>occurrences that transpired while you were employed by the Company, and (ii) the investigation, whether internal or external, of any matters about which the Company believes you may have knowledge or information. Your full reasonable cooperation in connection with such claims, actions or investigations shall include, but not be limited to, being available to meet with counsel to answer questions or to prepare for discovery or trial and to act as a witness on behalf of the Company at mutually convenient times. During and after your employment, you also shall reasonably cooperate fully with the Company in connection with any investigation or review of any federal, state or local regulatory authority as any such investigation or review relates to events or occurrences that transpired while you were employed by the Company. The Company shall reimburse you for any reasonable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expenses incurred in connection with your performance of obligations pursuant to this Section 8(c). The Company agrees that if you have provided fifteen (15) hours of cooperation to the Company after your Date of Termination, the Company shall pay you an hourly rate of $400 for any additional hours of cooperation, over the initial fifteen (15) hours, except for your testimony pursuant to a lawfully issued summons or subpoena. The Company further agrees that it will pay/reimburse your reasonable out-of-pocket expenses and fees within thirty (30) days of your submission of receipts and invoices to the Company.</w:t>
      </w:r>
    </w:p>
    <w:p>
      <w:pPr>
        <w:spacing w:after="0" w:line="200" w:lineRule="exact"/>
        <w:rPr>
          <w:sz w:val="20"/>
          <w:szCs w:val="20"/>
          <w:color w:val="auto"/>
        </w:rPr>
      </w:pPr>
    </w:p>
    <w:p>
      <w:pPr>
        <w:spacing w:after="0" w:line="210" w:lineRule="exact"/>
        <w:rPr>
          <w:sz w:val="20"/>
          <w:szCs w:val="20"/>
          <w:color w:val="auto"/>
        </w:rPr>
      </w:pPr>
    </w:p>
    <w:p>
      <w:pPr>
        <w:jc w:val="both"/>
        <w:ind w:firstLine="1505"/>
        <w:spacing w:after="0" w:line="258" w:lineRule="auto"/>
        <w:tabs>
          <w:tab w:leader="none" w:pos="203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Relief</w:t>
      </w:r>
      <w:r>
        <w:rPr>
          <w:rFonts w:ascii="Times New Roman" w:cs="Times New Roman" w:eastAsia="Times New Roman" w:hAnsi="Times New Roman"/>
          <w:sz w:val="18"/>
          <w:szCs w:val="18"/>
          <w:color w:val="auto"/>
        </w:rPr>
        <w:t>. You agree that it may be difficult to measure any damages caused to the Company which might result from any breach by you of the Continuing Obligations, and that in any event money damages may be an inadequate remedy for any such breach. Accordingly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you agree that if you breach, or propose to breach, any portion of the Continuing Obligations, the Company shall be entitled, in addition to all other remedies that it may have, to seek an injunction or other appropriate equitable relief to restrain any such breach without showing or proving any actual damage to the Company.</w:t>
      </w:r>
    </w:p>
    <w:p>
      <w:pPr>
        <w:spacing w:after="0" w:line="183" w:lineRule="exact"/>
        <w:rPr>
          <w:rFonts w:ascii="Times New Roman" w:cs="Times New Roman" w:eastAsia="Times New Roman" w:hAnsi="Times New Roman"/>
          <w:sz w:val="18"/>
          <w:szCs w:val="18"/>
          <w:color w:val="auto"/>
        </w:rPr>
      </w:pPr>
    </w:p>
    <w:p>
      <w:pPr>
        <w:jc w:val="both"/>
        <w:ind w:firstLine="1505"/>
        <w:spacing w:after="0" w:line="256" w:lineRule="auto"/>
        <w:tabs>
          <w:tab w:leader="none" w:pos="203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Protected Activities; Defend Trade Secrets Act of 2016</w:t>
      </w:r>
      <w:r>
        <w:rPr>
          <w:rFonts w:ascii="Times New Roman" w:cs="Times New Roman" w:eastAsia="Times New Roman" w:hAnsi="Times New Roman"/>
          <w:sz w:val="18"/>
          <w:szCs w:val="18"/>
          <w:color w:val="auto"/>
        </w:rPr>
        <w:t>. Nothing contained in this Agreement, any other agreement with the Company or any Company policy limits your ability, with or without notice to the Company, to: (i) file a charge or complaint with any federal, state or local governmental agency or commission (a “Government Agency”), including without limitation, the Equal Employment Opportunity Commission, the National Labor Relations Board or the Securities and Exchange Commission; (ii) communicate with any Government Agency or otherwise participate in any investigation or proceeding that may be conducted by an Government Agency, including by providing non-privileged documents or information; (iii) exercise any rights under Section 7 of the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7" w:name="page188"/>
    <w:bookmarkEnd w:id="187"/>
    <w:p>
      <w:pPr>
        <w:jc w:val="both"/>
        <w:spacing w:after="0" w:line="254" w:lineRule="auto"/>
        <w:rPr>
          <w:sz w:val="20"/>
          <w:szCs w:val="20"/>
          <w:color w:val="auto"/>
        </w:rPr>
      </w:pPr>
      <w:r>
        <w:rPr>
          <w:rFonts w:ascii="Times New Roman" w:cs="Times New Roman" w:eastAsia="Times New Roman" w:hAnsi="Times New Roman"/>
          <w:sz w:val="18"/>
          <w:szCs w:val="18"/>
          <w:color w:val="auto"/>
        </w:rPr>
        <w:t>National Labor Relations Act, which are available to non-supervisory employees, including assisting co-workers with or discussing any employment issue as part of engaging in concerted activities for purpose of mutual aid or protection; (iv) discuss or disclose information about unlawful acts in the workplace, such as harassment or discrimination or any other conduct that you have reason to believe is unlawful; or (v) testify truthfully in a legal proceeding. Any such communications and disclosures must not violate applicable law and the information disclosed must not have been obtained through a communication that was subject to the attorney-client privilege (unless disclosure of that information would otherwise be permitted consistent with such privilege or applicable law). In addition, pursuant to the federal Defend Trade Secrets Act of 2016, you shall not be held criminally or civilly liable under any federal or state trade secret law or under this Agreement or the Restrictive Covenants Agreement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200" w:lineRule="exact"/>
        <w:rPr>
          <w:sz w:val="20"/>
          <w:szCs w:val="20"/>
          <w:color w:val="auto"/>
        </w:rPr>
      </w:pPr>
    </w:p>
    <w:p>
      <w:pPr>
        <w:spacing w:after="0" w:line="204" w:lineRule="exact"/>
        <w:rPr>
          <w:sz w:val="20"/>
          <w:szCs w:val="20"/>
          <w:color w:val="auto"/>
        </w:rPr>
      </w:pPr>
    </w:p>
    <w:p>
      <w:pPr>
        <w:ind w:left="1020" w:hanging="263"/>
        <w:spacing w:after="0"/>
        <w:tabs>
          <w:tab w:leader="none" w:pos="10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of Disputes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05"/>
        <w:spacing w:after="0" w:line="253" w:lineRule="auto"/>
        <w:tabs>
          <w:tab w:leader="none" w:pos="2036"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Generally</w:t>
      </w:r>
      <w:r>
        <w:rPr>
          <w:rFonts w:ascii="Times New Roman" w:cs="Times New Roman" w:eastAsia="Times New Roman" w:hAnsi="Times New Roman"/>
          <w:sz w:val="18"/>
          <w:szCs w:val="18"/>
          <w:color w:val="auto"/>
        </w:rPr>
        <w:t>. Any controversy or claim arising out of or relating to this Agreement or the breach thereof or otherwise arising out of your employment or the termination of that employment (including, without limitation, any claims of unlawful employment discrimination or retaliation, whether based on race, religion, national origin, sex, gender, age, disability, sexual orientation, or any other protected class under applicable law, including without limitation Massachusetts General Laws Chapter 151B) shall, to the fullest extent permitted by law, be settled by arbitration in any forum and form agreed upon by the parties or, in the absence of such an agreement, under the auspices of JAMS in Boston, Massachusetts in accordance with the JAMS Employment Arbitration Rules, including, but not limited to, the rules and procedures applicable to the selection of arbitrators. You understand that you may only bring such claims in your individual capacity, and not as a plaintiff or class member in any purported class proceeding or any purported representative proceeding. You further understand that, by signing this Agreement, the Company and you are giving up any right they may have to a jury trial on all claims they may have against each other. Judgment upon the award rendered by the arbitrator may be entered in any court having jurisdiction thereof. This Section 9 shall be specifically enforceable. Notwithstanding the foregoing, this Section 9 shall not preclude either party from pursuing a court action for the sole purpose of obtaining a temporary restraining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8" w:name="page189"/>
    <w:bookmarkEnd w:id="188"/>
    <w:p>
      <w:pPr>
        <w:ind w:right="20"/>
        <w:spacing w:after="0" w:line="282" w:lineRule="auto"/>
        <w:rPr>
          <w:sz w:val="20"/>
          <w:szCs w:val="20"/>
          <w:color w:val="auto"/>
        </w:rPr>
      </w:pPr>
      <w:r>
        <w:rPr>
          <w:rFonts w:ascii="Times New Roman" w:cs="Times New Roman" w:eastAsia="Times New Roman" w:hAnsi="Times New Roman"/>
          <w:sz w:val="18"/>
          <w:szCs w:val="18"/>
          <w:color w:val="auto"/>
        </w:rPr>
        <w:t>order or a preliminary injunction in circumstances in which such relief is appropriate, including without limitation relief sought under the Restrictive Covenants Agreement; provided that any other relief shall be pursued through an arbitration proceeding pursuant to this Section 9.</w:t>
      </w:r>
    </w:p>
    <w:p>
      <w:pPr>
        <w:spacing w:after="0" w:line="162" w:lineRule="exact"/>
        <w:rPr>
          <w:sz w:val="20"/>
          <w:szCs w:val="20"/>
          <w:color w:val="auto"/>
        </w:rPr>
      </w:pPr>
    </w:p>
    <w:p>
      <w:pPr>
        <w:jc w:val="both"/>
        <w:ind w:firstLine="1505"/>
        <w:spacing w:after="0" w:line="261" w:lineRule="auto"/>
        <w:tabs>
          <w:tab w:leader="none" w:pos="2036"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Fees and Costs</w:t>
      </w:r>
      <w:r>
        <w:rPr>
          <w:rFonts w:ascii="Times New Roman" w:cs="Times New Roman" w:eastAsia="Times New Roman" w:hAnsi="Times New Roman"/>
          <w:sz w:val="18"/>
          <w:szCs w:val="18"/>
          <w:color w:val="auto"/>
        </w:rPr>
        <w:t>. You shall be required to pay an arbitration fee to initiate any arbitration equal to what you would be charged as a first appearance fee in court. The Company shall pay the remaining fees and costs of the arbitrator. Each party shall pay its own costs and attorneys’ fees, if any. If, however, any party prevails on a statutory or contractual claim that entitles the prevailing party to attorneys’ fees (including pursuant to this Agreement), the arbitrator will award attorneys’ fees to the prevailing party to the extent permitted by law.</w:t>
      </w:r>
    </w:p>
    <w:p>
      <w:pPr>
        <w:spacing w:after="0" w:line="179" w:lineRule="exact"/>
        <w:rPr>
          <w:rFonts w:ascii="Times New Roman" w:cs="Times New Roman" w:eastAsia="Times New Roman" w:hAnsi="Times New Roman"/>
          <w:sz w:val="18"/>
          <w:szCs w:val="18"/>
          <w:color w:val="auto"/>
        </w:rPr>
      </w:pPr>
    </w:p>
    <w:p>
      <w:pPr>
        <w:jc w:val="both"/>
        <w:ind w:firstLine="757"/>
        <w:spacing w:after="0" w:line="258" w:lineRule="auto"/>
        <w:tabs>
          <w:tab w:leader="none" w:pos="101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To the extent that any court action is permitted consistent with or to enforce Section 9 of this Agreement, the parties hereby consent to the jurisdiction of the state and federal courts of the Commonwealth of Massachusetts. Accordingly, with respect to any such court action, you (a) submit to the exclusive personal jurisdiction of such courts; (b) consent to service of process; (c) waive any other requirement (whether imposed by statute, rule of court, or otherwise) with respect to personal jurisdiction or service of process and (d) you and the Company waive any right to a jury in connection with any such court action.</w:t>
      </w:r>
    </w:p>
    <w:p>
      <w:pPr>
        <w:spacing w:after="0" w:line="183"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“Indemnification Agreement” between the Company and you, dated December 29, 2022 (the “Indemnification Agreement”) is hereby incorporated by reference.</w:t>
      </w:r>
    </w:p>
    <w:p>
      <w:pPr>
        <w:spacing w:after="0" w:line="161" w:lineRule="exact"/>
        <w:rPr>
          <w:rFonts w:ascii="Times New Roman" w:cs="Times New Roman" w:eastAsia="Times New Roman" w:hAnsi="Times New Roman"/>
          <w:sz w:val="18"/>
          <w:szCs w:val="18"/>
          <w:color w:val="auto"/>
        </w:rPr>
      </w:pPr>
    </w:p>
    <w:p>
      <w:pPr>
        <w:jc w:val="both"/>
        <w:ind w:firstLine="757"/>
        <w:spacing w:after="0" w:line="266" w:lineRule="auto"/>
        <w:tabs>
          <w:tab w:leader="none" w:pos="101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Mitigation</w:t>
      </w:r>
      <w:r>
        <w:rPr>
          <w:rFonts w:ascii="Times New Roman" w:cs="Times New Roman" w:eastAsia="Times New Roman" w:hAnsi="Times New Roman"/>
          <w:sz w:val="18"/>
          <w:szCs w:val="18"/>
          <w:color w:val="auto"/>
        </w:rPr>
        <w:t>. The Company agrees that if your employment by the Company is terminated during the term of this Agreement, you are not required to seek other employment or to attempt in any way to reduce any amounts payable to you by the Company pursuant to Sections 5 or 6 hereof. Further, the amount of any payment provided for in this Agreement shall not be reduced by any compensation earned by you.</w:t>
      </w:r>
    </w:p>
    <w:p>
      <w:pPr>
        <w:spacing w:after="0" w:line="175" w:lineRule="exact"/>
        <w:rPr>
          <w:rFonts w:ascii="Times New Roman" w:cs="Times New Roman" w:eastAsia="Times New Roman" w:hAnsi="Times New Roman"/>
          <w:sz w:val="18"/>
          <w:szCs w:val="18"/>
          <w:color w:val="auto"/>
        </w:rPr>
      </w:pPr>
    </w:p>
    <w:p>
      <w:pPr>
        <w:jc w:val="both"/>
        <w:ind w:firstLine="757"/>
        <w:spacing w:after="0" w:line="266" w:lineRule="auto"/>
        <w:tabs>
          <w:tab w:leader="none" w:pos="101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the subject matter hereof and supersedes all prior agreements between the parties concerning such subject matter, including the Prior Agreement, provided that the Restrictive Covenants Agreement, the Indemnification Agreement and the Equity Documents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9" w:name="page190"/>
    <w:bookmarkEnd w:id="189"/>
    <w:p>
      <w:pPr>
        <w:jc w:val="both"/>
        <w:ind w:firstLine="757"/>
        <w:spacing w:after="0" w:line="266" w:lineRule="auto"/>
        <w:tabs>
          <w:tab w:leader="none" w:pos="101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 Effect</w:t>
      </w:r>
      <w:r>
        <w:rPr>
          <w:rFonts w:ascii="Times New Roman" w:cs="Times New Roman" w:eastAsia="Times New Roman" w:hAnsi="Times New Roman"/>
          <w:sz w:val="18"/>
          <w:szCs w:val="18"/>
          <w:color w:val="auto"/>
        </w:rPr>
        <w:t>. All payments made by the Company to you under this Agreement shall be net of any tax or other amounts required to be withheld by the Company under applicable law. Nothing in this Agreement shall be construed to require the Company to make any payments to compensate you for any adverse tax effect associated with any payments or benefits or for any deduction or withholding from any payment or benefit.</w:t>
      </w:r>
    </w:p>
    <w:p>
      <w:pPr>
        <w:spacing w:after="0" w:line="175" w:lineRule="exact"/>
        <w:rPr>
          <w:rFonts w:ascii="Times New Roman" w:cs="Times New Roman" w:eastAsia="Times New Roman" w:hAnsi="Times New Roman"/>
          <w:sz w:val="18"/>
          <w:szCs w:val="18"/>
          <w:color w:val="auto"/>
        </w:rPr>
      </w:pPr>
    </w:p>
    <w:p>
      <w:pPr>
        <w:jc w:val="both"/>
        <w:ind w:firstLine="757"/>
        <w:spacing w:after="0" w:line="254" w:lineRule="auto"/>
        <w:tabs>
          <w:tab w:leader="none" w:pos="101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you nor the Company may make any assignment of this Agreement or any interest in it, by operation of law or otherwise, without the prior written consent of the other; provided, however, that the Company may assign its rights and obligations under this Agreement (including the Restrictive Covenants Agreement) without your consent to any affiliate or to any person or entity with whom the Company shall hereafter effect a reorganization, consolidate with, or merge into or to whom it transfers all or substantially all of its properties or assets, but only on the condition that it assigns both its rights and obligations. This Agreement shall inure to the benefit of and be binding upon you and the Company, and each of yours and the Company’s respective successors, executors, administrators, heirs, personal representatives, and permitted assigns. In the event of your death prior to the completion by the Company of any payments due to you under Sections 5 or 6 of this Agreement, the Company shall continue such payments to the beneficiary you designated in writing to the Company prior to your death, or to your estate, heirs, executors or personal representatives if you failed to make such designation.</w:t>
      </w:r>
    </w:p>
    <w:p>
      <w:pPr>
        <w:spacing w:after="0" w:line="188" w:lineRule="exact"/>
        <w:rPr>
          <w:rFonts w:ascii="Times New Roman" w:cs="Times New Roman" w:eastAsia="Times New Roman" w:hAnsi="Times New Roman"/>
          <w:sz w:val="18"/>
          <w:szCs w:val="18"/>
          <w:color w:val="auto"/>
        </w:rPr>
      </w:pPr>
    </w:p>
    <w:p>
      <w:pPr>
        <w:jc w:val="both"/>
        <w:ind w:right="20" w:firstLine="757"/>
        <w:spacing w:after="0" w:line="261" w:lineRule="auto"/>
        <w:tabs>
          <w:tab w:leader="none" w:pos="101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9"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provisions of this Agreement shall survive the termination of this Agreement and/or the termination of your employment to the extent necessary to effectuate the terms contained herein.</w:t>
      </w:r>
    </w:p>
    <w:p>
      <w:pPr>
        <w:spacing w:after="0" w:line="161" w:lineRule="exact"/>
        <w:rPr>
          <w:rFonts w:ascii="Times New Roman" w:cs="Times New Roman" w:eastAsia="Times New Roman" w:hAnsi="Times New Roman"/>
          <w:sz w:val="18"/>
          <w:szCs w:val="18"/>
          <w:color w:val="auto"/>
        </w:rPr>
      </w:pPr>
    </w:p>
    <w:p>
      <w:pPr>
        <w:jc w:val="both"/>
        <w:ind w:firstLine="757"/>
        <w:spacing w:after="0" w:line="266" w:lineRule="auto"/>
        <w:tabs>
          <w:tab w:leader="none" w:pos="101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0" w:name="page191"/>
    <w:bookmarkEnd w:id="190"/>
    <w:p>
      <w:pPr>
        <w:jc w:val="both"/>
        <w:ind w:firstLine="757"/>
        <w:spacing w:after="0" w:line="266" w:lineRule="auto"/>
        <w:tabs>
          <w:tab w:leader="none" w:pos="101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you at the last address you have on file in writing with the Company or, in the case of the Company, at its main offices, attention of the Board.</w:t>
      </w:r>
    </w:p>
    <w:p>
      <w:pPr>
        <w:spacing w:after="0" w:line="175"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or modified only by a written instrument signed by you and by a duly authorized representative of the Company.</w:t>
      </w:r>
    </w:p>
    <w:p>
      <w:pPr>
        <w:spacing w:after="0" w:line="161" w:lineRule="exact"/>
        <w:rPr>
          <w:rFonts w:ascii="Times New Roman" w:cs="Times New Roman" w:eastAsia="Times New Roman" w:hAnsi="Times New Roman"/>
          <w:sz w:val="18"/>
          <w:szCs w:val="18"/>
          <w:color w:val="auto"/>
        </w:rPr>
      </w:pPr>
    </w:p>
    <w:p>
      <w:pPr>
        <w:jc w:val="both"/>
        <w:ind w:firstLine="757"/>
        <w:spacing w:after="0" w:line="254" w:lineRule="auto"/>
        <w:tabs>
          <w:tab w:leader="none" w:pos="101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Other Plans and Agreements</w:t>
      </w:r>
      <w:r>
        <w:rPr>
          <w:rFonts w:ascii="Times New Roman" w:cs="Times New Roman" w:eastAsia="Times New Roman" w:hAnsi="Times New Roman"/>
          <w:sz w:val="18"/>
          <w:szCs w:val="18"/>
          <w:color w:val="auto"/>
        </w:rPr>
        <w:t>. An election by you to resign for Good Reason under the provisions of this Agreement shall not be deemed a voluntary termination of employment by you for the purpose of interpreting the provisions of any of the Company's benefit plans, programs or policies. Nothing in this Agreement shall be construed to limit the rights of you under the Company’s benefit plans, programs or policies except as otherwise provided in Section 8 hereof, and except that you shall have no rights to any severance benefits under any Company severance pay plan, offer letter or otherwise. In the event that you are a party to an agreement with the Company providing for payments or benefits under such plan or agreement and under this Agreement, the terms of this Agreement shall govern and you may receive payment under this Agreement only and not both. Further, Section 5 and Section 6 of this Agreement are mutually exclusive and in no event shall you be entitled to payments or benefits pursuant to both Section 5 and Section 6 of this Agreement.</w:t>
      </w:r>
    </w:p>
    <w:p>
      <w:pPr>
        <w:spacing w:after="0" w:line="191" w:lineRule="exact"/>
        <w:rPr>
          <w:rFonts w:ascii="Times New Roman" w:cs="Times New Roman" w:eastAsia="Times New Roman" w:hAnsi="Times New Roman"/>
          <w:sz w:val="18"/>
          <w:szCs w:val="18"/>
          <w:color w:val="auto"/>
        </w:rPr>
      </w:pPr>
    </w:p>
    <w:p>
      <w:pPr>
        <w:jc w:val="both"/>
        <w:ind w:firstLine="757"/>
        <w:spacing w:after="0" w:line="263" w:lineRule="auto"/>
        <w:tabs>
          <w:tab w:leader="none" w:pos="101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is a Massachusetts contract and shall be construed under and be governed in all respects by the laws of the Commonwealth of Massachusetts, without giving effect to the conflict of laws principles thereof. With respect to any disputes concerning federal law, such disputes shall be determined in accordance with the law as it would be interpreted and applied by the United States Court of Appeals for the First Circuit.</w:t>
      </w:r>
    </w:p>
    <w:p>
      <w:pPr>
        <w:spacing w:after="0" w:line="399"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effective on the Effective Date.</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229" w:lineRule="exact"/>
        <w:rPr>
          <w:sz w:val="20"/>
          <w:szCs w:val="20"/>
          <w:color w:val="auto"/>
        </w:rPr>
      </w:pPr>
    </w:p>
    <w:tbl>
      <w:tblPr>
        <w:tblLayout w:type="fixed"/>
        <w:tblInd w:w="610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Quisel</w:t>
            </w:r>
          </w:p>
        </w:tc>
      </w:tr>
      <w:tr>
        <w:trPr>
          <w:trHeight w:val="21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42"/>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w:t>
            </w:r>
          </w:p>
        </w:tc>
      </w:tr>
      <w:tr>
        <w:trPr>
          <w:trHeight w:val="64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Jonathan Yu</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3877310</wp:posOffset>
            </wp:positionH>
            <wp:positionV relativeFrom="paragraph">
              <wp:posOffset>0</wp:posOffset>
            </wp:positionV>
            <wp:extent cx="27774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8"/>
          <w:szCs w:val="18"/>
          <w:color w:val="auto"/>
        </w:rPr>
        <w:t>Jonathan Yu</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Restrictive Covenants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898525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93" w:name="page194"/>
    <w:bookmarkEnd w:id="193"/>
    <w:p>
      <w:pPr>
        <w:ind w:left="10320"/>
        <w:spacing w:after="0"/>
        <w:rPr>
          <w:sz w:val="20"/>
          <w:szCs w:val="20"/>
          <w:color w:val="auto"/>
        </w:rPr>
      </w:pPr>
      <w:r>
        <w:rPr>
          <w:rFonts w:ascii="Times New Roman" w:cs="Times New Roman" w:eastAsia="Times New Roman" w:hAnsi="Times New Roman"/>
          <w:sz w:val="17"/>
          <w:szCs w:val="17"/>
          <w:b w:val="1"/>
          <w:bCs w:val="1"/>
          <w:color w:val="auto"/>
        </w:rPr>
        <w:t>Exhibit 10.6</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$189,925,765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SALES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November 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Vanderbilt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color w:val="auto"/>
        </w:rPr>
        <w:t>Disc Medicine,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with TD Securities (USA) LLC (the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as follows:</w:t>
      </w:r>
    </w:p>
    <w:p>
      <w:pPr>
        <w:spacing w:after="0" w:line="159" w:lineRule="exact"/>
        <w:rPr>
          <w:sz w:val="20"/>
          <w:szCs w:val="20"/>
          <w:color w:val="auto"/>
        </w:rPr>
      </w:pPr>
    </w:p>
    <w:p>
      <w:pPr>
        <w:jc w:val="both"/>
        <w:ind w:left="380" w:hanging="372"/>
        <w:spacing w:after="0" w:line="253" w:lineRule="auto"/>
        <w:tabs>
          <w:tab w:leader="none" w:pos="3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and Sale of Shares</w:t>
      </w:r>
      <w:r>
        <w:rPr>
          <w:rFonts w:ascii="Times New Roman" w:cs="Times New Roman" w:eastAsia="Times New Roman" w:hAnsi="Times New Roman"/>
          <w:sz w:val="18"/>
          <w:szCs w:val="18"/>
          <w:color w:val="auto"/>
        </w:rPr>
        <w:t>. The Company agrees that, from time to time during the term of this Agreement, on the terms and subject to the conditions set forth herein, it may issue and sell to or through the Agent, as sales agent and/or principal, shares of common stock (the “</w:t>
      </w:r>
      <w:r>
        <w:rPr>
          <w:rFonts w:ascii="Times New Roman" w:cs="Times New Roman" w:eastAsia="Times New Roman" w:hAnsi="Times New Roman"/>
          <w:sz w:val="18"/>
          <w:szCs w:val="18"/>
          <w:b w:val="1"/>
          <w:bCs w:val="1"/>
          <w:u w:val="single" w:color="auto"/>
          <w:color w:val="auto"/>
        </w:rPr>
        <w:t>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of the Company, par value $0.0001 per share (the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having an aggregate offering price of up to $189,925,765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Maximum Amount</w:t>
      </w:r>
      <w:r>
        <w:rPr>
          <w:rFonts w:ascii="Times New Roman" w:cs="Times New Roman" w:eastAsia="Times New Roman" w:hAnsi="Times New Roman"/>
          <w:sz w:val="18"/>
          <w:szCs w:val="18"/>
          <w:color w:val="auto"/>
        </w:rPr>
        <w:t xml:space="preserve">”). Notwithstanding anything to the contrary contained herein, the parties hereto agree that compliance with the limitation set forth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on the amount of Placement Shares issued and sold under this Agreement shall be the sole responsibility of the Company and that the Agent shall have no obligation in connection with such compliance. The offer and sale of Placement Shares through the Agent will be effected pursuant to the Registration Statement (as defined below) filed by the Company, which became effective upon filing with the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although nothing in this Agreement shall be construed as requiring the Company to use the Registration Statement to issue any Placement Shares. The Company acknowledges and agrees that sales of Placement Shares under this Agreement may be made through affiliates of the Agent, and that the Agent may otherwise fulfill its obligations pursuant to this Agreement to or through an affiliated broker-dealer.</w:t>
      </w:r>
    </w:p>
    <w:p>
      <w:pPr>
        <w:spacing w:after="0" w:line="200" w:lineRule="exact"/>
        <w:rPr>
          <w:sz w:val="20"/>
          <w:szCs w:val="20"/>
          <w:color w:val="auto"/>
        </w:rPr>
      </w:pPr>
    </w:p>
    <w:p>
      <w:pPr>
        <w:spacing w:after="0" w:line="210" w:lineRule="exact"/>
        <w:rPr>
          <w:sz w:val="20"/>
          <w:szCs w:val="20"/>
          <w:color w:val="auto"/>
        </w:rPr>
      </w:pPr>
    </w:p>
    <w:p>
      <w:pPr>
        <w:jc w:val="both"/>
        <w:ind w:left="380" w:firstLine="749"/>
        <w:spacing w:after="0" w:line="252" w:lineRule="auto"/>
        <w:rPr>
          <w:sz w:val="20"/>
          <w:szCs w:val="20"/>
          <w:color w:val="auto"/>
        </w:rPr>
      </w:pPr>
      <w:r>
        <w:rPr>
          <w:rFonts w:ascii="Times New Roman" w:cs="Times New Roman" w:eastAsia="Times New Roman" w:hAnsi="Times New Roman"/>
          <w:sz w:val="18"/>
          <w:szCs w:val="18"/>
          <w:color w:val="auto"/>
        </w:rPr>
        <w:t>The Company has filed, in accordance with the provisions of the Securities Act of 1933, as amended, and the rules and regulations thereunder (collectively,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with the Commission an “automatic shelf registration statement,” as defined in Rule 405 under the Securities Act, on Form S-3 (File No. 333-281359),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The Company has prepared a prospectus or a prospectus supplement to the base prospectus included as part of the registration statement, which prospectus or prospectus supplement relates to the Placement Shares to be issued from time to time by the Company (the “</w:t>
      </w:r>
      <w:r>
        <w:rPr>
          <w:rFonts w:ascii="Times New Roman" w:cs="Times New Roman" w:eastAsia="Times New Roman" w:hAnsi="Times New Roman"/>
          <w:sz w:val="18"/>
          <w:szCs w:val="18"/>
          <w:b w:val="1"/>
          <w:bCs w:val="1"/>
          <w:u w:val="single" w:color="auto"/>
          <w:color w:val="auto"/>
        </w:rPr>
        <w:t>Prospectus Supplement</w:t>
      </w:r>
      <w:r>
        <w:rPr>
          <w:rFonts w:ascii="Times New Roman" w:cs="Times New Roman" w:eastAsia="Times New Roman" w:hAnsi="Times New Roman"/>
          <w:sz w:val="18"/>
          <w:szCs w:val="18"/>
          <w:color w:val="auto"/>
        </w:rPr>
        <w:t>”). The Company will furnish to the Agent, for use by the Agent, copies of the prospectus included as part of such registration statement, as supplemented by the Prospectus Supplement, relating to the Placement Shares to be issued from time to time by the Company. Except where the context otherwise requires, such registration statement(s),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of the Securities Act, and any one or more additional effective registration statements on Form S-3 from time to time that will contain a base prospectus and related prospectus or prospectus supplement, if applicable (which shall be a Prospectus Supplement), with respect to the Placement Shares, is herein called the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The base prospectus or base prospectuses, including all documents incorporated therein by reference, included in the Registration Statement, as it may be supplemented, if necessary, by the Prospectus Supplement, in the form in which such prospectus or prospectuses and/or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1014095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94" w:name="page195"/>
    <w:bookmarkEnd w:id="194"/>
    <w:p>
      <w:pPr>
        <w:jc w:val="both"/>
        <w:ind w:left="372"/>
        <w:spacing w:after="0" w:line="282" w:lineRule="auto"/>
        <w:rPr>
          <w:sz w:val="20"/>
          <w:szCs w:val="20"/>
          <w:color w:val="auto"/>
        </w:rPr>
      </w:pPr>
      <w:r>
        <w:rPr>
          <w:rFonts w:ascii="Times New Roman" w:cs="Times New Roman" w:eastAsia="Times New Roman" w:hAnsi="Times New Roman"/>
          <w:sz w:val="18"/>
          <w:szCs w:val="18"/>
          <w:color w:val="auto"/>
        </w:rPr>
        <w:t>Supplement have most recently been filed by the Company with the Commission pursuant to Rule 424(b) under the Securities Act, together with the then issued Issuer Free Writing Prospectus(es) (as defined below), is herein called the “</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372" w:firstLine="749"/>
        <w:spacing w:after="0" w:line="253" w:lineRule="auto"/>
        <w:rPr>
          <w:sz w:val="20"/>
          <w:szCs w:val="20"/>
          <w:color w:val="auto"/>
        </w:rPr>
      </w:pPr>
      <w:r>
        <w:rPr>
          <w:rFonts w:ascii="Times New Roman" w:cs="Times New Roman" w:eastAsia="Times New Roman" w:hAnsi="Times New Roman"/>
          <w:sz w:val="18"/>
          <w:szCs w:val="18"/>
          <w:color w:val="auto"/>
        </w:rPr>
        <w:t>Any reference herein to the Registration Statement, any Prospectus Supplement, the Prospectus or any Issuer Free Writing Prospectus shall be deemed to refer to and include the documents, if any, incorporated by reference therein (the “</w:t>
      </w:r>
      <w:r>
        <w:rPr>
          <w:rFonts w:ascii="Times New Roman" w:cs="Times New Roman" w:eastAsia="Times New Roman" w:hAnsi="Times New Roman"/>
          <w:sz w:val="18"/>
          <w:szCs w:val="18"/>
          <w:b w:val="1"/>
          <w:bCs w:val="1"/>
          <w:u w:val="single" w:color="auto"/>
          <w:color w:val="auto"/>
        </w:rPr>
        <w:t>Incorporated Documents</w:t>
      </w:r>
      <w:r>
        <w:rPr>
          <w:rFonts w:ascii="Times New Roman" w:cs="Times New Roman" w:eastAsia="Times New Roman" w:hAnsi="Times New Roman"/>
          <w:sz w:val="18"/>
          <w:szCs w:val="18"/>
          <w:color w:val="auto"/>
        </w:rPr>
        <w:t>”), including, unless the context otherwise requires, the documents, if any, filed as exhibits to such Incorporated Documents. Any reference herein to the terms “amend,” “amendment” or “supplement” with respect to the Registration Statement, any Prospectus Supplement, the Prospectus or any Issuer Free Writing Prospectus shall be deemed to refer to and include the filing of any document under the Exchange Act on or after the most-recent effective date of the Registration Statement, or the date of the Prospectus Supplement, Prospectus or such Issuer Free Writing Prospectus, as the case may be, and incorporated therein by reference. For purposes of this Agreement, all references to the Registration Statement, the Prospectus or to any amendment or supplement thereto shall be deemed to include the most recent copy filed with the Commission pursuant to the Electronic Data Gathering Analysis and Retrieval System, or if applicable, the Interactive Data Electronic Application system when used by the Commission (collectively, “</w:t>
      </w:r>
      <w:r>
        <w:rPr>
          <w:rFonts w:ascii="Times New Roman" w:cs="Times New Roman" w:eastAsia="Times New Roman" w:hAnsi="Times New Roman"/>
          <w:sz w:val="18"/>
          <w:szCs w:val="18"/>
          <w:b w:val="1"/>
          <w:bCs w:val="1"/>
          <w:u w:val="single" w:color="auto"/>
          <w:color w:val="auto"/>
        </w:rPr>
        <w:t>EDGAR</w:t>
      </w:r>
      <w:r>
        <w:rPr>
          <w:rFonts w:ascii="Times New Roman" w:cs="Times New Roman" w:eastAsia="Times New Roman" w:hAnsi="Times New Roman"/>
          <w:sz w:val="18"/>
          <w:szCs w:val="18"/>
          <w:color w:val="auto"/>
        </w:rPr>
        <w:t>”). The Company’s obligations under this Agreement to furnish, provide, deliver or make available (and all other references of like import) copies of any filing, report or statement shall be deemed satisfied if the same is filed with the Commission through EDGAR or any successor system.</w:t>
      </w:r>
    </w:p>
    <w:p>
      <w:pPr>
        <w:spacing w:after="0" w:line="188" w:lineRule="exact"/>
        <w:rPr>
          <w:sz w:val="20"/>
          <w:szCs w:val="20"/>
          <w:color w:val="auto"/>
        </w:rPr>
      </w:pPr>
    </w:p>
    <w:p>
      <w:pPr>
        <w:jc w:val="both"/>
        <w:ind w:left="372" w:hanging="372"/>
        <w:spacing w:after="0" w:line="253" w:lineRule="auto"/>
        <w:tabs>
          <w:tab w:leader="none" w:pos="372"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Placements</w:t>
      </w:r>
      <w:r>
        <w:rPr>
          <w:rFonts w:ascii="Times New Roman" w:cs="Times New Roman" w:eastAsia="Times New Roman" w:hAnsi="Times New Roman"/>
          <w:sz w:val="18"/>
          <w:szCs w:val="18"/>
          <w:color w:val="auto"/>
        </w:rPr>
        <w:t>. Each time that the Company wishes to issue and sell Placement Shares hereunder (each, a “</w:t>
      </w:r>
      <w:r>
        <w:rPr>
          <w:rFonts w:ascii="Times New Roman" w:cs="Times New Roman" w:eastAsia="Times New Roman" w:hAnsi="Times New Roman"/>
          <w:sz w:val="18"/>
          <w:szCs w:val="18"/>
          <w:b w:val="1"/>
          <w:bCs w:val="1"/>
          <w:u w:val="single" w:color="auto"/>
          <w:color w:val="auto"/>
        </w:rPr>
        <w:t>Placement</w:t>
      </w:r>
      <w:r>
        <w:rPr>
          <w:rFonts w:ascii="Times New Roman" w:cs="Times New Roman" w:eastAsia="Times New Roman" w:hAnsi="Times New Roman"/>
          <w:sz w:val="18"/>
          <w:szCs w:val="18"/>
          <w:color w:val="auto"/>
        </w:rPr>
        <w:t>”), it will notify the Agent by email notice (or other method mutually agreed to by the parties) of the number of Placement Shares to be issued, the time period during which sales are requested to be made, any limitation on the number of Placement Shares that may be sold in any one day and any minimum price below which sales may not be made (a “</w:t>
      </w:r>
      <w:r>
        <w:rPr>
          <w:rFonts w:ascii="Times New Roman" w:cs="Times New Roman" w:eastAsia="Times New Roman" w:hAnsi="Times New Roman"/>
          <w:sz w:val="18"/>
          <w:szCs w:val="18"/>
          <w:b w:val="1"/>
          <w:bCs w:val="1"/>
          <w:u w:val="single" w:color="auto"/>
          <w:color w:val="auto"/>
        </w:rPr>
        <w:t>Placement Notice</w:t>
      </w:r>
      <w:r>
        <w:rPr>
          <w:rFonts w:ascii="Times New Roman" w:cs="Times New Roman" w:eastAsia="Times New Roman" w:hAnsi="Times New Roman"/>
          <w:sz w:val="18"/>
          <w:szCs w:val="18"/>
          <w:color w:val="auto"/>
        </w:rPr>
        <w:t xml:space="preserve">”), the form of which is attached hereto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The Placement Notice shall originate from any of the individuals from the Company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(with a copy to each of the other individuals from the Company listed on such schedule), and shall be addressed to each of the individuals from the Agent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as such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may be amended from time to time. The Placement Notice shall be effective upon receipt by the Agent unless and until (i) the Agent declines to accept the terms contained therein for any reason, in its sole discretion, (ii) the entire amount of the Placement Shares thereunder have been sold, (iii) the Company suspends or terminates the Placement Notice, (iv) the Company issues a subsequent Placement Notice with parameters superseding those on the earlier dated Placement Notice, or (v) this Agreement has been terminated under the provisions of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The amount of any discount, commission or other compensation to be paid by the Company to the Agent in connection with the sale of the Placement Shares shall be calculated in accordance with the terms set forth in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187" w:lineRule="exact"/>
        <w:rPr>
          <w:rFonts w:ascii="Times New Roman" w:cs="Times New Roman" w:eastAsia="Times New Roman" w:hAnsi="Times New Roman"/>
          <w:sz w:val="18"/>
          <w:szCs w:val="18"/>
          <w:color w:val="auto"/>
        </w:rPr>
      </w:pPr>
    </w:p>
    <w:p>
      <w:pPr>
        <w:jc w:val="both"/>
        <w:ind w:left="372" w:hanging="372"/>
        <w:spacing w:after="0" w:line="253" w:lineRule="auto"/>
        <w:tabs>
          <w:tab w:leader="none" w:pos="372"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Shares by the Agent</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the Agent, for the period specified in the Placement Notice, will use its commercially reasonable efforts consistent with its normal trading and sales practices and applicable state and federal laws, rules and regulations and the rules of the Nasdaq Global Market (the “</w:t>
      </w:r>
      <w:r>
        <w:rPr>
          <w:rFonts w:ascii="Times New Roman" w:cs="Times New Roman" w:eastAsia="Times New Roman" w:hAnsi="Times New Roman"/>
          <w:sz w:val="18"/>
          <w:szCs w:val="18"/>
          <w:b w:val="1"/>
          <w:bCs w:val="1"/>
          <w:u w:val="single" w:color="auto"/>
          <w:color w:val="auto"/>
        </w:rPr>
        <w:t>Exchange</w:t>
      </w:r>
      <w:r>
        <w:rPr>
          <w:rFonts w:ascii="Times New Roman" w:cs="Times New Roman" w:eastAsia="Times New Roman" w:hAnsi="Times New Roman"/>
          <w:sz w:val="18"/>
          <w:szCs w:val="18"/>
          <w:color w:val="auto"/>
        </w:rPr>
        <w:t xml:space="preserve">”), to sell the Placement Shares up to the amount specified in, and otherwise in accordance with the terms of, such Placement Notice. The Agent will provide written confirmation to the Company no later than the opening of the Trading Day (as defined below) immediately following the Trading Day on which it has made sales of Placement Shares hereunder setting forth the number of Placement Shares sold on such day, the compensation payable by the Company to the Agent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with respect to such sales, and the Net Proceeds (as defined below) payable to the Company, with an itemization of the deductions made by the Agent (as set forth in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from the gross proceeds that it receives from such sales. In the event the Company engages the Agent for a sale of Placement Shares that would constitute a “block” within the meaning of Rule 10b-18(a)(5) under the Exchange Act (a “</w:t>
      </w:r>
      <w:r>
        <w:rPr>
          <w:rFonts w:ascii="Times New Roman" w:cs="Times New Roman" w:eastAsia="Times New Roman" w:hAnsi="Times New Roman"/>
          <w:sz w:val="18"/>
          <w:szCs w:val="18"/>
          <w:b w:val="1"/>
          <w:bCs w:val="1"/>
          <w:u w:val="single" w:color="auto"/>
          <w:color w:val="auto"/>
        </w:rPr>
        <w:t>Block Sale</w:t>
      </w:r>
      <w:r>
        <w:rPr>
          <w:rFonts w:ascii="Times New Roman" w:cs="Times New Roman" w:eastAsia="Times New Roman" w:hAnsi="Times New Roman"/>
          <w:sz w:val="18"/>
          <w:szCs w:val="18"/>
          <w:color w:val="auto"/>
        </w:rPr>
        <w:t xml:space="preserve">”), the Company will provide the Agent, at the Agent’s request and upon reasonable advance notice to the Company, on or prior to the Settlement Date (as defined below), the opinions of counsel, accountant’s letter and officers’ certificates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each dated the Settlement Date, and such other documents and information as the Agent shall reasonably request.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1010920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82" w:right="339" w:bottom="1440" w:gutter="0" w:footer="0" w:header="0"/>
        </w:sectPr>
      </w:pPr>
    </w:p>
    <w:bookmarkStart w:id="195" w:name="page196"/>
    <w:bookmarkEnd w:id="195"/>
    <w:p>
      <w:pPr>
        <w:jc w:val="both"/>
        <w:ind w:left="372"/>
        <w:spacing w:after="0" w:line="258" w:lineRule="auto"/>
        <w:rPr>
          <w:sz w:val="20"/>
          <w:szCs w:val="20"/>
          <w:color w:val="auto"/>
        </w:rPr>
      </w:pPr>
      <w:r>
        <w:rPr>
          <w:rFonts w:ascii="Times New Roman" w:cs="Times New Roman" w:eastAsia="Times New Roman" w:hAnsi="Times New Roman"/>
          <w:sz w:val="18"/>
          <w:szCs w:val="18"/>
          <w:color w:val="auto"/>
        </w:rPr>
        <w:t>may sell Placement Shares in negotiated transactions, including block trades or Block Sales, or by any method permitted by law deemed to be an “at the market” offering as defined in Rule 415(a)(4) of the Securities Act, including without limitation sales made through the Exchange or on any other existing trading market for the Common Stock, or by any other method permitted by law. The Agent shall not purchase Placement Shares for its own account as principal unless expressly authorized to do so by the Company in a Placement Notice. “</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color w:val="auto"/>
        </w:rPr>
        <w:t>” means any day on which Common Stock is traded on the Exchange.</w:t>
      </w:r>
    </w:p>
    <w:p>
      <w:pPr>
        <w:spacing w:after="0" w:line="183" w:lineRule="exact"/>
        <w:rPr>
          <w:sz w:val="20"/>
          <w:szCs w:val="20"/>
          <w:color w:val="auto"/>
        </w:rPr>
      </w:pPr>
    </w:p>
    <w:p>
      <w:pPr>
        <w:ind w:left="372" w:hanging="372"/>
        <w:spacing w:after="0"/>
        <w:tabs>
          <w:tab w:leader="none" w:pos="372"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72" w:hanging="372"/>
        <w:spacing w:after="0" w:line="252" w:lineRule="auto"/>
        <w:tabs>
          <w:tab w:leader="none" w:pos="37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the Agent may, upon notice to the other party in writing (including by email correspondence to each of the individuals of the other party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suspend any sale of Placement Shares (a “</w:t>
      </w:r>
      <w:r>
        <w:rPr>
          <w:rFonts w:ascii="Times New Roman" w:cs="Times New Roman" w:eastAsia="Times New Roman" w:hAnsi="Times New Roman"/>
          <w:sz w:val="18"/>
          <w:szCs w:val="18"/>
          <w:b w:val="1"/>
          <w:bCs w:val="1"/>
          <w:u w:val="single" w:color="auto"/>
          <w:color w:val="auto"/>
        </w:rPr>
        <w:t>Suspension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Suspension shall not affect or impair any party’s obligations with respect to any Placement Shares sold hereunder prior to the receipt of such notice. While a Suspension is in effect any obligation under </w:t>
      </w:r>
      <w:r>
        <w:rPr>
          <w:rFonts w:ascii="Times New Roman" w:cs="Times New Roman" w:eastAsia="Times New Roman" w:hAnsi="Times New Roman"/>
          <w:sz w:val="18"/>
          <w:szCs w:val="18"/>
          <w:u w:val="single" w:color="auto"/>
          <w:color w:val="auto"/>
        </w:rPr>
        <w:t>Sections 7(l)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7(n)</w:t>
      </w:r>
      <w:r>
        <w:rPr>
          <w:rFonts w:ascii="Times New Roman" w:cs="Times New Roman" w:eastAsia="Times New Roman" w:hAnsi="Times New Roman"/>
          <w:sz w:val="18"/>
          <w:szCs w:val="18"/>
          <w:color w:val="auto"/>
        </w:rPr>
        <w:t xml:space="preserve"> with respect to the delivery of certificates, opinions, or comfort letters to the Agent, shall be waived. Each of the parties agrees that no such notice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effective against any other party unless it is made to one of the individuals named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hereto, as such Schedule may be amended from time to time. Notwithstanding any other provision of this Agreement, (i) during any period in which the Company is in possession of material non-public information, or (ii) at any time from and including the date on which the Company shall issue a press release containing, or shall otherwise publicly announce, its earnings, revenues or other results of operations (an “</w:t>
      </w:r>
      <w:r>
        <w:rPr>
          <w:rFonts w:ascii="Times New Roman" w:cs="Times New Roman" w:eastAsia="Times New Roman" w:hAnsi="Times New Roman"/>
          <w:sz w:val="18"/>
          <w:szCs w:val="18"/>
          <w:b w:val="1"/>
          <w:bCs w:val="1"/>
          <w:u w:val="single" w:color="auto"/>
          <w:color w:val="auto"/>
        </w:rPr>
        <w:t>Earnings Announcement</w:t>
      </w:r>
      <w:r>
        <w:rPr>
          <w:rFonts w:ascii="Times New Roman" w:cs="Times New Roman" w:eastAsia="Times New Roman" w:hAnsi="Times New Roman"/>
          <w:sz w:val="18"/>
          <w:szCs w:val="18"/>
          <w:color w:val="auto"/>
        </w:rPr>
        <w:t>”) through and including the time that the Company files a Quarterly Report on Form 10-Q or an Annual Report on Form 10-K that includes consolidated financial statements as of and for the same period or periods, as the case may be, covered by such Earnings Announcement, the Company and the Agent agree that (x) no sale of Placement Shares will take place, (y) the Company shall not request the sale of any Placement Shares, and (z) the Agent shall not be obligated to sell or offer to sell any Placement Shares.</w:t>
      </w:r>
    </w:p>
    <w:p>
      <w:pPr>
        <w:spacing w:after="0" w:line="197" w:lineRule="exact"/>
        <w:rPr>
          <w:rFonts w:ascii="Times New Roman" w:cs="Times New Roman" w:eastAsia="Times New Roman" w:hAnsi="Times New Roman"/>
          <w:sz w:val="18"/>
          <w:szCs w:val="18"/>
          <w:color w:val="auto"/>
        </w:rPr>
      </w:pPr>
    </w:p>
    <w:p>
      <w:pPr>
        <w:jc w:val="both"/>
        <w:ind w:left="372" w:hanging="372"/>
        <w:spacing w:after="0" w:line="266" w:lineRule="auto"/>
        <w:tabs>
          <w:tab w:leader="none" w:pos="37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automatically became effective upon filing on August 8, 2024. Notwithstanding any other provision of this Agreement, during any period in which the Registration Statement is no longer effective under the Securities Act, the Company shall promptly notify the Agent, the Company shall not request the sale of any Placement Shares, and the Agent shall not be obligated to sell or offer to sell any Placement Shares.</w:t>
      </w:r>
    </w:p>
    <w:p>
      <w:pPr>
        <w:spacing w:after="0" w:line="176" w:lineRule="exact"/>
        <w:rPr>
          <w:sz w:val="20"/>
          <w:szCs w:val="20"/>
          <w:color w:val="auto"/>
        </w:rPr>
      </w:pPr>
    </w:p>
    <w:p>
      <w:pPr>
        <w:ind w:left="372" w:hanging="372"/>
        <w:spacing w:after="0"/>
        <w:tabs>
          <w:tab w:leader="none" w:pos="372"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and Delivery to the Agent; Settlement.</w:t>
      </w:r>
    </w:p>
    <w:p>
      <w:pPr>
        <w:spacing w:after="0" w:line="223" w:lineRule="exact"/>
        <w:rPr>
          <w:sz w:val="20"/>
          <w:szCs w:val="20"/>
          <w:color w:val="auto"/>
        </w:rPr>
      </w:pPr>
    </w:p>
    <w:p>
      <w:pPr>
        <w:jc w:val="both"/>
        <w:ind w:left="372" w:hanging="372"/>
        <w:spacing w:after="0" w:line="254" w:lineRule="auto"/>
        <w:tabs>
          <w:tab w:leader="none" w:pos="372"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On the basis of the representations and warranties herein contained and subject to the terms and conditions herein set forth, upon the Agent’s acceptance of the terms of a Placement Notice,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to sell such Placement Shares up to the amount specified, and otherwise in accordance with the terms of such Placement Notice.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law and regulations to sell such Placement Shares as required under this Agreement and (iii) the Agent shall be under no obligation to purchase Placement Shares on a principal basis pursuant to this Agreement, except as otherwise agreed by the Agent and the Company.</w:t>
      </w:r>
    </w:p>
    <w:p>
      <w:pPr>
        <w:spacing w:after="0" w:line="185" w:lineRule="exact"/>
        <w:rPr>
          <w:rFonts w:ascii="Times New Roman" w:cs="Times New Roman" w:eastAsia="Times New Roman" w:hAnsi="Times New Roman"/>
          <w:sz w:val="18"/>
          <w:szCs w:val="18"/>
          <w:color w:val="auto"/>
        </w:rPr>
      </w:pPr>
    </w:p>
    <w:p>
      <w:pPr>
        <w:jc w:val="both"/>
        <w:ind w:left="372" w:hanging="372"/>
        <w:spacing w:after="0" w:line="242" w:lineRule="auto"/>
        <w:tabs>
          <w:tab w:leader="none" w:pos="372"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Placement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Unless otherwise specified in the applicable Placement Notice, settlement for sales of Placement Shares will occur on the first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Trading Day (or such earlier day as is industry practice for regular-way trading) following the date on which such sales are made (each, a “</w:t>
      </w:r>
      <w:r>
        <w:rPr>
          <w:rFonts w:ascii="Times New Roman" w:cs="Times New Roman" w:eastAsia="Times New Roman" w:hAnsi="Times New Roman"/>
          <w:sz w:val="18"/>
          <w:szCs w:val="18"/>
          <w:b w:val="1"/>
          <w:bCs w:val="1"/>
          <w:u w:val="single" w:color="auto"/>
          <w:color w:val="auto"/>
        </w:rPr>
        <w:t>Settlement Date</w:t>
      </w:r>
      <w:r>
        <w:rPr>
          <w:rFonts w:ascii="Times New Roman" w:cs="Times New Roman" w:eastAsia="Times New Roman" w:hAnsi="Times New Roman"/>
          <w:sz w:val="18"/>
          <w:szCs w:val="18"/>
          <w:color w:val="auto"/>
        </w:rPr>
        <w:t>”). The Agent shall notify the Company of each sale of Placement Shares no later than the opening of the Trading Day immediately following the Trading Day on which it has made sales of Placement Shares hereunder. The amount of proceeds to be delivered to the Company on a Settlement Date against receipt of the Placement Shares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1016635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82" w:right="339" w:bottom="1440" w:gutter="0" w:footer="0" w:header="0"/>
        </w:sectPr>
      </w:pPr>
    </w:p>
    <w:bookmarkStart w:id="196" w:name="page197"/>
    <w:bookmarkEnd w:id="196"/>
    <w:p>
      <w:pPr>
        <w:jc w:val="both"/>
        <w:ind w:left="372"/>
        <w:spacing w:after="0" w:line="268"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u w:val="single" w:color="auto"/>
          <w:color w:val="auto"/>
        </w:rPr>
        <w:t>Net Proceeds</w:t>
      </w:r>
      <w:r>
        <w:rPr>
          <w:rFonts w:ascii="Times New Roman" w:cs="Times New Roman" w:eastAsia="Times New Roman" w:hAnsi="Times New Roman"/>
          <w:sz w:val="18"/>
          <w:szCs w:val="18"/>
          <w:color w:val="auto"/>
        </w:rPr>
        <w:t xml:space="preserve">”) will be equal to the aggregate sales price received by the Agent, after deduction for (i) the Agent’s commission, discount or other compensation for such sales payable by the Company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and (ii) any transaction fees imposed by any Governmental Authority in respect of such sales.</w:t>
      </w:r>
    </w:p>
    <w:p>
      <w:pPr>
        <w:spacing w:after="0" w:line="175" w:lineRule="exact"/>
        <w:rPr>
          <w:sz w:val="20"/>
          <w:szCs w:val="20"/>
          <w:color w:val="auto"/>
        </w:rPr>
      </w:pPr>
    </w:p>
    <w:p>
      <w:pPr>
        <w:jc w:val="both"/>
        <w:ind w:left="372" w:hanging="372"/>
        <w:spacing w:after="0" w:line="253" w:lineRule="auto"/>
        <w:tabs>
          <w:tab w:leader="none" w:pos="372"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Placement Shares</w:t>
      </w:r>
      <w:r>
        <w:rPr>
          <w:rFonts w:ascii="Times New Roman" w:cs="Times New Roman" w:eastAsia="Times New Roman" w:hAnsi="Times New Roman"/>
          <w:sz w:val="18"/>
          <w:szCs w:val="18"/>
          <w:color w:val="auto"/>
        </w:rPr>
        <w:t xml:space="preserve">. On or before each Settlement Date, the Company will, or will cause its transfer agent to, electronically transfer the Placement Shares being sold by crediting the Agent’s or its designee’s account (provided the Agent shall have given the Company written notice of such designee at least one Trading Day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the Agent will deliver the related Net Proceeds in same day funds to an account designated by the Company on, or prior to, the Settlement Date. The Company agrees that if the Company, or its transfer agent (if applicable), defaults in its obligation to deliver Placement Shares on a Settlement Date, that the Company, in addition to and in no way limiting the rights and obligations set forth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hereto, will (i) hold the Agent harmless against any loss, claim, damage, or reasonable and documented expense (including reasonable and documented legal fees and expenses), as incurred, arising out of or in connection with such default by the Company or its transfer agent (as applicable) and (ii) pay to the Agent any commission, discount, or other compensation to which it would otherwise have been entitled absent such default.</w:t>
      </w:r>
    </w:p>
    <w:p>
      <w:pPr>
        <w:spacing w:after="0" w:line="189" w:lineRule="exact"/>
        <w:rPr>
          <w:rFonts w:ascii="Times New Roman" w:cs="Times New Roman" w:eastAsia="Times New Roman" w:hAnsi="Times New Roman"/>
          <w:sz w:val="18"/>
          <w:szCs w:val="18"/>
          <w:color w:val="auto"/>
        </w:rPr>
      </w:pPr>
    </w:p>
    <w:p>
      <w:pPr>
        <w:jc w:val="both"/>
        <w:ind w:left="372" w:hanging="372"/>
        <w:spacing w:after="0" w:line="261" w:lineRule="auto"/>
        <w:tabs>
          <w:tab w:leader="none" w:pos="372"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Registration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Certificates for the Placement Shares, if any, shall be in such denominations and registered in such names as the Agent may request in writing at least one full Business Day (as defined below) before the applicable Settlement Date. The certificates for the Placement Shares, if any, will be made available by the Company for examination and packaging by the Agent in The City of New York not later than noon (New York time) on the Business Day prior to the applicable Settlement Date.</w:t>
      </w:r>
    </w:p>
    <w:p>
      <w:pPr>
        <w:spacing w:after="0" w:line="179" w:lineRule="exact"/>
        <w:rPr>
          <w:rFonts w:ascii="Times New Roman" w:cs="Times New Roman" w:eastAsia="Times New Roman" w:hAnsi="Times New Roman"/>
          <w:sz w:val="18"/>
          <w:szCs w:val="18"/>
          <w:color w:val="auto"/>
        </w:rPr>
      </w:pPr>
    </w:p>
    <w:p>
      <w:pPr>
        <w:jc w:val="both"/>
        <w:ind w:left="372" w:hanging="372"/>
        <w:spacing w:after="0" w:line="255" w:lineRule="auto"/>
        <w:tabs>
          <w:tab w:leader="none" w:pos="372"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Offering Size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Under no circumstances shall the Company cause or request the offer or sale of any Placement Shares if, after giving effect to the sale of such Placement Shares, the aggregate gross sales proceeds of Placement Shares sold pursuant to this Agreement would exceed the lesser of (A) together with all sales of Placement Shares under this Agreement, the Maximum Amount and (B) the amount authorized from time to time to be issued and sold under this Agreement by the Company’s board of directors, a duly authorized committee thereof or a duly authorized executive committee (such entity, the “Company Authorization Body”). Under no circumstances shall the Company cause or request the offer or sale of any Placement Shares pursuant to this Agreement at a price lower than the minimum price authorized from time to time by the Company Authorization Body. Further, under no circumstances shall the Company cause or permit the aggregate offering amount of Placement Shares sold pursuant to this Agreement to exceed the Maximum Amount.</w:t>
      </w:r>
    </w:p>
    <w:p>
      <w:pPr>
        <w:spacing w:after="0" w:line="187" w:lineRule="exact"/>
        <w:rPr>
          <w:sz w:val="20"/>
          <w:szCs w:val="20"/>
          <w:color w:val="auto"/>
        </w:rPr>
      </w:pPr>
    </w:p>
    <w:p>
      <w:pPr>
        <w:ind w:left="372" w:hanging="372"/>
        <w:spacing w:after="0" w:line="282" w:lineRule="auto"/>
        <w:tabs>
          <w:tab w:leader="none" w:pos="372"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the Agent that as of the date of this Agreement and as of each Applicable Time (as defined below), unless such representation, warranty or agreement specifies a different time:</w:t>
      </w:r>
    </w:p>
    <w:p>
      <w:pPr>
        <w:spacing w:after="0" w:line="162" w:lineRule="exact"/>
        <w:rPr>
          <w:sz w:val="20"/>
          <w:szCs w:val="20"/>
          <w:color w:val="auto"/>
        </w:rPr>
      </w:pPr>
    </w:p>
    <w:p>
      <w:pPr>
        <w:jc w:val="both"/>
        <w:ind w:left="372" w:hanging="372"/>
        <w:spacing w:after="0" w:line="253" w:lineRule="auto"/>
        <w:tabs>
          <w:tab w:leader="none" w:pos="372"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w:t>
      </w:r>
      <w:r>
        <w:rPr>
          <w:rFonts w:ascii="Times New Roman" w:cs="Times New Roman" w:eastAsia="Times New Roman" w:hAnsi="Times New Roman"/>
          <w:sz w:val="18"/>
          <w:szCs w:val="18"/>
          <w:color w:val="auto"/>
        </w:rPr>
        <w:t>. The Company and the transactions contemplated by this Agreement meet the requirements for and comply with the applicable conditions set forth in Form S-3 (including General Instructions I.A and I.B) under the Securities Act. At the time the Registration Statement became effective and at the time the Company’s most recent Annual Report on Form 10-K was filed with the Commission, if later, the Company was, or will be, a “well known seasoned issuer” as defined in Rule 405 under the Securities Act. The Registration Statement is an “automatic shelf registration statement,” as defined in Rule 405 the Securities Act, and became effective upon filing. The Company has not received from the Commission any notice pursuant to Rule 401(g)(2) under the Securities Act objecting to the Company’s use of the automatic shelf registration form. The Prospectus Supplement will name the Agent as the agent in the section entitled “Plan of Distribution.” The Company has not received, and has no notice of, any order of the Commission preventing or suspending the use of the Registration Statement, or threatening or instituting proceedings for that purpose.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in all material respects or filed. Copies of the Registration Statement, the Prospectus, and any such amendments or supplements and all documents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1009650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78" w:right="339" w:bottom="1440" w:gutter="0" w:footer="0" w:header="0"/>
        </w:sectPr>
      </w:pPr>
    </w:p>
    <w:bookmarkStart w:id="197" w:name="page198"/>
    <w:bookmarkEnd w:id="197"/>
    <w:p>
      <w:pPr>
        <w:jc w:val="both"/>
        <w:ind w:left="372"/>
        <w:spacing w:after="0" w:line="261" w:lineRule="auto"/>
        <w:rPr>
          <w:sz w:val="20"/>
          <w:szCs w:val="20"/>
          <w:color w:val="auto"/>
        </w:rPr>
      </w:pPr>
      <w:r>
        <w:rPr>
          <w:rFonts w:ascii="Times New Roman" w:cs="Times New Roman" w:eastAsia="Times New Roman" w:hAnsi="Times New Roman"/>
          <w:sz w:val="18"/>
          <w:szCs w:val="18"/>
          <w:color w:val="auto"/>
        </w:rPr>
        <w:t>by reference therein that were filed with the Commission on or prior to the date of this Agreement have been delivered, or are available through EDGAR or any successor system, to the Agent and its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to which the Agent has consented.</w:t>
      </w:r>
    </w:p>
    <w:p>
      <w:pPr>
        <w:spacing w:after="0" w:line="180" w:lineRule="exact"/>
        <w:rPr>
          <w:sz w:val="20"/>
          <w:szCs w:val="20"/>
          <w:color w:val="auto"/>
        </w:rPr>
      </w:pPr>
    </w:p>
    <w:p>
      <w:pPr>
        <w:jc w:val="both"/>
        <w:ind w:left="372" w:hanging="372"/>
        <w:spacing w:after="0" w:line="253" w:lineRule="auto"/>
        <w:tabs>
          <w:tab w:leader="none" w:pos="37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Omission</w:t>
      </w:r>
      <w:r>
        <w:rPr>
          <w:rFonts w:ascii="Times New Roman" w:cs="Times New Roman" w:eastAsia="Times New Roman" w:hAnsi="Times New Roman"/>
          <w:sz w:val="18"/>
          <w:szCs w:val="18"/>
          <w:color w:val="auto"/>
        </w:rPr>
        <w:t>. The Registration Statement, when it became or becomes effective, did not, and will not, contain an untrue statement of a material fact or omit to state a material fact required to be stated therein or necessary to make the statements therein not misleading. The Prospectus and any amendment and supplement thereto, on the date thereof and at each Applicable Time (defined below), did not or will not include an untrue statement of a material fact or omit to state a material fact necessary to make the statements therein, in the light of the circumstances under which they were made, not misleading. The documents incorporated by reference in the Prospectus or any Prospectus Supplement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the light of the circumstances under which they were made, not misleading. The foregoing shall not apply to statements in, or omissions from, any such document made in reliance upon, and in conformity with, information furnished to the Company by the Agent in writing specifically for use in the preparation thereof, it being understood and agreed that the only such information furnished by the Agent to the Company consists of “Agent Information” as defined below.</w:t>
      </w:r>
    </w:p>
    <w:p>
      <w:pPr>
        <w:spacing w:after="0" w:line="194" w:lineRule="exact"/>
        <w:rPr>
          <w:rFonts w:ascii="Times New Roman" w:cs="Times New Roman" w:eastAsia="Times New Roman" w:hAnsi="Times New Roman"/>
          <w:sz w:val="18"/>
          <w:szCs w:val="18"/>
          <w:color w:val="auto"/>
        </w:rPr>
      </w:pPr>
    </w:p>
    <w:p>
      <w:pPr>
        <w:jc w:val="both"/>
        <w:ind w:left="372" w:hanging="372"/>
        <w:spacing w:after="0" w:line="258" w:lineRule="auto"/>
        <w:tabs>
          <w:tab w:leader="none" w:pos="37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Conformity with the Securities Act and Exchange Act</w:t>
      </w:r>
      <w:r>
        <w:rPr>
          <w:rFonts w:ascii="Times New Roman" w:cs="Times New Roman" w:eastAsia="Times New Roman" w:hAnsi="Times New Roman"/>
          <w:sz w:val="18"/>
          <w:szCs w:val="18"/>
          <w:color w:val="auto"/>
        </w:rPr>
        <w:t>. The Registration Statement, the Prospectus, any Issuer Free Writing Prospectus or any amendment or supplement thereto, and the documents incorporated by reference in the Registration Statement, the Prospectus or any amendment or supplement thereto,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183" w:lineRule="exact"/>
        <w:rPr>
          <w:rFonts w:ascii="Times New Roman" w:cs="Times New Roman" w:eastAsia="Times New Roman" w:hAnsi="Times New Roman"/>
          <w:sz w:val="18"/>
          <w:szCs w:val="18"/>
          <w:color w:val="auto"/>
        </w:rPr>
      </w:pPr>
    </w:p>
    <w:p>
      <w:pPr>
        <w:jc w:val="both"/>
        <w:ind w:left="372" w:right="20" w:hanging="372"/>
        <w:spacing w:after="0" w:line="266" w:lineRule="auto"/>
        <w:tabs>
          <w:tab w:leader="none" w:pos="37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Emerging Growth Company Status</w:t>
      </w:r>
      <w:r>
        <w:rPr>
          <w:rFonts w:ascii="Times New Roman" w:cs="Times New Roman" w:eastAsia="Times New Roman" w:hAnsi="Times New Roman"/>
          <w:sz w:val="18"/>
          <w:szCs w:val="18"/>
          <w:color w:val="auto"/>
        </w:rPr>
        <w:t>. From the time of initial confidential submission of the Company’s Registration Statement on Form S-1 (File No. 333-240098) to the Commission through December 31, 2024, the Company was an “emerging growth company,” as defined in Section 2(a) of the Securities Act.</w:t>
      </w:r>
    </w:p>
    <w:p>
      <w:pPr>
        <w:spacing w:after="0" w:line="175" w:lineRule="exact"/>
        <w:rPr>
          <w:rFonts w:ascii="Times New Roman" w:cs="Times New Roman" w:eastAsia="Times New Roman" w:hAnsi="Times New Roman"/>
          <w:sz w:val="18"/>
          <w:szCs w:val="18"/>
          <w:color w:val="auto"/>
        </w:rPr>
      </w:pPr>
    </w:p>
    <w:p>
      <w:pPr>
        <w:ind w:left="372" w:hanging="372"/>
        <w:spacing w:after="0" w:line="282" w:lineRule="auto"/>
        <w:tabs>
          <w:tab w:leader="none" w:pos="37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 an Ineligible Issuer</w:t>
      </w:r>
      <w:r>
        <w:rPr>
          <w:rFonts w:ascii="Times New Roman" w:cs="Times New Roman" w:eastAsia="Times New Roman" w:hAnsi="Times New Roman"/>
          <w:sz w:val="18"/>
          <w:szCs w:val="18"/>
          <w:color w:val="auto"/>
        </w:rPr>
        <w:t>. The Company currently is not an “ineligible issuer,” as defined in Rule 405 under the Securities Act. The Company agrees to notify the Agent promptly upon the Company becoming an “ineligible issuer.”</w:t>
      </w:r>
    </w:p>
    <w:p>
      <w:pPr>
        <w:spacing w:after="0" w:line="161" w:lineRule="exact"/>
        <w:rPr>
          <w:rFonts w:ascii="Times New Roman" w:cs="Times New Roman" w:eastAsia="Times New Roman" w:hAnsi="Times New Roman"/>
          <w:sz w:val="18"/>
          <w:szCs w:val="18"/>
          <w:color w:val="auto"/>
        </w:rPr>
      </w:pPr>
    </w:p>
    <w:p>
      <w:pPr>
        <w:jc w:val="both"/>
        <w:ind w:left="372" w:hanging="372"/>
        <w:spacing w:after="0" w:line="266" w:lineRule="auto"/>
        <w:tabs>
          <w:tab w:leader="none" w:pos="37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eXtensible Business Reporting Language</w:t>
      </w:r>
      <w:r>
        <w:rPr>
          <w:rFonts w:ascii="Times New Roman" w:cs="Times New Roman" w:eastAsia="Times New Roman" w:hAnsi="Times New Roman"/>
          <w:sz w:val="18"/>
          <w:szCs w:val="18"/>
          <w:color w:val="auto"/>
        </w:rPr>
        <w:t>. 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spacing w:after="0" w:line="175" w:lineRule="exact"/>
        <w:rPr>
          <w:rFonts w:ascii="Times New Roman" w:cs="Times New Roman" w:eastAsia="Times New Roman" w:hAnsi="Times New Roman"/>
          <w:sz w:val="18"/>
          <w:szCs w:val="18"/>
          <w:color w:val="auto"/>
        </w:rPr>
      </w:pPr>
    </w:p>
    <w:p>
      <w:pPr>
        <w:jc w:val="both"/>
        <w:ind w:left="372" w:hanging="372"/>
        <w:spacing w:after="0" w:line="256" w:lineRule="auto"/>
        <w:tabs>
          <w:tab w:leader="none" w:pos="37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Nasdaq Matters</w:t>
      </w:r>
      <w:r>
        <w:rPr>
          <w:rFonts w:ascii="Times New Roman" w:cs="Times New Roman" w:eastAsia="Times New Roman" w:hAnsi="Times New Roman"/>
          <w:sz w:val="18"/>
          <w:szCs w:val="18"/>
          <w:color w:val="auto"/>
        </w:rPr>
        <w:t>. The Company is subject to and in compliance in all material respects with the reporting requirements of Section 13 or Section 15(d) of the Exchange Act. The Common Stock is registered pursuant to Section 12(b) of the Exchange Act and is listed on the Exchange, and the Company has taken no action designed to, or reasonably likely to have the effect of, terminating the registration of the Common Stock under the Exchange Act or delisting the Common Stock from the Exchange, nor has the Company received any notification that the Commission or the Exchange is contemplating terminating such registration or listing. The Company is in compliance with the current listing standards of the Exchange. The Company has filed a Notification of Listing of Additional Shares with the Exchange with respect to the Placement Shares.</w:t>
      </w:r>
    </w:p>
    <w:p>
      <w:pPr>
        <w:spacing w:after="0" w:line="187" w:lineRule="exact"/>
        <w:rPr>
          <w:rFonts w:ascii="Times New Roman" w:cs="Times New Roman" w:eastAsia="Times New Roman" w:hAnsi="Times New Roman"/>
          <w:sz w:val="18"/>
          <w:szCs w:val="18"/>
          <w:color w:val="auto"/>
        </w:rPr>
      </w:pPr>
    </w:p>
    <w:p>
      <w:pPr>
        <w:jc w:val="both"/>
        <w:ind w:left="372" w:hanging="372"/>
        <w:spacing w:after="0" w:line="261" w:lineRule="auto"/>
        <w:tabs>
          <w:tab w:leader="none" w:pos="37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Preferential Rights</w:t>
      </w:r>
      <w:r>
        <w:rPr>
          <w:rFonts w:ascii="Times New Roman" w:cs="Times New Roman" w:eastAsia="Times New Roman" w:hAnsi="Times New Roman"/>
          <w:sz w:val="18"/>
          <w:szCs w:val="18"/>
          <w:color w:val="auto"/>
        </w:rPr>
        <w:t>. No person (as such term is defined in Rule 1-02 of Regulation S-X promulgated under the Securities Act) has the right to act as an underwriter or as a financial advisor to the Company in connection with the offer and sale of the Placement Shares hereunder, whether as a result of the filing or effectiveness of the Registration Statement or the sale of the Placement Shares as contemplated hereby or otherwise. Except for the Agent, there is no broker, finder or other party that is entitled to receive from the Company or any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1004570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82" w:right="339" w:bottom="1440" w:gutter="0" w:footer="0" w:header="0"/>
        </w:sectPr>
      </w:pPr>
    </w:p>
    <w:bookmarkStart w:id="198" w:name="page199"/>
    <w:bookmarkEnd w:id="198"/>
    <w:p>
      <w:pPr>
        <w:ind w:left="372"/>
        <w:spacing w:after="0" w:line="282" w:lineRule="auto"/>
        <w:rPr>
          <w:sz w:val="20"/>
          <w:szCs w:val="20"/>
          <w:color w:val="auto"/>
        </w:rPr>
      </w:pPr>
      <w:r>
        <w:rPr>
          <w:rFonts w:ascii="Times New Roman" w:cs="Times New Roman" w:eastAsia="Times New Roman" w:hAnsi="Times New Roman"/>
          <w:sz w:val="18"/>
          <w:szCs w:val="18"/>
          <w:color w:val="auto"/>
        </w:rPr>
        <w:t>Subsidiaries (as defined below) any brokerage or finder’s fee or other fee or commission as a result of any transactions contemplated by this Agreement.</w:t>
      </w:r>
    </w:p>
    <w:p>
      <w:pPr>
        <w:spacing w:after="0" w:line="162" w:lineRule="exact"/>
        <w:rPr>
          <w:sz w:val="20"/>
          <w:szCs w:val="20"/>
          <w:color w:val="auto"/>
        </w:rPr>
      </w:pPr>
    </w:p>
    <w:p>
      <w:pPr>
        <w:jc w:val="both"/>
        <w:ind w:left="372" w:hanging="372"/>
        <w:spacing w:after="0" w:line="254" w:lineRule="auto"/>
        <w:tabs>
          <w:tab w:leader="none" w:pos="372"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The Company has been duly incorporated, is validly existing as a corporation in good standing under the laws of the jurisdiction of its incorporation, has the corporate power and authority to own, lease and operate its property and to conduct its business as described in each of the Registration Statement and the Prospectus and to enter into and perform its obligations under this Agreement. The Company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expected to, singly or in the aggregate, have a material adverse effect on the condition (financial or otherwise), earnings, results of operations, business, prospects, properties, operations, assets or liabilities of the Company and its Subsidiaries, taken as a whole, whether or not arising from transactions in the ordinary course of business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left="372" w:hanging="372"/>
        <w:spacing w:after="0" w:line="252" w:lineRule="auto"/>
        <w:tabs>
          <w:tab w:leader="none" w:pos="372"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Each of the Company’s “subsidiaries” (for purposes of this Agreement, as defined in Rule 405 under the Securities Act) (each, a “</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color w:val="auto"/>
        </w:rPr>
        <w:t>”) has been duly incorporated, organized or formed and is validly existing in good standing (where such concept exists) under the laws of the jurisdiction of its incorporation or organization and has full power and authority to acquire, own, lease and operate its properties, and to conduct its business as described in the Registration Statement and the Prospectus. Each Subsidiary is duly qualified to transact business and is in good standing (where such concept exists) under the laws of each jurisdiction that requires such qualification, whether by reason of the ownership or leasing of property or the conduct of business, except to the extent that the failure to be so qualified or in good standing could not reasonably be expected, individually or in the aggregate, to have a Material Adverse Effect. All of the issued and outstanding share capital or other equity or ownership interests of each Subsidiary has been duly authorized and validly issued, is fully paid and nonassessable, has been issued in compliance with federal state and securities laws and is owned by the Company, directly or through other wholly-owned Subsidiaries, free and clear of any security interest, mortgage, pledge, lien, encumbrance or adverse claim, other than a security interest held by Hercules Capital, Inc. as described in the Registration Statement and the Prospectus. Except for Disc Medicine Opco, Inc., a Delaware corporation, Disc Medicine B.V., a Netherlands private limited company, Disc Medicine Securities Corp., a Massachusetts corporation, Disc Medicine Pty Ltd, an Australian proprietary limited company, Kurome Therapeutics, Inc., a Delaware corporation and KuromeTx Australia Pty Ltd, an Australian proprietary limited company, the Company does not own or control, directly or indirectly, any corporation, association or other entity. Only Disc Medicine Opco, Inc. and Disc Medicine Securities Corp. each constitutes a “significant subsidiary” within the meaning of Rule 1-02 of Regulation S-X. No Subsidiary is prohibited or restricted, directly or indirectly, from paying dividends to the Company, from making any other distribution with respect to such Subsidiary’s equity securities, from repaying to the Company or any other Subsidiary any amounts that may from time to time become due under any loans or advances to such Subsidiary from the Company or from transferring any property or assets to the Company or to any other Subsidiary.</w:t>
      </w:r>
    </w:p>
    <w:p>
      <w:pPr>
        <w:spacing w:after="0" w:line="191" w:lineRule="exact"/>
        <w:rPr>
          <w:rFonts w:ascii="Times New Roman" w:cs="Times New Roman" w:eastAsia="Times New Roman" w:hAnsi="Times New Roman"/>
          <w:sz w:val="18"/>
          <w:szCs w:val="18"/>
          <w:color w:val="auto"/>
        </w:rPr>
      </w:pPr>
    </w:p>
    <w:p>
      <w:pPr>
        <w:jc w:val="both"/>
        <w:ind w:left="372" w:hanging="372"/>
        <w:spacing w:after="0" w:line="253" w:lineRule="auto"/>
        <w:tabs>
          <w:tab w:leader="none" w:pos="372"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capital stock of the Company conforms as to legal matters to the description thereof contained in each of the Registration Statement and the Prospectus. The Common Stock conforms in all material respects to the description thereof contained in the Registration Statement and the Prospectus, including under the heading “Description of Capital Stock.” All of the issued and outstanding share capital or other equity or ownership interest of the Company (including the Common Stock) has been duly authorized and validly issued and is fully paid and nonassessable, has been issued in compliance with all federal, state and local securities laws and is free and clear of any security interest, mortgage, pledge, lien, encumbrance or adverse claim. None of the outstanding shares of capital stock of the Company were issued in violation of any preemptive rights, rights of first refusal or other similar rights to subscribe for or purchase securities of the Company. The descriptions of the Company’s equity incentive plan, stock option plans and other stock plans or arrangements described in the Prospectus and in effect as of the date hereof (collectively, the “</w:t>
      </w:r>
      <w:r>
        <w:rPr>
          <w:rFonts w:ascii="Times New Roman" w:cs="Times New Roman" w:eastAsia="Times New Roman" w:hAnsi="Times New Roman"/>
          <w:sz w:val="18"/>
          <w:szCs w:val="18"/>
          <w:b w:val="1"/>
          <w:bCs w:val="1"/>
          <w:color w:val="auto"/>
        </w:rPr>
        <w:t>Stock Plans</w:t>
      </w:r>
      <w:r>
        <w:rPr>
          <w:rFonts w:ascii="Times New Roman" w:cs="Times New Roman" w:eastAsia="Times New Roman" w:hAnsi="Times New Roman"/>
          <w:sz w:val="18"/>
          <w:szCs w:val="18"/>
          <w:color w:val="auto"/>
        </w:rPr>
        <w:t>”) and the options or other rights granted thereunder, set forth in the Registration Statement and the Prospectus accurately and fairly present the information required to be shown with respect to such Stock Plans and the options or other rights granted thereunder.</w:t>
      </w:r>
    </w:p>
    <w:p>
      <w:pPr>
        <w:spacing w:after="0" w:line="194" w:lineRule="exact"/>
        <w:rPr>
          <w:rFonts w:ascii="Times New Roman" w:cs="Times New Roman" w:eastAsia="Times New Roman" w:hAnsi="Times New Roman"/>
          <w:sz w:val="18"/>
          <w:szCs w:val="18"/>
          <w:color w:val="auto"/>
        </w:rPr>
      </w:pPr>
    </w:p>
    <w:p>
      <w:pPr>
        <w:ind w:left="372" w:right="20" w:hanging="372"/>
        <w:spacing w:after="0" w:line="239" w:lineRule="exact"/>
        <w:tabs>
          <w:tab w:leader="none" w:pos="372"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Placement Shares</w:t>
      </w:r>
      <w:r>
        <w:rPr>
          <w:rFonts w:ascii="Times New Roman" w:cs="Times New Roman" w:eastAsia="Times New Roman" w:hAnsi="Times New Roman"/>
          <w:sz w:val="18"/>
          <w:szCs w:val="18"/>
          <w:color w:val="auto"/>
        </w:rPr>
        <w:t>. The Placement Shares have been duly authorized and, when issued, delivered and paid for in accordance with the terms of this Agreement, will be validly issued, fully paid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998855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82" w:right="339" w:bottom="1440" w:gutter="0" w:footer="0" w:header="0"/>
        </w:sectPr>
      </w:pPr>
    </w:p>
    <w:bookmarkStart w:id="199" w:name="page200"/>
    <w:bookmarkEnd w:id="199"/>
    <w:p>
      <w:pPr>
        <w:ind w:left="372"/>
        <w:spacing w:after="0" w:line="282" w:lineRule="auto"/>
        <w:rPr>
          <w:sz w:val="20"/>
          <w:szCs w:val="20"/>
          <w:color w:val="auto"/>
        </w:rPr>
      </w:pPr>
      <w:r>
        <w:rPr>
          <w:rFonts w:ascii="Times New Roman" w:cs="Times New Roman" w:eastAsia="Times New Roman" w:hAnsi="Times New Roman"/>
          <w:sz w:val="18"/>
          <w:szCs w:val="18"/>
          <w:color w:val="auto"/>
        </w:rPr>
        <w:t>and the issuance of the Placement Shares will not be subject to any preemptive or similar rights that have not been validly waived. This Agreement has been duly authorized, executed and delivered by the Company.</w:t>
      </w:r>
    </w:p>
    <w:p>
      <w:pPr>
        <w:spacing w:after="0" w:line="162" w:lineRule="exact"/>
        <w:rPr>
          <w:sz w:val="20"/>
          <w:szCs w:val="20"/>
          <w:color w:val="auto"/>
        </w:rPr>
      </w:pPr>
    </w:p>
    <w:p>
      <w:pPr>
        <w:jc w:val="both"/>
        <w:ind w:left="372" w:hanging="372"/>
        <w:spacing w:after="0" w:line="266" w:lineRule="auto"/>
        <w:tabs>
          <w:tab w:leader="none" w:pos="372"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and after giving effect to the offering and sale of the Placement Shares and the application of the proceeds thereof as described in each of the Registration Statement and the Prospectus will not be, required to register as an “investment company” as such term is defined in the Investment Company Act of 1940, as amended.</w:t>
      </w:r>
    </w:p>
    <w:p>
      <w:pPr>
        <w:spacing w:after="0" w:line="175" w:lineRule="exact"/>
        <w:rPr>
          <w:rFonts w:ascii="Times New Roman" w:cs="Times New Roman" w:eastAsia="Times New Roman" w:hAnsi="Times New Roman"/>
          <w:sz w:val="18"/>
          <w:szCs w:val="18"/>
          <w:color w:val="auto"/>
        </w:rPr>
      </w:pPr>
    </w:p>
    <w:p>
      <w:pPr>
        <w:jc w:val="both"/>
        <w:ind w:left="372" w:hanging="372"/>
        <w:spacing w:after="0" w:line="255" w:lineRule="auto"/>
        <w:tabs>
          <w:tab w:leader="none" w:pos="372"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The execution and delivery by the Company of, and the performance by the Company of its obligations under, this Agreement will not contravene any provision of (i) applicable law, (ii) the certificate of incorporation or by laws of the Company, (iii) any agreement or other instrument binding upon the Company or its Subsidiaries that is material to the Company and its Subsidiaries, taken as a whole, or (iv) any judgment, order or decree of any governmental body, agency or court having jurisdiction over the Company or its Subsidiaries, except that, in the case of clause</w:t>
      </w:r>
    </w:p>
    <w:p>
      <w:pPr>
        <w:spacing w:after="0" w:line="2" w:lineRule="exact"/>
        <w:rPr>
          <w:rFonts w:ascii="Times New Roman" w:cs="Times New Roman" w:eastAsia="Times New Roman" w:hAnsi="Times New Roman"/>
          <w:sz w:val="18"/>
          <w:szCs w:val="18"/>
          <w:color w:val="auto"/>
        </w:rPr>
      </w:pPr>
    </w:p>
    <w:p>
      <w:pPr>
        <w:jc w:val="both"/>
        <w:ind w:left="372"/>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and (iii), as would not, individually or in the aggregate, reasonably be expected to have a Material Adverse Effect on the Company or on the power and ability of the Company to perform its obligations under this Agreement, and no consent, approval, authorization or order of, or qualification with, any governmental body, agency or court is required for the performance by the Company of its obligations under this Agreement, except such as may be required by the securities or Blue Sky laws of the various states in connection with the offer and sale of the Placement Shares.</w:t>
      </w:r>
    </w:p>
    <w:p>
      <w:pPr>
        <w:spacing w:after="0" w:line="188" w:lineRule="exact"/>
        <w:rPr>
          <w:rFonts w:ascii="Times New Roman" w:cs="Times New Roman" w:eastAsia="Times New Roman" w:hAnsi="Times New Roman"/>
          <w:sz w:val="18"/>
          <w:szCs w:val="18"/>
          <w:color w:val="auto"/>
        </w:rPr>
      </w:pPr>
    </w:p>
    <w:p>
      <w:pPr>
        <w:jc w:val="both"/>
        <w:ind w:left="372" w:hanging="372"/>
        <w:spacing w:after="0" w:line="266" w:lineRule="auto"/>
        <w:tabs>
          <w:tab w:leader="none" w:pos="372"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There has not occurred any Material Adverse Effect, or any development involving a prospective Material Adverse Effect, in the condition, financial or otherwise, or in the earnings, business or operations of the Company and its Subsidiaries, taken as a whole, from that set forth in the Prospectus.</w:t>
      </w:r>
    </w:p>
    <w:p>
      <w:pPr>
        <w:spacing w:after="0" w:line="175" w:lineRule="exact"/>
        <w:rPr>
          <w:rFonts w:ascii="Times New Roman" w:cs="Times New Roman" w:eastAsia="Times New Roman" w:hAnsi="Times New Roman"/>
          <w:sz w:val="18"/>
          <w:szCs w:val="18"/>
          <w:color w:val="auto"/>
        </w:rPr>
      </w:pPr>
    </w:p>
    <w:p>
      <w:pPr>
        <w:jc w:val="both"/>
        <w:ind w:left="372" w:hanging="372"/>
        <w:spacing w:after="0" w:line="261" w:lineRule="auto"/>
        <w:tabs>
          <w:tab w:leader="none" w:pos="372"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Placement Shares registered pursuant to the Registration Statement except as have been validly waived or complied with in connection with the issuance and sale of the Placement Shares contemplated hereby.</w:t>
      </w:r>
    </w:p>
    <w:p>
      <w:pPr>
        <w:spacing w:after="0" w:line="179" w:lineRule="exact"/>
        <w:rPr>
          <w:rFonts w:ascii="Times New Roman" w:cs="Times New Roman" w:eastAsia="Times New Roman" w:hAnsi="Times New Roman"/>
          <w:sz w:val="18"/>
          <w:szCs w:val="18"/>
          <w:color w:val="auto"/>
        </w:rPr>
      </w:pPr>
    </w:p>
    <w:p>
      <w:pPr>
        <w:jc w:val="both"/>
        <w:ind w:left="372" w:hanging="372"/>
        <w:spacing w:after="0" w:line="252" w:lineRule="auto"/>
        <w:tabs>
          <w:tab w:leader="none" w:pos="372"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Information</w:t>
      </w:r>
      <w:r>
        <w:rPr>
          <w:rFonts w:ascii="Times New Roman" w:cs="Times New Roman" w:eastAsia="Times New Roman" w:hAnsi="Times New Roman"/>
          <w:sz w:val="18"/>
          <w:szCs w:val="18"/>
          <w:color w:val="auto"/>
        </w:rPr>
        <w:t>. The consolidated financial statements included in or incorporated by reference into each of the Registration Statement and the Prospectus, together with the related schedules and notes thereto, comply as to form in all material respects with the applicable accounting requirements of the Securities Act and present fairly in all material respects the consolidated financial position of the Company and its Subsidiaries as of the dates shown and its results of operations and cash flows for the periods shown, and such financial statements have been prepared in conformity with generally accepted accounting principles in the United States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applied on a consistent basis throughout the periods covered thereby except for any normal year-end adjustments in the Company’s quarterly financial statements. The other financial information included in or incorporated by refence into each of the Registration Statement and the Prospectus comply with the requirements of Regulation S-X of the Securities Act, including, without limitation, Article 11 thereof, fairly present the information set forth herein,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There are no financial statements (historical or pro forma) that are required to be included or incorporated by reference in the Registration Statement or the Prospectus that are not included or incorporated by reference therein as required. The Company and the Subsidiaries do not have any material liabilities or obligations, direct or contingent (including any off-balance sheet obligations), not disclosed in the Registration Statement and the Prospectus. All disclosures contained in the Registration Statement or the Prospectus that contain “non-GAAP financial measures” (as such term is defined by the rules and regulations of the Commission) comply, in all material respects, with Regulation G under the Exchange Act and Item 10 of Regulation S-K under the Securities Act, to the extent applicable. The statistical, industry-related and market-related data included in each of the Registration Statement and the Prospectus are based on or derived from sources which the Company reasonably and in good faith believes are reliable and accurate and such data is consistent with the sources from which they are derived, in each case in all material respects and the Company has obtained the written consent to the use of such data from such sources to the extent required. To the Company’s knowledge, no person who has been suspended or barred from being associated with a registered public accounting firm, or who has failed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1010920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82" w:right="339" w:bottom="1440" w:gutter="0" w:footer="0" w:header="0"/>
        </w:sectPr>
      </w:pPr>
    </w:p>
    <w:bookmarkStart w:id="200" w:name="page201"/>
    <w:bookmarkEnd w:id="200"/>
    <w:p>
      <w:pPr>
        <w:jc w:val="both"/>
        <w:ind w:left="372"/>
        <w:spacing w:after="0" w:line="268" w:lineRule="auto"/>
        <w:rPr>
          <w:sz w:val="20"/>
          <w:szCs w:val="20"/>
          <w:color w:val="auto"/>
        </w:rPr>
      </w:pPr>
      <w:r>
        <w:rPr>
          <w:rFonts w:ascii="Times New Roman" w:cs="Times New Roman" w:eastAsia="Times New Roman" w:hAnsi="Times New Roman"/>
          <w:sz w:val="18"/>
          <w:szCs w:val="18"/>
          <w:color w:val="auto"/>
        </w:rPr>
        <w:t>comply with any sanction pursuant to Rule 5300 promulgated by the Public Company Accounting Oversight Board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has participated in or otherwise aided the preparation of, or audited, the financial statements, supporting schedules or other financial data filed with the Commission as a part of the Registration Statement and the Prospectus.</w:t>
      </w:r>
    </w:p>
    <w:p>
      <w:pPr>
        <w:spacing w:after="0" w:line="175" w:lineRule="exact"/>
        <w:rPr>
          <w:sz w:val="20"/>
          <w:szCs w:val="20"/>
          <w:color w:val="auto"/>
        </w:rPr>
      </w:pPr>
    </w:p>
    <w:p>
      <w:pPr>
        <w:jc w:val="both"/>
        <w:ind w:left="372" w:hanging="372"/>
        <w:spacing w:after="0" w:line="254" w:lineRule="auto"/>
        <w:tabs>
          <w:tab w:leader="none" w:pos="372"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Litigation</w:t>
      </w:r>
      <w:r>
        <w:rPr>
          <w:rFonts w:ascii="Times New Roman" w:cs="Times New Roman" w:eastAsia="Times New Roman" w:hAnsi="Times New Roman"/>
          <w:sz w:val="18"/>
          <w:szCs w:val="18"/>
          <w:color w:val="auto"/>
        </w:rPr>
        <w:t>. There are no legal or governmental proceedings pending or, to the knowledge of the Company, threatened to which the Company or any of its Subsidiaries is a party or to which any of the properties of the Company or any of its Subsidiaries is subject (i) other than proceedings accurately described in all material respects in each of the Registration Statement and the Prospectus and proceedings that would not reasonably be expected to, singly or in the aggregate, have a Material Adverse Effect on the Company and its Subsidiaries, taken as a whole, or on the power or ability of the Company to perform its obligations under this Agreement or to consummate the transactions contemplated by each of the Registration Statement and the Prospectus or (ii) that are required to be described in the Registration Statement or the Prospectus and are not so described in all material respects; and there are no statutes, regulations, contracts or other documents that are required to be described in the Registration Statement or the Prospectus or to be filed as exhibits to the Registration Statement that are not described in all material respects or filed as required.</w:t>
      </w:r>
    </w:p>
    <w:p>
      <w:pPr>
        <w:spacing w:after="0" w:line="191" w:lineRule="exact"/>
        <w:rPr>
          <w:rFonts w:ascii="Times New Roman" w:cs="Times New Roman" w:eastAsia="Times New Roman" w:hAnsi="Times New Roman"/>
          <w:sz w:val="18"/>
          <w:szCs w:val="18"/>
          <w:color w:val="auto"/>
        </w:rPr>
      </w:pPr>
    </w:p>
    <w:p>
      <w:pPr>
        <w:jc w:val="both"/>
        <w:ind w:left="372" w:hanging="372"/>
        <w:spacing w:after="0" w:line="256" w:lineRule="auto"/>
        <w:tabs>
          <w:tab w:leader="none" w:pos="372"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Public Accounting Firm</w:t>
      </w:r>
      <w:r>
        <w:rPr>
          <w:rFonts w:ascii="Times New Roman" w:cs="Times New Roman" w:eastAsia="Times New Roman" w:hAnsi="Times New Roman"/>
          <w:sz w:val="18"/>
          <w:szCs w:val="18"/>
          <w:color w:val="auto"/>
        </w:rPr>
        <w:t>. Ernst &amp; Young LLP, who have certified certain financial statements of the Company and its Subsidiaries and delivered its report with respect to the audited consolidated financial statements and schedules filed with the Commission as part of the Registration Statement and included in each of the Registration Statement and the Prospectus, is an independent registered public accounting firm with respect to the Company within the meaning of the Securities Act and the applicable rules and regulations thereunder adopted by the Commission and the PCAOB. Ernst &amp; Young LLP has not been engaged by the Company to perform any “prohibited activities” or provided to the Company any “non-audit services” (as defined in Section 10A of the Exchange Act).</w:t>
      </w:r>
    </w:p>
    <w:p>
      <w:pPr>
        <w:spacing w:after="0" w:line="187" w:lineRule="exact"/>
        <w:rPr>
          <w:rFonts w:ascii="Times New Roman" w:cs="Times New Roman" w:eastAsia="Times New Roman" w:hAnsi="Times New Roman"/>
          <w:sz w:val="18"/>
          <w:szCs w:val="18"/>
          <w:color w:val="auto"/>
        </w:rPr>
      </w:pPr>
    </w:p>
    <w:p>
      <w:pPr>
        <w:jc w:val="both"/>
        <w:ind w:left="372" w:hanging="372"/>
        <w:spacing w:after="0" w:line="266" w:lineRule="auto"/>
        <w:tabs>
          <w:tab w:leader="none" w:pos="372"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There are no transfer taxes or other similar fees or charges under federal law, the laws of any state, any foreign law, or any political subdivision thereof, required to be paid in connection with the execution and delivery of this Agreement or the issuance by the Company or sale by the Company of the Placement Shares.</w:t>
      </w:r>
    </w:p>
    <w:p>
      <w:pPr>
        <w:spacing w:after="0" w:line="175" w:lineRule="exact"/>
        <w:rPr>
          <w:rFonts w:ascii="Times New Roman" w:cs="Times New Roman" w:eastAsia="Times New Roman" w:hAnsi="Times New Roman"/>
          <w:sz w:val="18"/>
          <w:szCs w:val="18"/>
          <w:color w:val="auto"/>
        </w:rPr>
      </w:pPr>
    </w:p>
    <w:p>
      <w:pPr>
        <w:jc w:val="both"/>
        <w:ind w:left="372" w:hanging="372"/>
        <w:spacing w:after="0" w:line="261" w:lineRule="auto"/>
        <w:tabs>
          <w:tab w:leader="none" w:pos="372"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Disputes</w:t>
      </w:r>
      <w:r>
        <w:rPr>
          <w:rFonts w:ascii="Times New Roman" w:cs="Times New Roman" w:eastAsia="Times New Roman" w:hAnsi="Times New Roman"/>
          <w:sz w:val="18"/>
          <w:szCs w:val="18"/>
          <w:color w:val="auto"/>
        </w:rPr>
        <w:t>. 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could, singly or in the aggregate, have a Material Adverse Effect on the Company and its Subsidiaries, taken as a whole.</w:t>
      </w:r>
    </w:p>
    <w:p>
      <w:pPr>
        <w:spacing w:after="0" w:line="179" w:lineRule="exact"/>
        <w:rPr>
          <w:rFonts w:ascii="Times New Roman" w:cs="Times New Roman" w:eastAsia="Times New Roman" w:hAnsi="Times New Roman"/>
          <w:sz w:val="18"/>
          <w:szCs w:val="18"/>
          <w:color w:val="auto"/>
        </w:rPr>
      </w:pPr>
    </w:p>
    <w:p>
      <w:pPr>
        <w:jc w:val="both"/>
        <w:ind w:left="372" w:hanging="372"/>
        <w:spacing w:after="0" w:line="256" w:lineRule="auto"/>
        <w:tabs>
          <w:tab w:leader="none" w:pos="372"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its Subsidiaries are insured by insurers of recognized financial responsibility against such losses and risks and in such amounts as are prudent and customary in the businesses in which they are engaged; neither the Company nor its Subsidiaries has been refused any insurance coverage sought or applied for; and neither the Company nor its Subsidiaries has any reason to believe that it will not be able to renew its existing insurance coverage as and when such coverage expires or to obtain similar coverage from similar insurers as may be necessary to continue its business at a cost that would not reasonably be expected to, singly or in the aggregate, have a Material Adverse Effect on the Company and its Subsidiaries, taken as a whole.</w:t>
      </w:r>
    </w:p>
    <w:p>
      <w:pPr>
        <w:spacing w:after="0" w:line="187" w:lineRule="exact"/>
        <w:rPr>
          <w:rFonts w:ascii="Times New Roman" w:cs="Times New Roman" w:eastAsia="Times New Roman" w:hAnsi="Times New Roman"/>
          <w:sz w:val="18"/>
          <w:szCs w:val="18"/>
          <w:color w:val="auto"/>
        </w:rPr>
      </w:pPr>
    </w:p>
    <w:p>
      <w:pPr>
        <w:jc w:val="both"/>
        <w:ind w:left="372" w:hanging="372"/>
        <w:spacing w:after="0" w:line="255" w:lineRule="auto"/>
        <w:tabs>
          <w:tab w:leader="none" w:pos="372"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Real and Personal Property</w:t>
      </w:r>
      <w:r>
        <w:rPr>
          <w:rFonts w:ascii="Times New Roman" w:cs="Times New Roman" w:eastAsia="Times New Roman" w:hAnsi="Times New Roman"/>
          <w:sz w:val="18"/>
          <w:szCs w:val="18"/>
          <w:color w:val="auto"/>
        </w:rPr>
        <w:t>. The Company and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do not materially affect the value of such property and do not interfere in any material respect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in any material respect with the use made and proposed to be made of such property and buildings by the Company and its Subsidiaries.</w:t>
      </w:r>
    </w:p>
    <w:p>
      <w:pPr>
        <w:spacing w:after="0" w:line="188" w:lineRule="exact"/>
        <w:rPr>
          <w:rFonts w:ascii="Times New Roman" w:cs="Times New Roman" w:eastAsia="Times New Roman" w:hAnsi="Times New Roman"/>
          <w:sz w:val="18"/>
          <w:szCs w:val="18"/>
          <w:color w:val="auto"/>
        </w:rPr>
      </w:pPr>
    </w:p>
    <w:p>
      <w:pPr>
        <w:ind w:left="372" w:hanging="372"/>
        <w:spacing w:after="0" w:line="282" w:lineRule="auto"/>
        <w:tabs>
          <w:tab w:leader="none" w:pos="372"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 and Permits</w:t>
      </w:r>
      <w:r>
        <w:rPr>
          <w:rFonts w:ascii="Times New Roman" w:cs="Times New Roman" w:eastAsia="Times New Roman" w:hAnsi="Times New Roman"/>
          <w:sz w:val="18"/>
          <w:szCs w:val="18"/>
          <w:color w:val="auto"/>
        </w:rPr>
        <w:t>. The Company and its Subsidiaries possess and are operating in material compliance with all certificates, authorizations and permits issued by the appropriate federal, state or foreign regulatory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993140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78" w:right="339" w:bottom="1440" w:gutter="0" w:footer="0" w:header="0"/>
        </w:sectPr>
      </w:pPr>
    </w:p>
    <w:bookmarkStart w:id="201" w:name="page202"/>
    <w:bookmarkEnd w:id="201"/>
    <w:p>
      <w:pPr>
        <w:jc w:val="both"/>
        <w:ind w:left="372"/>
        <w:spacing w:after="0" w:line="261" w:lineRule="auto"/>
        <w:rPr>
          <w:sz w:val="20"/>
          <w:szCs w:val="20"/>
          <w:color w:val="auto"/>
        </w:rPr>
      </w:pPr>
      <w:r>
        <w:rPr>
          <w:rFonts w:ascii="Times New Roman" w:cs="Times New Roman" w:eastAsia="Times New Roman" w:hAnsi="Times New Roman"/>
          <w:sz w:val="18"/>
          <w:szCs w:val="18"/>
          <w:color w:val="auto"/>
        </w:rPr>
        <w:t>necessary to conduct their respective businesses as described in the Registration Statement and the Prospectus, and neither the Company nor its Subsidiaries has received any written notice of proceedings relating to the revocation or modification of, or material non-compliance with, any such material certificate, authorization or permit which, singly or in the aggregate, if the subject of an unfavorable decision, ruling or finding, would have a Material Adverse Effect on the Company and its Subsidiaries, taken as a whole.</w:t>
      </w:r>
    </w:p>
    <w:p>
      <w:pPr>
        <w:spacing w:after="0" w:line="180" w:lineRule="exact"/>
        <w:rPr>
          <w:sz w:val="20"/>
          <w:szCs w:val="20"/>
          <w:color w:val="auto"/>
        </w:rPr>
      </w:pPr>
    </w:p>
    <w:p>
      <w:pPr>
        <w:jc w:val="both"/>
        <w:ind w:left="372" w:hanging="372"/>
        <w:spacing w:after="0" w:line="254" w:lineRule="auto"/>
        <w:tabs>
          <w:tab w:leader="none" w:pos="372"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w:t>
      </w:r>
      <w:r>
        <w:rPr>
          <w:rFonts w:ascii="Times New Roman" w:cs="Times New Roman" w:eastAsia="Times New Roman" w:hAnsi="Times New Roman"/>
          <w:sz w:val="18"/>
          <w:szCs w:val="18"/>
          <w:color w:val="auto"/>
        </w:rPr>
        <w:t>. 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existing assets at reasonable intervals and appropriate action is taken with respect to any differences. Except as disclosed in the Registration Statement, and the Prospectus, since the end of the Company’s most recent audited fiscal year, there has been (x) no material weakness in the Company’s internal control over financial reporting (whether or not remediated) and (y) no change in the Company’s internal control over financial reporting that has materially affected, or is reasonably likely to materially affect, the Company’s internal control over financial reporting.</w:t>
      </w:r>
    </w:p>
    <w:p>
      <w:pPr>
        <w:spacing w:after="0" w:line="191" w:lineRule="exact"/>
        <w:rPr>
          <w:rFonts w:ascii="Times New Roman" w:cs="Times New Roman" w:eastAsia="Times New Roman" w:hAnsi="Times New Roman"/>
          <w:sz w:val="18"/>
          <w:szCs w:val="18"/>
          <w:color w:val="auto"/>
        </w:rPr>
      </w:pPr>
    </w:p>
    <w:p>
      <w:pPr>
        <w:jc w:val="both"/>
        <w:ind w:left="372" w:hanging="372"/>
        <w:spacing w:after="0" w:line="261" w:lineRule="auto"/>
        <w:tabs>
          <w:tab w:leader="none" w:pos="372"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Activities; Compliance with Regulation M</w:t>
      </w:r>
      <w:r>
        <w:rPr>
          <w:rFonts w:ascii="Times New Roman" w:cs="Times New Roman" w:eastAsia="Times New Roman" w:hAnsi="Times New Roman"/>
          <w:sz w:val="18"/>
          <w:szCs w:val="18"/>
          <w:color w:val="auto"/>
        </w:rPr>
        <w:t>. Neither the Company, nor any of its Subsidiaries, nor to the knowledge of the Company, any of its or their respective directors, officers or controlling persons has taken, directly or indirectly, without giving effect to any actions taken by the Agent,</w:t>
      </w:r>
    </w:p>
    <w:p>
      <w:pPr>
        <w:jc w:val="both"/>
        <w:ind w:left="372"/>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action designed to or that might constitute or reasonably be expected to cause or result in, under the Exchange Act or otherwise, stabilization or manipulation of the price of any security of the Company to facilitate the sale or resale of the Placement Shares or (ii) any action designed to or that might constitute or reasonably be expected to cause or result in a violation of Regulation M under the Exchange Act (“</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left="372" w:hanging="372"/>
        <w:spacing w:after="0" w:line="253" w:lineRule="auto"/>
        <w:tabs>
          <w:tab w:leader="none" w:pos="372"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 There are no costs or liabilities associated with Environmental Laws (including, without limitation, any capital or operating expenditures required for clean 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w:t>
      </w:r>
    </w:p>
    <w:p>
      <w:pPr>
        <w:spacing w:after="0" w:line="194" w:lineRule="exact"/>
        <w:rPr>
          <w:rFonts w:ascii="Times New Roman" w:cs="Times New Roman" w:eastAsia="Times New Roman" w:hAnsi="Times New Roman"/>
          <w:sz w:val="18"/>
          <w:szCs w:val="18"/>
          <w:color w:val="auto"/>
        </w:rPr>
      </w:pPr>
    </w:p>
    <w:p>
      <w:pPr>
        <w:jc w:val="both"/>
        <w:ind w:left="372" w:hanging="372"/>
        <w:spacing w:after="0" w:line="253" w:lineRule="auto"/>
        <w:tabs>
          <w:tab w:leader="none" w:pos="372"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None of the following events has occurred or exists: (i) a failure to fulfill the obligations, if any, under the minimum funding standards of Section 302 of the United States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and the regulations and published interpretations thereunder with respect to a Plan that is required to be funded, determined without regard to any waiver of such obligations or extension of any amortization period that would reasonably be expected to have a Material Adverse Effect;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or its Subsidiaries that would reasonably be expected to have a Material Adverse Effect; (iii) any breach of any contractual obligation, or any violation of law or applicable qualification standards, with respect to the employment or compensation of employees by the Company or its Subsidiaries that would reasonably be expected to have a Material Adverse Effect. None of the following events has occurred or is reasonably likely to occur: (i) a material increase in the aggregate amount of contributions required to be made to all Plans in the current fiscal year of the Company and its Subsidiaries compared to the amount of such contributions made in the most recently completed fiscal year of the Company and its Subsidiaries; (ii) a material increase in the “accumulated post-retirement benefit obligations” (within the meaning of Statement of Financial Accounting Standards 106) of the Company and its Subsidiaries compared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1009650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82" w:right="339" w:bottom="1440" w:gutter="0" w:footer="0" w:header="0"/>
        </w:sectPr>
      </w:pPr>
    </w:p>
    <w:bookmarkStart w:id="202" w:name="page203"/>
    <w:bookmarkEnd w:id="202"/>
    <w:p>
      <w:pPr>
        <w:jc w:val="both"/>
        <w:ind w:left="372"/>
        <w:spacing w:after="0" w:line="258" w:lineRule="auto"/>
        <w:rPr>
          <w:sz w:val="20"/>
          <w:szCs w:val="20"/>
          <w:color w:val="auto"/>
        </w:rPr>
      </w:pPr>
      <w:r>
        <w:rPr>
          <w:rFonts w:ascii="Times New Roman" w:cs="Times New Roman" w:eastAsia="Times New Roman" w:hAnsi="Times New Roman"/>
          <w:sz w:val="18"/>
          <w:szCs w:val="18"/>
          <w:color w:val="auto"/>
        </w:rPr>
        <w:t>the amount of such obligations in the most recently completed fiscal year of the Company and its Subsidiaries; (iii) any event or condition giving rise to a liability under Title IV of ERISA that would reasonably be expected to have a Material Adverse Effect; or (iv) the filing of a claim by one or more employees or former employees of the Company or any of its Subsidiaries related to their employment that would reasonably be expected to have a Material Adverse Effect. For purposes of this paragraph, the term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a plan (within the meaning of Section 3(3) of ERISA) subject to Title IV of ERISA with respect to which the Company or any of its Subsidiaries may have any liability.</w:t>
      </w:r>
    </w:p>
    <w:p>
      <w:pPr>
        <w:spacing w:after="0" w:line="183" w:lineRule="exact"/>
        <w:rPr>
          <w:sz w:val="20"/>
          <w:szCs w:val="20"/>
          <w:color w:val="auto"/>
        </w:rPr>
      </w:pPr>
    </w:p>
    <w:p>
      <w:pPr>
        <w:jc w:val="both"/>
        <w:ind w:left="372" w:hanging="372"/>
        <w:spacing w:after="0" w:line="258" w:lineRule="auto"/>
        <w:tabs>
          <w:tab w:leader="none" w:pos="37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w:t>
      </w:r>
      <w:r>
        <w:rPr>
          <w:rFonts w:ascii="Times New Roman" w:cs="Times New Roman" w:eastAsia="Times New Roman" w:hAnsi="Times New Roman"/>
          <w:sz w:val="18"/>
          <w:szCs w:val="18"/>
          <w:color w:val="auto"/>
        </w:rPr>
        <w:t>. The Company has taken all necessary actions to ensure that it is in compliance with all applicable provisions of the Sarbanes-Oxley Act of 2002 and the rules and regulations promulgated in connection therewith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that are currently in effect and with which the Company is required to comply. There is and has been no material failure on the part of the Company or, to the knowledge of the Company, any of the Company’s directors or officers, in their capacities as such, to comply with any applicable provision of the Sarbanes-Oxley Act, including Section 402 related to loans and Sections 302 and 906 related to certifications.</w:t>
      </w:r>
    </w:p>
    <w:p>
      <w:pPr>
        <w:spacing w:after="0" w:line="183" w:lineRule="exact"/>
        <w:rPr>
          <w:rFonts w:ascii="Times New Roman" w:cs="Times New Roman" w:eastAsia="Times New Roman" w:hAnsi="Times New Roman"/>
          <w:sz w:val="18"/>
          <w:szCs w:val="18"/>
          <w:color w:val="auto"/>
        </w:rPr>
      </w:pPr>
    </w:p>
    <w:p>
      <w:pPr>
        <w:jc w:val="both"/>
        <w:ind w:left="372" w:hanging="372"/>
        <w:spacing w:after="0" w:line="253" w:lineRule="auto"/>
        <w:tabs>
          <w:tab w:leader="none" w:pos="37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Improper Practices</w:t>
      </w:r>
      <w:r>
        <w:rPr>
          <w:rFonts w:ascii="Times New Roman" w:cs="Times New Roman" w:eastAsia="Times New Roman" w:hAnsi="Times New Roman"/>
          <w:sz w:val="18"/>
          <w:szCs w:val="18"/>
          <w:color w:val="auto"/>
        </w:rPr>
        <w:t>. (i) None of the Company or any of its Subsidiaries or affiliates, or any director, officer, or employee thereof, or, to the Company’s knowledge, any agent or representative of the Company or of any of its Subsidiaries or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in order to influence official action, or to any person in violation of any applicable anti-corruption laws; (ii) the Company and each of its Subsidiaries and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91" w:lineRule="exact"/>
        <w:rPr>
          <w:rFonts w:ascii="Times New Roman" w:cs="Times New Roman" w:eastAsia="Times New Roman" w:hAnsi="Times New Roman"/>
          <w:sz w:val="18"/>
          <w:szCs w:val="18"/>
          <w:color w:val="auto"/>
        </w:rPr>
      </w:pPr>
    </w:p>
    <w:p>
      <w:pPr>
        <w:jc w:val="both"/>
        <w:ind w:left="372" w:hanging="372"/>
        <w:spacing w:after="0" w:line="254" w:lineRule="auto"/>
        <w:tabs>
          <w:tab w:leader="none" w:pos="37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Operations</w:t>
      </w:r>
      <w:r>
        <w:rPr>
          <w:rFonts w:ascii="Times New Roman" w:cs="Times New Roman" w:eastAsia="Times New Roman" w:hAnsi="Times New Roman"/>
          <w:sz w:val="18"/>
          <w:szCs w:val="18"/>
          <w:color w:val="auto"/>
        </w:rPr>
        <w:t>. The operations of the Company and each of its Subsidiaries are and have been conducted at all times in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191" w:lineRule="exact"/>
        <w:rPr>
          <w:rFonts w:ascii="Times New Roman" w:cs="Times New Roman" w:eastAsia="Times New Roman" w:hAnsi="Times New Roman"/>
          <w:sz w:val="18"/>
          <w:szCs w:val="18"/>
          <w:color w:val="auto"/>
        </w:rPr>
      </w:pPr>
    </w:p>
    <w:p>
      <w:pPr>
        <w:jc w:val="both"/>
        <w:ind w:left="372" w:hanging="372"/>
        <w:spacing w:after="0" w:line="266" w:lineRule="auto"/>
        <w:tabs>
          <w:tab w:leader="none" w:pos="37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(i) None of the Company, any of its Subsidiaries, or any director, officer, or employee thereof, or, to the Company’s knowledge, any agent, affiliate or representative of the Company or any of its Subsidiaries,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that is, or is owned or, where relevant under applicable Sanctions, controlled by one or more Persons that are:</w:t>
      </w:r>
    </w:p>
    <w:p>
      <w:pPr>
        <w:spacing w:after="0" w:line="176" w:lineRule="exact"/>
        <w:rPr>
          <w:sz w:val="20"/>
          <w:szCs w:val="20"/>
          <w:color w:val="auto"/>
        </w:rPr>
      </w:pPr>
    </w:p>
    <w:p>
      <w:pPr>
        <w:jc w:val="both"/>
        <w:ind w:left="372" w:firstLine="2995"/>
        <w:spacing w:after="0" w:line="266" w:lineRule="auto"/>
        <w:rPr>
          <w:sz w:val="20"/>
          <w:szCs w:val="20"/>
          <w:color w:val="auto"/>
        </w:rPr>
      </w:pPr>
      <w:r>
        <w:rPr>
          <w:rFonts w:ascii="Times New Roman" w:cs="Times New Roman" w:eastAsia="Times New Roman" w:hAnsi="Times New Roman"/>
          <w:sz w:val="18"/>
          <w:szCs w:val="18"/>
          <w:color w:val="auto"/>
        </w:rPr>
        <w:t>(A)the subject of any sanctions administered or enforced by the United States Government (including the U.S. Department of the Treasury’s Office of Foreign Assets Control and the U.S. Department of State),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or</w:t>
      </w:r>
    </w:p>
    <w:p>
      <w:pPr>
        <w:spacing w:after="0" w:line="176" w:lineRule="exact"/>
        <w:rPr>
          <w:sz w:val="20"/>
          <w:szCs w:val="20"/>
          <w:color w:val="auto"/>
        </w:rPr>
      </w:pPr>
    </w:p>
    <w:p>
      <w:pPr>
        <w:jc w:val="both"/>
        <w:ind w:left="372" w:firstLine="2995"/>
        <w:spacing w:after="0" w:line="282" w:lineRule="auto"/>
        <w:rPr>
          <w:sz w:val="20"/>
          <w:szCs w:val="20"/>
          <w:color w:val="auto"/>
        </w:rPr>
      </w:pPr>
      <w:r>
        <w:rPr>
          <w:rFonts w:ascii="Times New Roman" w:cs="Times New Roman" w:eastAsia="Times New Roman" w:hAnsi="Times New Roman"/>
          <w:sz w:val="18"/>
          <w:szCs w:val="18"/>
          <w:color w:val="auto"/>
        </w:rPr>
        <w:t>(B)located, organized or resident in a country or territory that is the subject of Sanctions (including, without limitation, Crimea, the so-called Donetsk People’s Republic, the so-called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993140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82" w:right="339" w:bottom="1440" w:gutter="0" w:footer="0" w:header="0"/>
        </w:sectPr>
      </w:pPr>
    </w:p>
    <w:bookmarkStart w:id="203" w:name="page204"/>
    <w:bookmarkEnd w:id="203"/>
    <w:p>
      <w:pPr>
        <w:jc w:val="center"/>
        <w:ind w:right="20"/>
        <w:spacing w:after="0"/>
        <w:rPr>
          <w:sz w:val="20"/>
          <w:szCs w:val="20"/>
          <w:color w:val="auto"/>
        </w:rPr>
      </w:pPr>
      <w:r>
        <w:rPr>
          <w:rFonts w:ascii="Times New Roman" w:cs="Times New Roman" w:eastAsia="Times New Roman" w:hAnsi="Times New Roman"/>
          <w:sz w:val="18"/>
          <w:szCs w:val="18"/>
          <w:color w:val="auto"/>
        </w:rPr>
        <w:t>Luhansk People’s Republic, the non-government controlled areas of Zaporizhzhia and Kherson regions of Ukraine, Cuba, Iran and North Korea).</w:t>
      </w:r>
    </w:p>
    <w:p>
      <w:pPr>
        <w:spacing w:after="0" w:line="225" w:lineRule="exact"/>
        <w:rPr>
          <w:sz w:val="20"/>
          <w:szCs w:val="20"/>
          <w:color w:val="auto"/>
        </w:rPr>
      </w:pPr>
    </w:p>
    <w:p>
      <w:pPr>
        <w:ind w:left="380" w:right="20" w:firstLine="2248"/>
        <w:spacing w:after="0" w:line="282" w:lineRule="auto"/>
        <w:tabs>
          <w:tab w:leader="none" w:pos="3061"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162" w:lineRule="exact"/>
        <w:rPr>
          <w:sz w:val="20"/>
          <w:szCs w:val="20"/>
          <w:color w:val="auto"/>
        </w:rPr>
      </w:pPr>
    </w:p>
    <w:p>
      <w:pPr>
        <w:jc w:val="both"/>
        <w:ind w:left="380" w:firstLine="2995"/>
        <w:spacing w:after="0" w:line="266" w:lineRule="auto"/>
        <w:rPr>
          <w:sz w:val="20"/>
          <w:szCs w:val="20"/>
          <w:color w:val="auto"/>
        </w:rPr>
      </w:pPr>
      <w:r>
        <w:rPr>
          <w:rFonts w:ascii="Times New Roman" w:cs="Times New Roman" w:eastAsia="Times New Roman" w:hAnsi="Times New Roman"/>
          <w:sz w:val="18"/>
          <w:szCs w:val="18"/>
          <w:color w:val="auto"/>
        </w:rPr>
        <w:t>(A)to fund or facilitate any activities or business of or with any Person or in any country or territory that, at the time of such funding or facilitation, is, or whose government is, the subject of Sanctions, except to the extent permitted for a Person required to comply with Sanctions;</w:t>
      </w:r>
    </w:p>
    <w:p>
      <w:pPr>
        <w:spacing w:after="0" w:line="17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(B)to knowingly fund or facilitate any money laundering or terrorist financing activities; or</w:t>
      </w:r>
    </w:p>
    <w:p>
      <w:pPr>
        <w:spacing w:after="0" w:line="225" w:lineRule="exact"/>
        <w:rPr>
          <w:sz w:val="20"/>
          <w:szCs w:val="20"/>
          <w:color w:val="auto"/>
        </w:rPr>
      </w:pPr>
    </w:p>
    <w:p>
      <w:pPr>
        <w:jc w:val="both"/>
        <w:ind w:left="380" w:firstLine="2995"/>
        <w:spacing w:after="0" w:line="266" w:lineRule="auto"/>
        <w:rPr>
          <w:sz w:val="20"/>
          <w:szCs w:val="20"/>
          <w:color w:val="auto"/>
        </w:rPr>
      </w:pPr>
      <w:r>
        <w:rPr>
          <w:rFonts w:ascii="Times New Roman" w:cs="Times New Roman" w:eastAsia="Times New Roman" w:hAnsi="Times New Roman"/>
          <w:sz w:val="18"/>
          <w:szCs w:val="18"/>
          <w:color w:val="auto"/>
        </w:rPr>
        <w:t>(C)in any other manner that will result in or reasonably cause a violation of any applicable anti-corruption laws, Anti-Money Laundering Laws or Sanctions by any Person (including any Person participating in the offering, whether as underwriter, advisor, investor or otherwise).</w:t>
      </w:r>
    </w:p>
    <w:p>
      <w:pPr>
        <w:spacing w:after="0" w:line="176" w:lineRule="exact"/>
        <w:rPr>
          <w:sz w:val="20"/>
          <w:szCs w:val="20"/>
          <w:color w:val="auto"/>
        </w:rPr>
      </w:pPr>
    </w:p>
    <w:p>
      <w:pPr>
        <w:jc w:val="both"/>
        <w:ind w:left="380" w:firstLine="2248"/>
        <w:spacing w:after="0" w:line="266" w:lineRule="auto"/>
        <w:tabs>
          <w:tab w:leader="none" w:pos="3061"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not knowingly engaged in, are not now knowingly engaged in, and will not engage in, any dealings or transactions with any Person, or in any country or territory, that at the time of the dealing or transaction is or was the subject of Sanctions, except to the extent permitted under applicable Sanctions.</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(i) The Company and its Subsidiaries own or have a license to all patents, inventions, copyrights, know how (including trade secrets and other unpatented and/or unpatentable proprietary or confidential information, systems or procedures), trademarks, service marks and trade names (collectively,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used in or reasonably necessary to the conduct of their businesses; (ii) to the Company’s knowledge, the Intellectual Property Rights owned by the Company and its Subsidiaries and the Intellectual Property Rights licensed to the Company and its Subsidiaries, are valid, subsisting and enforceable, and there is no pending or, to the knowledge of the Company or any of its Subsidiaries, threatened action, suit, proceeding or claim by others challenging the validity, scope or enforceability of any such Intellectual Property Rights; (iii) neither the Company nor any of its Subsidiaries has received any notice alleging any infringement, misappropriation or other violation of Intellectual Property Rights which, singly or in the aggregate, if the subject of an unfavorable decision, ruling or finding, would have a Material Adverse Effect on the Company and its Subsidiaries, taken as a whole; (iv) to the Company’s knowledge, no third party is infringing, misappropriating or otherwise violating, or has infringed, misappropriated or otherwise violated, any Intellectual Property Rights owned by the Company; (v) to the Company’s knowledge, the Company’s or any of its Subsidiaries’ products do not infringe or have not infringed any Intellectual Property Rights of a third party; to the Company’s knowledge, neither the Company nor any of its Subsidiaries misappropriates or otherwise violates, or has misappropriated or otherwise violated, any Intellectual Property Rights of a third party; (vi) all employees or contractors engaged in the development of Intellectual Property Rights on behalf of the Company or its Subsidiaries have executed or have an obligation to execute an invention assignment agreement whereby such employees or contractors presently assign all of their right, title and interest in and to such Intellectual Property Rights to the Company or the applicable subsidiary, and to the Company’s knowledge no such agreement has been breached or violated; and (vii) the Company and its Subsidiaries use, and have used, commercially reasonable efforts to appropriately maintain all information intended to be maintained as a trade secret.</w:t>
      </w:r>
    </w:p>
    <w:p>
      <w:pPr>
        <w:spacing w:after="0" w:line="193" w:lineRule="exact"/>
        <w:rPr>
          <w:rFonts w:ascii="Times New Roman" w:cs="Times New Roman" w:eastAsia="Times New Roman" w:hAnsi="Times New Roman"/>
          <w:sz w:val="18"/>
          <w:szCs w:val="18"/>
          <w:color w:val="auto"/>
        </w:rPr>
      </w:pPr>
    </w:p>
    <w:p>
      <w:pPr>
        <w:jc w:val="both"/>
        <w:ind w:left="380" w:hanging="372"/>
        <w:spacing w:after="0" w:line="255" w:lineRule="auto"/>
        <w:tabs>
          <w:tab w:leader="none" w:pos="3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Open Source</w:t>
      </w:r>
      <w:r>
        <w:rPr>
          <w:rFonts w:ascii="Times New Roman" w:cs="Times New Roman" w:eastAsia="Times New Roman" w:hAnsi="Times New Roman"/>
          <w:sz w:val="18"/>
          <w:szCs w:val="18"/>
          <w:color w:val="auto"/>
        </w:rPr>
        <w:t>. (i)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Times New Roman" w:cs="Times New Roman" w:eastAsia="Times New Roman" w:hAnsi="Times New Roman"/>
          <w:sz w:val="18"/>
          <w:szCs w:val="18"/>
          <w:b w:val="1"/>
          <w:bCs w:val="1"/>
          <w:color w:val="auto"/>
        </w:rPr>
        <w:t>Open Source Software</w:t>
      </w:r>
      <w:r>
        <w:rPr>
          <w:rFonts w:ascii="Times New Roman" w:cs="Times New Roman" w:eastAsia="Times New Roman" w:hAnsi="Times New Roman"/>
          <w:sz w:val="18"/>
          <w:szCs w:val="18"/>
          <w:color w:val="auto"/>
        </w:rPr>
        <w:t>”) in compliance with all license terms applicable to such Open Source Software; and (ii)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 (B) any software code or other technology owned by the Company or any of its Subsidiaries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7105015</wp:posOffset>
            </wp:positionH>
            <wp:positionV relativeFrom="paragraph">
              <wp:posOffset>-1128395</wp:posOffset>
            </wp:positionV>
            <wp:extent cx="2857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04" w:name="page205"/>
    <w:bookmarkEnd w:id="204"/>
    <w:p>
      <w:pPr>
        <w:ind w:left="372"/>
        <w:spacing w:after="0"/>
        <w:rPr>
          <w:sz w:val="20"/>
          <w:szCs w:val="20"/>
          <w:color w:val="auto"/>
        </w:rPr>
      </w:pPr>
      <w:r>
        <w:rPr>
          <w:rFonts w:ascii="Times New Roman" w:cs="Times New Roman" w:eastAsia="Times New Roman" w:hAnsi="Times New Roman"/>
          <w:sz w:val="18"/>
          <w:szCs w:val="18"/>
          <w:color w:val="auto"/>
        </w:rPr>
        <w:t>(1) disclosed or distributed in source code form, (2) licensed for the purpose of making derivative works or (3) redistributed at no charge.</w:t>
      </w:r>
    </w:p>
    <w:p>
      <w:pPr>
        <w:spacing w:after="0" w:line="225" w:lineRule="exact"/>
        <w:rPr>
          <w:sz w:val="20"/>
          <w:szCs w:val="20"/>
          <w:color w:val="auto"/>
        </w:rPr>
      </w:pPr>
    </w:p>
    <w:p>
      <w:pPr>
        <w:jc w:val="both"/>
        <w:ind w:left="372" w:hanging="372"/>
        <w:spacing w:after="0" w:line="256" w:lineRule="auto"/>
        <w:tabs>
          <w:tab w:leader="none" w:pos="372"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The Company and its Subsidiaries have complied and are presently in compliance in all material respects with their respective published privacy policies, contractual obligations, and applicable laws relating to the collection, use, transfer, import, export, storage, protection, disposal and disclosure by the Company or its Subsidiaries of personal, personally identifiable, or household regulated data (“</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Security Obligations</w:t>
      </w:r>
      <w:r>
        <w:rPr>
          <w:rFonts w:ascii="Times New Roman" w:cs="Times New Roman" w:eastAsia="Times New Roman" w:hAnsi="Times New Roman"/>
          <w:sz w:val="18"/>
          <w:szCs w:val="18"/>
          <w:color w:val="auto"/>
        </w:rPr>
        <w:t>,” and such data, “</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(ii) the Company has not received any notification of or complaint regarding any material non-compliance with any Data Security Obligations; and (iii) there is no action, suit or proceeding by or before any court or governmental agency, authority or body pending or, to the Company’s knowledge, threatened alleging non-compliance with any Data Security Obligations.</w:t>
      </w:r>
    </w:p>
    <w:p>
      <w:pPr>
        <w:spacing w:after="0" w:line="187" w:lineRule="exact"/>
        <w:rPr>
          <w:rFonts w:ascii="Times New Roman" w:cs="Times New Roman" w:eastAsia="Times New Roman" w:hAnsi="Times New Roman"/>
          <w:sz w:val="18"/>
          <w:szCs w:val="18"/>
          <w:color w:val="auto"/>
        </w:rPr>
      </w:pPr>
    </w:p>
    <w:p>
      <w:pPr>
        <w:jc w:val="both"/>
        <w:ind w:left="372" w:hanging="372"/>
        <w:spacing w:after="0" w:line="254" w:lineRule="auto"/>
        <w:tabs>
          <w:tab w:leader="none" w:pos="372"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Breaches</w:t>
      </w:r>
      <w:r>
        <w:rPr>
          <w:rFonts w:ascii="Times New Roman" w:cs="Times New Roman" w:eastAsia="Times New Roman" w:hAnsi="Times New Roman"/>
          <w:sz w:val="18"/>
          <w:szCs w:val="18"/>
          <w:color w:val="auto"/>
        </w:rPr>
        <w:t>. The Company and its Subsidiaries have taken all reasonable technical and organizational measures designed to protect the information technology systems and Data under the Company’s and any of its Subsidiaries’ control used in connection with the operation of the Company’s and its Subsidiaries’ businesses. Without limiting the foregoing, the Company and its Subsidiaries have used reasonable efforts to establish and maintain, and have established, maintained, implemented and complied with, reasonable information technology, information security, cyber security and data protection controls, policies and procedures that are designed to protect against and prevent breach, destruction, loss, unauthorized distribution, use, access, disablement, misappropriation or modification, or other compromise or misuse of or relating to any information technology system or Data used in connection with the operation of the Company’s and its Subsidiaries’ businesses (“</w:t>
      </w:r>
      <w:r>
        <w:rPr>
          <w:rFonts w:ascii="Times New Roman" w:cs="Times New Roman" w:eastAsia="Times New Roman" w:hAnsi="Times New Roman"/>
          <w:sz w:val="18"/>
          <w:szCs w:val="18"/>
          <w:b w:val="1"/>
          <w:bCs w:val="1"/>
          <w:color w:val="auto"/>
        </w:rPr>
        <w:t>Breach</w:t>
      </w:r>
      <w:r>
        <w:rPr>
          <w:rFonts w:ascii="Times New Roman" w:cs="Times New Roman" w:eastAsia="Times New Roman" w:hAnsi="Times New Roman"/>
          <w:sz w:val="18"/>
          <w:szCs w:val="18"/>
          <w:color w:val="auto"/>
        </w:rPr>
        <w:t>”). To the Company’s knowledge, there has been no such Breach, and the Company and its Subsidiaries have not been notified of and have no knowledge of any event or condition that would reasonably be expected to result in, any such Breach.</w:t>
      </w:r>
    </w:p>
    <w:p>
      <w:pPr>
        <w:spacing w:after="0" w:line="188" w:lineRule="exact"/>
        <w:rPr>
          <w:rFonts w:ascii="Times New Roman" w:cs="Times New Roman" w:eastAsia="Times New Roman" w:hAnsi="Times New Roman"/>
          <w:sz w:val="18"/>
          <w:szCs w:val="18"/>
          <w:color w:val="auto"/>
        </w:rPr>
      </w:pPr>
    </w:p>
    <w:p>
      <w:pPr>
        <w:jc w:val="both"/>
        <w:ind w:left="372" w:hanging="372"/>
        <w:spacing w:after="0" w:line="252" w:lineRule="auto"/>
        <w:tabs>
          <w:tab w:leader="none" w:pos="372"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Clinical Studies</w:t>
      </w:r>
      <w:r>
        <w:rPr>
          <w:rFonts w:ascii="Times New Roman" w:cs="Times New Roman" w:eastAsia="Times New Roman" w:hAnsi="Times New Roman"/>
          <w:sz w:val="18"/>
          <w:szCs w:val="18"/>
          <w:color w:val="auto"/>
        </w:rPr>
        <w:t>. The preclinical studies and tests and clinical trials conducted by or on behalf of the Company that are described in the Registration Statement and the Prospectus (the “</w:t>
      </w:r>
      <w:r>
        <w:rPr>
          <w:rFonts w:ascii="Times New Roman" w:cs="Times New Roman" w:eastAsia="Times New Roman" w:hAnsi="Times New Roman"/>
          <w:sz w:val="18"/>
          <w:szCs w:val="18"/>
          <w:b w:val="1"/>
          <w:bCs w:val="1"/>
          <w:color w:val="auto"/>
        </w:rPr>
        <w:t>Company Studies and Trials</w:t>
      </w:r>
      <w:r>
        <w:rPr>
          <w:rFonts w:ascii="Times New Roman" w:cs="Times New Roman" w:eastAsia="Times New Roman" w:hAnsi="Times New Roman"/>
          <w:sz w:val="18"/>
          <w:szCs w:val="18"/>
          <w:color w:val="auto"/>
        </w:rPr>
        <w:t>”) were and, if still pending, are being, conducted in all material respects in accordance with applicable laws, including, without limitation, the Federal Food, Drug, and Cosmetic Act (21 U.S.C. §§ 301 et seq.) and the rules and regulations promulgated thereunder; the descriptions of the results of the Company Studies and Trials contained in the Registration Statement and the Prospectus are accurate in all material respects; the Company has no knowledge of any other studies or trials not described in the Registration Statement and the Prospectus, the results of which are inconsistent with or reasonably call into question the results described or referred to in such documents when viewed in the context in which such results are described and the stage of development; and the Company has not received any written notices, correspondence or other written communication from the U.S.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or any foreign, state or local governmental body exercising comparable authority requiring the termination, suspension or material modification of any Company Studies and Trials, where such termination, suspension or material modification would reasonably be expected to have a Material Adverse Effect and, to the Company’s knowledge, there are no reasonable grounds for the same. To the Company’s knowledge, none of the Company Studies and Trials involved any investigator who has been disqualified as a clinical investigator by the FDA. To the Company’s knowledge, the manufacturing facilities and operations of its suppliers are operated in compliance in all material respects with all applicable statutes, rules, regulations and policies of the FDA and comparable regulatory agencies outside of the United States to which the Company is subject.</w:t>
      </w:r>
    </w:p>
    <w:p>
      <w:pPr>
        <w:spacing w:after="0" w:line="197" w:lineRule="exact"/>
        <w:rPr>
          <w:rFonts w:ascii="Times New Roman" w:cs="Times New Roman" w:eastAsia="Times New Roman" w:hAnsi="Times New Roman"/>
          <w:sz w:val="18"/>
          <w:szCs w:val="18"/>
          <w:color w:val="auto"/>
        </w:rPr>
      </w:pPr>
    </w:p>
    <w:p>
      <w:pPr>
        <w:jc w:val="both"/>
        <w:ind w:left="372" w:hanging="372"/>
        <w:spacing w:after="0" w:line="253" w:lineRule="auto"/>
        <w:tabs>
          <w:tab w:leader="none" w:pos="372"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Health Regulations</w:t>
      </w:r>
      <w:r>
        <w:rPr>
          <w:rFonts w:ascii="Times New Roman" w:cs="Times New Roman" w:eastAsia="Times New Roman" w:hAnsi="Times New Roman"/>
          <w:sz w:val="18"/>
          <w:szCs w:val="18"/>
          <w:color w:val="auto"/>
        </w:rPr>
        <w:t>. Except as described in the Registration Statement and the Prospectus, as applicable, the Company (i) is and at all times has been in material compliance with all local, state, federal, national and supranational statutes, rules and regulations applicable to the ownership, testing, development, manufacture, packaging, processing, use, storage, import, export or disposal of any product manufactured or distributed by the Company, including, without limitation, the Federal Food, Drug and Cosmetic Act (21 U.S.C. § 301 et seq.), and the federal Anti-kickback Statute (42 U.S.C. § 1320a-7b(b)), the regulations promulgated pursuant to such laws, and any successor government programs, and comparable state laws (collectively, the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except for such non-compliance as would not, individually or in the aggregate, have a Material Adverse Effect; (ii) has not received any written notice from any court or arbitrator or governmental or regulatory authority alleging or asserting non-compliance with any Applicable Laws or any licenses, exemptions, certificates, approvals, clearances, authorizations, permits and registrations required by any such Applicable Laws (“</w:t>
      </w:r>
      <w:r>
        <w:rPr>
          <w:rFonts w:ascii="Times New Roman" w:cs="Times New Roman" w:eastAsia="Times New Roman" w:hAnsi="Times New Roman"/>
          <w:sz w:val="18"/>
          <w:szCs w:val="18"/>
          <w:b w:val="1"/>
          <w:bCs w:val="1"/>
          <w:color w:val="auto"/>
        </w:rPr>
        <w:t>Authorizations</w:t>
      </w:r>
      <w:r>
        <w:rPr>
          <w:rFonts w:ascii="Times New Roman" w:cs="Times New Roman" w:eastAsia="Times New Roman" w:hAnsi="Times New Roman"/>
          <w:sz w:val="18"/>
          <w:szCs w:val="18"/>
          <w:color w:val="auto"/>
        </w:rPr>
        <w:t>”), except for such non-compliance as would not, individually or in the aggregate, have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1013460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82" w:right="339" w:bottom="1440" w:gutter="0" w:footer="0" w:header="0"/>
        </w:sectPr>
      </w:pPr>
    </w:p>
    <w:bookmarkStart w:id="205" w:name="page206"/>
    <w:bookmarkEnd w:id="205"/>
    <w:p>
      <w:pPr>
        <w:jc w:val="both"/>
        <w:ind w:left="372"/>
        <w:spacing w:after="0" w:line="252" w:lineRule="auto"/>
        <w:rPr>
          <w:sz w:val="20"/>
          <w:szCs w:val="20"/>
          <w:color w:val="auto"/>
        </w:rPr>
      </w:pPr>
      <w:r>
        <w:rPr>
          <w:rFonts w:ascii="Times New Roman" w:cs="Times New Roman" w:eastAsia="Times New Roman" w:hAnsi="Times New Roman"/>
          <w:sz w:val="18"/>
          <w:szCs w:val="18"/>
          <w:color w:val="auto"/>
        </w:rPr>
        <w:t>Material Adverse Effect; (iii) possesses all material Authorizations and such Authorizations are valid and in full force and effect and is not in violation of any term of any such Authorizations, except for such violations as would not, individually or in the aggregate, have a Material Adverse Effect; (iv) has not received written notice of any claim, action, suit, proceeding, hearing, enforcement, investigation, arbitration or other action from any court or arbitrator or governmental or regulatory authority alleging that any product operation or activity is in violation of any Applicable Laws or Authorizations nor, to the Company’s knowledge, is any such claim, action, suit, proceeding, hearing, enforcement, investigation, arbitration or other action threatened, except such as would not, individually or in the aggregate, have a Material Adverse Effect; (v) has not received written notice that any court or arbitrator or governmental or regulatory authority has taken, is taking or intends to take action to materially limit, suspend, materially modify or revoke any Authorizations nor, to the Company’s knowledge, is any such limitation, suspension, modification or revocation threatened, except such as would not, individually or in the aggregate, have a Material Adverse Effect; (vi) has filed, obtained, maintained or submitted all material reports, documents, forms, notices, applications, records and claims as required by any Applicable Laws or Authorizations and that all such reports, documents, forms, notices, applications, records and claims, and to the Company’s knowledge, were complete and accurate on the date filed in all material respects (or were corrected or supplemented by a subsequent submission); and (vii) to the Company’s knowledge, is not a party to any corporate integrity agreements, monitoring agreements, consent decrees, settlement orders, or similar agreements with or imposed by any governmental or regulatory authority.</w:t>
      </w:r>
    </w:p>
    <w:p>
      <w:pPr>
        <w:spacing w:after="0" w:line="197" w:lineRule="exact"/>
        <w:rPr>
          <w:sz w:val="20"/>
          <w:szCs w:val="20"/>
          <w:color w:val="auto"/>
        </w:rPr>
      </w:pPr>
    </w:p>
    <w:p>
      <w:pPr>
        <w:jc w:val="both"/>
        <w:ind w:left="372" w:hanging="373"/>
        <w:spacing w:after="0" w:line="254" w:lineRule="auto"/>
        <w:rPr>
          <w:sz w:val="20"/>
          <w:szCs w:val="20"/>
          <w:color w:val="auto"/>
        </w:rPr>
      </w:pPr>
      <w:r>
        <w:rPr>
          <w:rFonts w:ascii="Times New Roman" w:cs="Times New Roman" w:eastAsia="Times New Roman" w:hAnsi="Times New Roman"/>
          <w:sz w:val="18"/>
          <w:szCs w:val="18"/>
          <w:color w:val="auto"/>
        </w:rPr>
        <w:t>(mm)</w:t>
      </w:r>
      <w:r>
        <w:rPr>
          <w:rFonts w:ascii="Times New Roman" w:cs="Times New Roman" w:eastAsia="Times New Roman" w:hAnsi="Times New Roman"/>
          <w:sz w:val="18"/>
          <w:szCs w:val="18"/>
          <w:u w:val="single" w:color="auto"/>
          <w:color w:val="auto"/>
        </w:rPr>
        <w:t>FINRA Matters</w:t>
      </w:r>
      <w:r>
        <w:rPr>
          <w:rFonts w:ascii="Times New Roman" w:cs="Times New Roman" w:eastAsia="Times New Roman" w:hAnsi="Times New Roman"/>
          <w:sz w:val="18"/>
          <w:szCs w:val="18"/>
          <w:color w:val="auto"/>
        </w:rPr>
        <w:t>. The Company is not required to register as a “broker” or “dealer” in accordance with the provisions of the Exchange Act and does not, directly or indirectly through one or more intermediaries, control or have any other association with (within the meaning of Article I of the By-laws of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any member firm of FINRA. To the Company’s knowledge, no relationship, direct or indirect, exists between or among the Company, on the one hand, and the directors, officers or shareholders of the Company, on the other hand, which is required by the rules of FINRA to be described in the Registration Statement and the Prospectus, which is not so described. All of the information (including, but not limited to, information regarding affiliations, security ownership and trading activity) provided to the Agent or its counsel by the Company in connection with the filing to be made and other supplemental information to be provided to FINRA pursuant to FINRA Rule 5110 in connection with the transactions contemplated by this Agreement is true, complete and correct.</w:t>
      </w:r>
    </w:p>
    <w:p>
      <w:pPr>
        <w:spacing w:after="0" w:line="192" w:lineRule="exact"/>
        <w:rPr>
          <w:sz w:val="20"/>
          <w:szCs w:val="20"/>
          <w:color w:val="auto"/>
        </w:rPr>
      </w:pPr>
    </w:p>
    <w:p>
      <w:pPr>
        <w:jc w:val="both"/>
        <w:ind w:left="372" w:hanging="372"/>
        <w:spacing w:after="0" w:line="266" w:lineRule="auto"/>
        <w:tabs>
          <w:tab w:leader="none" w:pos="372"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Margin Rules</w:t>
      </w:r>
      <w:r>
        <w:rPr>
          <w:rFonts w:ascii="Times New Roman" w:cs="Times New Roman" w:eastAsia="Times New Roman" w:hAnsi="Times New Roman"/>
          <w:sz w:val="18"/>
          <w:szCs w:val="18"/>
          <w:color w:val="auto"/>
        </w:rPr>
        <w:t>. 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175" w:lineRule="exact"/>
        <w:rPr>
          <w:rFonts w:ascii="Times New Roman" w:cs="Times New Roman" w:eastAsia="Times New Roman" w:hAnsi="Times New Roman"/>
          <w:sz w:val="18"/>
          <w:szCs w:val="18"/>
          <w:color w:val="auto"/>
        </w:rPr>
      </w:pPr>
    </w:p>
    <w:p>
      <w:pPr>
        <w:jc w:val="both"/>
        <w:ind w:left="372" w:hanging="372"/>
        <w:spacing w:after="0" w:line="266" w:lineRule="auto"/>
        <w:tabs>
          <w:tab w:leader="none" w:pos="372"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 Independence</w:t>
      </w:r>
      <w:r>
        <w:rPr>
          <w:rFonts w:ascii="Times New Roman" w:cs="Times New Roman" w:eastAsia="Times New Roman" w:hAnsi="Times New Roman"/>
          <w:sz w:val="18"/>
          <w:szCs w:val="18"/>
          <w:color w:val="auto"/>
        </w:rPr>
        <w:t>. Each of the independent directors (or independent director nominees, once appointed, if applicable) named in the Registration Statement and Prospectus satisfies the independence standards established by the Exchange and, with respect to members of the Company’s audit committee, the enhanced independence standards contained in Rule 10A-3(b)(1) promulgated by the Commission under the Exchange Act.</w:t>
      </w:r>
    </w:p>
    <w:p>
      <w:pPr>
        <w:spacing w:after="0" w:line="175" w:lineRule="exact"/>
        <w:rPr>
          <w:rFonts w:ascii="Times New Roman" w:cs="Times New Roman" w:eastAsia="Times New Roman" w:hAnsi="Times New Roman"/>
          <w:sz w:val="18"/>
          <w:szCs w:val="18"/>
          <w:color w:val="auto"/>
        </w:rPr>
      </w:pPr>
    </w:p>
    <w:p>
      <w:pPr>
        <w:jc w:val="both"/>
        <w:ind w:left="372" w:hanging="372"/>
        <w:spacing w:after="0" w:line="256" w:lineRule="auto"/>
        <w:tabs>
          <w:tab w:leader="none" w:pos="372"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Each financial or operational projection or other “forward-looking statement” (as defined by Section 27A of the Securities Act or Section 21E of the Exchange Act) contained in the Registration Statement or the Prospectus (i) was so included by the Company in good faith and with reasonable basis after due consideration by the Company of the underlying assumptions, estimates and other applicable facts and circumstances and (ii) as required, is accompanied by meaningful cautionary statements identifying those factors that could cause actual results to differ materially from those in such forward-looking statement. No such statement was made with the knowledge of a director or senior manager of the Company that was false or misleading.</w:t>
      </w:r>
    </w:p>
    <w:p>
      <w:pPr>
        <w:spacing w:after="0" w:line="187" w:lineRule="exact"/>
        <w:rPr>
          <w:rFonts w:ascii="Times New Roman" w:cs="Times New Roman" w:eastAsia="Times New Roman" w:hAnsi="Times New Roman"/>
          <w:sz w:val="18"/>
          <w:szCs w:val="18"/>
          <w:color w:val="auto"/>
        </w:rPr>
      </w:pPr>
    </w:p>
    <w:p>
      <w:pPr>
        <w:jc w:val="both"/>
        <w:ind w:left="372" w:hanging="372"/>
        <w:spacing w:after="0" w:line="261" w:lineRule="auto"/>
        <w:tabs>
          <w:tab w:leader="none" w:pos="372"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Related-Party Transactions</w:t>
      </w:r>
      <w:r>
        <w:rPr>
          <w:rFonts w:ascii="Times New Roman" w:cs="Times New Roman" w:eastAsia="Times New Roman" w:hAnsi="Times New Roman"/>
          <w:sz w:val="18"/>
          <w:szCs w:val="18"/>
          <w:color w:val="auto"/>
        </w:rPr>
        <w:t>. There are no relationships, direct or indirect, or related party transactions involving the Company or any of its Subsidiaries or any other person (including any director, officer, stockholder, customer or supplier of the Company or any of its Subsidiaries) required to be described in the Registration Statement or the Prospectus that have not been described as required. There are no material outstanding loans, advances (except normal advances for business expenses in the ordinary course of business) or guarantees of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1004570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82" w:right="339" w:bottom="1440" w:gutter="0" w:footer="0" w:header="0"/>
        </w:sectPr>
      </w:pPr>
    </w:p>
    <w:bookmarkStart w:id="206" w:name="page207"/>
    <w:bookmarkEnd w:id="206"/>
    <w:p>
      <w:pPr>
        <w:ind w:left="372"/>
        <w:spacing w:after="0" w:line="282" w:lineRule="auto"/>
        <w:rPr>
          <w:sz w:val="20"/>
          <w:szCs w:val="20"/>
          <w:color w:val="auto"/>
        </w:rPr>
      </w:pPr>
      <w:r>
        <w:rPr>
          <w:rFonts w:ascii="Times New Roman" w:cs="Times New Roman" w:eastAsia="Times New Roman" w:hAnsi="Times New Roman"/>
          <w:sz w:val="18"/>
          <w:szCs w:val="18"/>
          <w:color w:val="auto"/>
        </w:rPr>
        <w:t>by the Company or any of its Subsidiaries to or for the benefit of any of the officers or directors of the Company or any of its Subsidiaries, or any of the family members of any of such persons.</w:t>
      </w:r>
    </w:p>
    <w:p>
      <w:pPr>
        <w:spacing w:after="0" w:line="162" w:lineRule="exact"/>
        <w:rPr>
          <w:sz w:val="20"/>
          <w:szCs w:val="20"/>
          <w:color w:val="auto"/>
        </w:rPr>
      </w:pPr>
    </w:p>
    <w:p>
      <w:pPr>
        <w:ind w:left="372" w:hanging="372"/>
        <w:spacing w:after="0"/>
        <w:tabs>
          <w:tab w:leader="none" w:pos="372"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Bankruptcy</w:t>
      </w:r>
      <w:r>
        <w:rPr>
          <w:rFonts w:ascii="Times New Roman" w:cs="Times New Roman" w:eastAsia="Times New Roman" w:hAnsi="Times New Roman"/>
          <w:sz w:val="18"/>
          <w:szCs w:val="18"/>
          <w:color w:val="auto"/>
        </w:rPr>
        <w:t>. The Company is not in or subject to a bankruptcy or insolvency proceeding in any jurisdiction.</w:t>
      </w:r>
    </w:p>
    <w:p>
      <w:pPr>
        <w:spacing w:after="0" w:line="225" w:lineRule="exact"/>
        <w:rPr>
          <w:rFonts w:ascii="Times New Roman" w:cs="Times New Roman" w:eastAsia="Times New Roman" w:hAnsi="Times New Roman"/>
          <w:sz w:val="18"/>
          <w:szCs w:val="18"/>
          <w:color w:val="auto"/>
        </w:rPr>
      </w:pPr>
    </w:p>
    <w:p>
      <w:pPr>
        <w:jc w:val="both"/>
        <w:ind w:left="372" w:hanging="372"/>
        <w:spacing w:after="0" w:line="253" w:lineRule="auto"/>
        <w:tabs>
          <w:tab w:leader="none" w:pos="372"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All United States federal income tax returns of the Company and its Subsidiaries required by law to be filed have been filed or extensions thereof have been requested, and all taxes shown by such returns or otherwise assessed, which are due and payable, have been paid, except assessments that are being contested in good faith and as to which adequate reserves have been provided under GAAP. The Company has no knowledge of any material tax deficiency which has been or is likely to be threatened or asserted against the Company or its Subsidiaries. Each of the Company and its Subsidiaries has filed all foreign, state, provincial, local or other tax returns that are required to have been filed pursuant to applicable foreign, state, provincial, local or other law except insofar as the failure to file such returns would not, individually or in the aggregate, reasonably be expected to result in a Material Adverse Effect, and paid all taxes due pursuant to such returns or pursuant to any assessment received by the Company and its Subsidiaries, except for such taxes, if any, as are being contested in good faith and as to which adequate reserves have been provided and except for such taxes or assessments the nonpayment of which would not, individually or in the aggregate, reasonably be expected to result in a Material Adverse Effect. The charges, accruals and reserves on the books of the Company and its Subsidiaries in respect of any income or other tax liability for any years not finally determined are adequate to meet any assessments or re-assessments for additional tax for any years not finally determined, except to the extent of any inadequacy that would not reasonably be expected to result in a Material Adverse Effect.</w:t>
      </w:r>
    </w:p>
    <w:p>
      <w:pPr>
        <w:spacing w:after="0" w:line="189" w:lineRule="exact"/>
        <w:rPr>
          <w:rFonts w:ascii="Times New Roman" w:cs="Times New Roman" w:eastAsia="Times New Roman" w:hAnsi="Times New Roman"/>
          <w:sz w:val="18"/>
          <w:szCs w:val="18"/>
          <w:color w:val="auto"/>
        </w:rPr>
      </w:pPr>
    </w:p>
    <w:p>
      <w:pPr>
        <w:jc w:val="both"/>
        <w:ind w:left="372" w:hanging="372"/>
        <w:spacing w:after="0" w:line="256" w:lineRule="auto"/>
        <w:tabs>
          <w:tab w:leader="none" w:pos="372"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Outbound Investment Security Program</w:t>
      </w:r>
      <w:r>
        <w:rPr>
          <w:rFonts w:ascii="Times New Roman" w:cs="Times New Roman" w:eastAsia="Times New Roman" w:hAnsi="Times New Roman"/>
          <w:sz w:val="18"/>
          <w:szCs w:val="18"/>
          <w:color w:val="auto"/>
        </w:rPr>
        <w:t>.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31 C.F.R. § 850.208 (“</w:t>
      </w:r>
      <w:r>
        <w:rPr>
          <w:rFonts w:ascii="Times New Roman" w:cs="Times New Roman" w:eastAsia="Times New Roman" w:hAnsi="Times New Roman"/>
          <w:sz w:val="18"/>
          <w:szCs w:val="18"/>
          <w:b w:val="1"/>
          <w:bCs w:val="1"/>
          <w:color w:val="auto"/>
        </w:rPr>
        <w:t>Covered Activity</w:t>
      </w:r>
      <w:r>
        <w:rPr>
          <w:rFonts w:ascii="Times New Roman" w:cs="Times New Roman" w:eastAsia="Times New Roman" w:hAnsi="Times New Roman"/>
          <w:sz w:val="18"/>
          <w:szCs w:val="18"/>
          <w:color w:val="auto"/>
        </w:rPr>
        <w:t>”). The Company does not have any joint ventures that engage in or plan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spacing w:after="0" w:line="187" w:lineRule="exact"/>
        <w:rPr>
          <w:rFonts w:ascii="Times New Roman" w:cs="Times New Roman" w:eastAsia="Times New Roman" w:hAnsi="Times New Roman"/>
          <w:sz w:val="18"/>
          <w:szCs w:val="18"/>
          <w:color w:val="auto"/>
        </w:rPr>
      </w:pPr>
    </w:p>
    <w:p>
      <w:pPr>
        <w:jc w:val="both"/>
        <w:ind w:left="372" w:hanging="372"/>
        <w:spacing w:after="0" w:line="253" w:lineRule="auto"/>
        <w:tabs>
          <w:tab w:leader="none" w:pos="372"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Export and Import Laws</w:t>
      </w:r>
      <w:r>
        <w:rPr>
          <w:rFonts w:ascii="Times New Roman" w:cs="Times New Roman" w:eastAsia="Times New Roman" w:hAnsi="Times New Roman"/>
          <w:sz w:val="18"/>
          <w:szCs w:val="18"/>
          <w:color w:val="auto"/>
        </w:rPr>
        <w:t>. Neither the Company nor any of its Subsidiaries is the subject of any pending or threatened enforcement action, administrative proceeding, denial order, debarment, or other restriction under Export Controls (meaning all export control laws and regulations administered or enforced by (a) the United States Government (including by the U.S. Department of Commerce or the U.S. Department of State), including the Arms Export Control Act (22 U.S.C. § 2778), the Export Control Reform Act of 2018 (50 U.S.C. §§ 4801-4861), the International Traffic in Arms Regulations (22 C.F.R. Parts 120–130), and the Export Administration Regulations (15 C.F.R. Parts 730-774), and (b) any other relevant governmental authority, including (to the extent applicable) EU Regulation 2021/821 (as amended), the Export Control Order 2008, or any other applicable export control legislation or regulation of the United States, European Union, or United Kingdom). Except as would not be material to the Company and its Subsidiaries, taken as a whole, the Company and each of its Subsidiaries (a) have not, since 5 years prior to the date of the Agreement, engaged in, (b) are not now engaged in, and (c) will not engage in, any unauthorized dealings or transactions involving any Person or item that, at the time of such dealing or transaction, was subject to restrictions under Export Controls, including any Person identified on a restricted party list maintained pursuant to Export Controls, or any other lists or regulations administered or enforced by the U.S. Department of Commerce.</w:t>
      </w:r>
    </w:p>
    <w:p>
      <w:pPr>
        <w:spacing w:after="0" w:line="192" w:lineRule="exact"/>
        <w:rPr>
          <w:sz w:val="20"/>
          <w:szCs w:val="20"/>
          <w:color w:val="auto"/>
        </w:rPr>
      </w:pPr>
    </w:p>
    <w:p>
      <w:pPr>
        <w:ind w:left="372" w:firstLine="360"/>
        <w:spacing w:after="0" w:line="282" w:lineRule="auto"/>
        <w:rPr>
          <w:sz w:val="20"/>
          <w:szCs w:val="20"/>
          <w:color w:val="auto"/>
        </w:rPr>
      </w:pPr>
      <w:r>
        <w:rPr>
          <w:rFonts w:ascii="Times New Roman" w:cs="Times New Roman" w:eastAsia="Times New Roman" w:hAnsi="Times New Roman"/>
          <w:sz w:val="18"/>
          <w:szCs w:val="18"/>
          <w:color w:val="auto"/>
        </w:rPr>
        <w:t>Any certificate signed by an officer of the Company and delivered to the Agent or to counsel for the Agent pursuant to or in connection with this Agreement shall be deemed to be a representation and warranty by the Company, as applicable, to the Agent as to the matters set forth therein.</w:t>
      </w:r>
    </w:p>
    <w:p>
      <w:pPr>
        <w:spacing w:after="0" w:line="162" w:lineRule="exact"/>
        <w:rPr>
          <w:sz w:val="20"/>
          <w:szCs w:val="20"/>
          <w:color w:val="auto"/>
        </w:rPr>
      </w:pPr>
    </w:p>
    <w:p>
      <w:pPr>
        <w:jc w:val="both"/>
        <w:ind w:left="372" w:firstLine="360"/>
        <w:spacing w:after="0" w:line="282" w:lineRule="auto"/>
        <w:rPr>
          <w:sz w:val="20"/>
          <w:szCs w:val="20"/>
          <w:color w:val="auto"/>
        </w:rPr>
      </w:pPr>
      <w:r>
        <w:rPr>
          <w:rFonts w:ascii="Times New Roman" w:cs="Times New Roman" w:eastAsia="Times New Roman" w:hAnsi="Times New Roman"/>
          <w:sz w:val="18"/>
          <w:szCs w:val="18"/>
          <w:color w:val="auto"/>
        </w:rPr>
        <w:t xml:space="preserve">The Company acknowledges that the Agent and, for purposes of the opinions to be delivered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counsel to the Company and counsel to the Agent, will rely upon the accuracy and truthfulness of the foregoing representations and hereby consents to such reliance.</w:t>
      </w:r>
    </w:p>
    <w:p>
      <w:pPr>
        <w:spacing w:after="0" w:line="162" w:lineRule="exact"/>
        <w:rPr>
          <w:sz w:val="20"/>
          <w:szCs w:val="20"/>
          <w:color w:val="auto"/>
        </w:rPr>
      </w:pPr>
    </w:p>
    <w:p>
      <w:pPr>
        <w:ind w:left="372" w:hanging="372"/>
        <w:spacing w:after="0"/>
        <w:tabs>
          <w:tab w:leader="none" w:pos="372"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with the Agent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1033145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82" w:right="339" w:bottom="1440" w:gutter="0" w:footer="0" w:header="0"/>
        </w:sectPr>
      </w:pPr>
    </w:p>
    <w:bookmarkStart w:id="207" w:name="page208"/>
    <w:bookmarkEnd w:id="207"/>
    <w:p>
      <w:pPr>
        <w:jc w:val="both"/>
        <w:ind w:left="372" w:hanging="372"/>
        <w:spacing w:after="0" w:line="251" w:lineRule="auto"/>
        <w:tabs>
          <w:tab w:leader="none" w:pos="372"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Amendments</w:t>
      </w:r>
      <w:r>
        <w:rPr>
          <w:rFonts w:ascii="Times New Roman" w:cs="Times New Roman" w:eastAsia="Times New Roman" w:hAnsi="Times New Roman"/>
          <w:sz w:val="18"/>
          <w:szCs w:val="18"/>
          <w:color w:val="auto"/>
        </w:rPr>
        <w:t>. After the date of this Agreement and during any period in which a Prospectus relating to any Placement Shares is required to be delivered by the Agent under the Securities Act (including in circumstances where such requirement may be satisfied pursuant to Rule 172 under the Securities Act or similar rule under the Securities Act), (i) the Company will notify the Agent promptly of the time when any subsequent amendment to the Registration Statement, other than documents incorporated therein by reference, has been filed with the Commission and/or has become effective or any subsequent supplement to the Prospectus related to the Placement Shares has been filed and of any request by the Commission for any amendment or supplement to the Registration Statement (insofar as it relates to the transactions contemplated hereby) or Prospectus or for additional information, (ii) the Company will prepare and file with the Commission, promptly upon the Agent’s request, any amendments or supplements to the Registration Statement or Prospectus that, in the Agent’s reasonable opinion, may be necessary or advisable in connection with the distribution of the Placement Shares by the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failure of the Agent to make such request shall not relieve the Company of any obligation or liability hereunder, or affect the Agent’s right to rely on the representations and warranties made by the Company in this Agreement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only remedy the Agent shall have with respect to the failure to make such filing shall be to cease making sales under this Agreement until such amendment or supplement is filed); (iii) the Company will not file any amendment or supplement to the Registration Statement or Prospectus relating to the Placement Shares unless a copy thereof has been submitted to Agent within a reasonable period of time before the filing and the Agent has not reasonably objected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the failure of the Agent to make such objection shall not relieve the Company of any obligation or liability hereunder, or affect the Agent’s right to rely on the representations and warranties made by the Company in this Agreement, (B) the Company has no obligation to provide the Agent any advance copy of such filing or to provide the Agent an opportunity to object to such filing if the filing does not name the Agent or does not relate to a Placement or other transaction contemplated hereunder, and (C) the only remedy the Agent shall have with respect to the failure by the Company to obtain such consent shall be to cease making sales under this Agreement) and the Company will furnish to the Agent at the time of filing thereof a copy of any document that upon filing is deemed to be incorporated by reference into the Registration Statement or Prospectus, except for those documents available via EDGAR or any successor system; and (iv) the Company will cause each amendment or supplement to the Prospectus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based on the Company’s reasonable opinion or reasonable objections, shall be made exclusively by the Company).</w:t>
      </w:r>
    </w:p>
    <w:p>
      <w:pPr>
        <w:spacing w:after="0" w:line="204" w:lineRule="exact"/>
        <w:rPr>
          <w:rFonts w:ascii="Times New Roman" w:cs="Times New Roman" w:eastAsia="Times New Roman" w:hAnsi="Times New Roman"/>
          <w:sz w:val="18"/>
          <w:szCs w:val="18"/>
          <w:color w:val="auto"/>
        </w:rPr>
      </w:pPr>
    </w:p>
    <w:p>
      <w:pPr>
        <w:jc w:val="both"/>
        <w:ind w:left="372" w:hanging="372"/>
        <w:spacing w:after="0" w:line="254" w:lineRule="auto"/>
        <w:tabs>
          <w:tab w:leader="none" w:pos="372"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Commission Stop Orders</w:t>
      </w:r>
      <w:r>
        <w:rPr>
          <w:rFonts w:ascii="Times New Roman" w:cs="Times New Roman" w:eastAsia="Times New Roman" w:hAnsi="Times New Roman"/>
          <w:sz w:val="18"/>
          <w:szCs w:val="18"/>
          <w:color w:val="auto"/>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spacing w:after="0" w:line="191" w:lineRule="exact"/>
        <w:rPr>
          <w:rFonts w:ascii="Times New Roman" w:cs="Times New Roman" w:eastAsia="Times New Roman" w:hAnsi="Times New Roman"/>
          <w:sz w:val="18"/>
          <w:szCs w:val="18"/>
          <w:color w:val="auto"/>
        </w:rPr>
      </w:pPr>
    </w:p>
    <w:p>
      <w:pPr>
        <w:jc w:val="both"/>
        <w:ind w:left="372" w:hanging="372"/>
        <w:spacing w:after="0" w:line="254" w:lineRule="auto"/>
        <w:tabs>
          <w:tab w:leader="none" w:pos="372"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Prospectus; Subsequent Changes</w:t>
      </w:r>
      <w:r>
        <w:rPr>
          <w:rFonts w:ascii="Times New Roman" w:cs="Times New Roman" w:eastAsia="Times New Roman" w:hAnsi="Times New Roman"/>
          <w:sz w:val="18"/>
          <w:szCs w:val="18"/>
          <w:color w:val="auto"/>
        </w:rPr>
        <w:t>. During any period in which a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similar rule), the Company will use commercially reasonable efforts to comply in all material respects with all requirements imposed upon it by the Securities Act, as from time to time in force, and to file on or before their respective due dates all reports (taking into account any extensions available under the Exchange Act)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430B under the Securities Act, it will use its best efforts to comply with the provisions of and make all requisite filings with the Commission pursuant to said Rule 430B and to notify the Agent promptly of all such filings. If during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1010285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82" w:right="339" w:bottom="1440" w:gutter="0" w:footer="0" w:header="0"/>
        </w:sectPr>
      </w:pPr>
    </w:p>
    <w:bookmarkStart w:id="208" w:name="page209"/>
    <w:bookmarkEnd w:id="208"/>
    <w:p>
      <w:pPr>
        <w:jc w:val="both"/>
        <w:ind w:left="372"/>
        <w:spacing w:after="0" w:line="255" w:lineRule="auto"/>
        <w:rPr>
          <w:sz w:val="20"/>
          <w:szCs w:val="20"/>
          <w:color w:val="auto"/>
        </w:rPr>
      </w:pPr>
      <w:r>
        <w:rPr>
          <w:rFonts w:ascii="Times New Roman" w:cs="Times New Roman" w:eastAsia="Times New Roman" w:hAnsi="Times New Roman"/>
          <w:sz w:val="18"/>
          <w:szCs w:val="18"/>
          <w:color w:val="auto"/>
        </w:rPr>
        <w:t>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 (it being acknowledged that the Company may delay the filing of any amendment or supplement, if, in the judgment of the Company, it is in the best interest of the Company).</w:t>
      </w:r>
    </w:p>
    <w:p>
      <w:pPr>
        <w:spacing w:after="0" w:line="189" w:lineRule="exact"/>
        <w:rPr>
          <w:sz w:val="20"/>
          <w:szCs w:val="20"/>
          <w:color w:val="auto"/>
        </w:rPr>
      </w:pPr>
    </w:p>
    <w:p>
      <w:pPr>
        <w:jc w:val="both"/>
        <w:ind w:left="372" w:hanging="372"/>
        <w:spacing w:after="0" w:line="261" w:lineRule="auto"/>
        <w:tabs>
          <w:tab w:leader="none" w:pos="372"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Placement Shares</w:t>
      </w:r>
      <w:r>
        <w:rPr>
          <w:rFonts w:ascii="Times New Roman" w:cs="Times New Roman" w:eastAsia="Times New Roman" w:hAnsi="Times New Roman"/>
          <w:sz w:val="18"/>
          <w:szCs w:val="18"/>
          <w:color w:val="auto"/>
        </w:rPr>
        <w:t>. During any period in which the Prospectus relating to the Placement Shares is required to be delivered by the Agent under the Securities Act with respect to a pending sale of the Placement Shares (including in circumstances where such requirement may be satisfied pursuant to Rule 172 under the Securities Act), the Company will use its commercially reasonable efforts to cause the Placement Shares to be listed on the Exchange.</w:t>
      </w:r>
    </w:p>
    <w:p>
      <w:pPr>
        <w:spacing w:after="0" w:line="179" w:lineRule="exact"/>
        <w:rPr>
          <w:rFonts w:ascii="Times New Roman" w:cs="Times New Roman" w:eastAsia="Times New Roman" w:hAnsi="Times New Roman"/>
          <w:sz w:val="18"/>
          <w:szCs w:val="18"/>
          <w:color w:val="auto"/>
        </w:rPr>
      </w:pPr>
    </w:p>
    <w:p>
      <w:pPr>
        <w:jc w:val="both"/>
        <w:ind w:left="372" w:hanging="372"/>
        <w:spacing w:after="0" w:line="254" w:lineRule="auto"/>
        <w:tabs>
          <w:tab w:leader="none" w:pos="372"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Registration Statement and Prospectus</w:t>
      </w:r>
      <w:r>
        <w:rPr>
          <w:rFonts w:ascii="Times New Roman" w:cs="Times New Roman" w:eastAsia="Times New Roman" w:hAnsi="Times New Roman"/>
          <w:sz w:val="18"/>
          <w:szCs w:val="18"/>
          <w:color w:val="auto"/>
        </w:rPr>
        <w:t xml:space="preserve">. The Company will furnish to the Agent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furnish any document (other than the Prospectus) to the Agent to the extent such document is available on EDGAR or any successor system.</w:t>
      </w:r>
    </w:p>
    <w:p>
      <w:pPr>
        <w:spacing w:after="0" w:line="191" w:lineRule="exact"/>
        <w:rPr>
          <w:rFonts w:ascii="Times New Roman" w:cs="Times New Roman" w:eastAsia="Times New Roman" w:hAnsi="Times New Roman"/>
          <w:sz w:val="18"/>
          <w:szCs w:val="18"/>
          <w:color w:val="auto"/>
        </w:rPr>
      </w:pPr>
    </w:p>
    <w:p>
      <w:pPr>
        <w:jc w:val="both"/>
        <w:ind w:left="372" w:hanging="372"/>
        <w:spacing w:after="0" w:line="261" w:lineRule="auto"/>
        <w:tabs>
          <w:tab w:leader="none" w:pos="372"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xml:space="preserve">. The Company will make generally available to its security holders as soon as practicable, but in any event not later than 15 months after the end of the Company’s current fiscal quarter, an earnings statement (which need not be audited) covering a 12-month period that satisfies the provisions of Section 11(a) and Rule 158 of the Securities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will be deemed to have made available such statement to its security holders at the time and to the extent it is available on EDGAR or any successor system.</w:t>
      </w:r>
    </w:p>
    <w:p>
      <w:pPr>
        <w:spacing w:after="0" w:line="179"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Net Proceeds as described in the Prospectus in the section entitled “Use of Proceeds.”</w:t>
      </w:r>
    </w:p>
    <w:p>
      <w:pPr>
        <w:spacing w:after="0" w:line="225" w:lineRule="exact"/>
        <w:rPr>
          <w:rFonts w:ascii="Times New Roman" w:cs="Times New Roman" w:eastAsia="Times New Roman" w:hAnsi="Times New Roman"/>
          <w:sz w:val="18"/>
          <w:szCs w:val="18"/>
          <w:color w:val="auto"/>
        </w:rPr>
      </w:pPr>
    </w:p>
    <w:p>
      <w:pPr>
        <w:jc w:val="both"/>
        <w:ind w:left="372" w:hanging="372"/>
        <w:spacing w:after="0" w:line="243" w:lineRule="auto"/>
        <w:tabs>
          <w:tab w:leader="none" w:pos="372"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Other Sales</w:t>
      </w:r>
      <w:r>
        <w:rPr>
          <w:rFonts w:ascii="Times New Roman" w:cs="Times New Roman" w:eastAsia="Times New Roman" w:hAnsi="Times New Roman"/>
          <w:sz w:val="18"/>
          <w:szCs w:val="18"/>
          <w:color w:val="auto"/>
        </w:rPr>
        <w:t>. Without the prior written consent of the Agent, the Company will not, directly or indirectly,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during the period beginning on the fifth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Trading Day immediately prior to the date on which any Placement Notice is delivered to Agent hereunder and ending on the fifth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or continuous equity transaction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prior to the sixtieth (60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immediately following the termination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restrictions will not be required in connection with the Company’s issuance or sale of (i) Common Stock, options to purchase Common Stock or other equity awards for Common Stock, or Common Stock issuable upon the exercise of options or vesting and settlement of any equity awards, pursuant to any employee or director stock option or benefits plan, stock ownership plan or dividend reinvestment plan (but not Common Stock subject to a waiver to exceed plan limits in its dividend reinvestment plan) or other compensation plan of the Company whether now in effect or hereafter implemented (including any amendments or modifications to the foregoing), (ii) Common Stock issuable upon conversion of securities or the exercise of warrants, options or other rights in effect or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1021080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82" w:right="339" w:bottom="1440" w:gutter="0" w:footer="0" w:header="0"/>
        </w:sectPr>
      </w:pPr>
    </w:p>
    <w:bookmarkStart w:id="209" w:name="page210"/>
    <w:bookmarkEnd w:id="209"/>
    <w:p>
      <w:pPr>
        <w:jc w:val="both"/>
        <w:ind w:left="372"/>
        <w:spacing w:after="0" w:line="261" w:lineRule="auto"/>
        <w:rPr>
          <w:sz w:val="20"/>
          <w:szCs w:val="20"/>
          <w:color w:val="auto"/>
        </w:rPr>
      </w:pPr>
      <w:r>
        <w:rPr>
          <w:rFonts w:ascii="Times New Roman" w:cs="Times New Roman" w:eastAsia="Times New Roman" w:hAnsi="Times New Roman"/>
          <w:sz w:val="18"/>
          <w:szCs w:val="18"/>
          <w:color w:val="auto"/>
        </w:rPr>
        <w:t>and disclosed in filings by the Company available on EDGAR or any successor system or otherwise in writing to the Agent and (iii) Common Stock or securities convertible into or exchangeable for shares of Common Stock as consideration for mergers, acquisitions, other business combinations, joint ventures or strategic alliances, marketing or distribution arrangements, collaboration agreements, co-promotion agreements or intellectual property license agreements occurring after the date of this Agreement which are not issued for capital raising purposes.</w:t>
      </w:r>
    </w:p>
    <w:p>
      <w:pPr>
        <w:spacing w:after="0" w:line="180" w:lineRule="exact"/>
        <w:rPr>
          <w:sz w:val="20"/>
          <w:szCs w:val="20"/>
          <w:color w:val="auto"/>
        </w:rPr>
      </w:pPr>
    </w:p>
    <w:p>
      <w:pPr>
        <w:jc w:val="both"/>
        <w:ind w:left="372" w:hanging="372"/>
        <w:spacing w:after="0" w:line="266" w:lineRule="auto"/>
        <w:tabs>
          <w:tab w:leader="none" w:pos="37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Circumstances</w:t>
      </w:r>
      <w:r>
        <w:rPr>
          <w:rFonts w:ascii="Times New Roman" w:cs="Times New Roman" w:eastAsia="Times New Roman" w:hAnsi="Times New Roman"/>
          <w:sz w:val="18"/>
          <w:szCs w:val="18"/>
          <w:color w:val="auto"/>
        </w:rPr>
        <w:t>. The Company will, at any time during the pendency of a Placement Notice, advise the Agent promptly after it shall have received notice or obtained knowledge thereof, of any information or fact that would alter or affect in any material respect any opinion, certificate, letter or other document required to be provided to the Agent pursuant to this Agreement.</w:t>
      </w:r>
    </w:p>
    <w:p>
      <w:pPr>
        <w:spacing w:after="0" w:line="175" w:lineRule="exact"/>
        <w:rPr>
          <w:rFonts w:ascii="Times New Roman" w:cs="Times New Roman" w:eastAsia="Times New Roman" w:hAnsi="Times New Roman"/>
          <w:sz w:val="18"/>
          <w:szCs w:val="18"/>
          <w:color w:val="auto"/>
        </w:rPr>
      </w:pPr>
    </w:p>
    <w:p>
      <w:pPr>
        <w:jc w:val="both"/>
        <w:ind w:left="372" w:hanging="372"/>
        <w:spacing w:after="0" w:line="261" w:lineRule="auto"/>
        <w:tabs>
          <w:tab w:leader="none" w:pos="37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 Cooperation</w:t>
      </w:r>
      <w:r>
        <w:rPr>
          <w:rFonts w:ascii="Times New Roman" w:cs="Times New Roman" w:eastAsia="Times New Roman" w:hAnsi="Times New Roman"/>
          <w:sz w:val="18"/>
          <w:szCs w:val="18"/>
          <w:color w:val="auto"/>
        </w:rPr>
        <w:t>. During the term of this Agreement, the Company will reasonably cooperate with any reasonable due diligence review conducted by the Agent or its representatives in connection with the transactions contemplated hereby, including, without limitation, providing information and making available documents and senior corporate officers, during regular business hours and at the Company’s principal offices or remote digital access, as the Agent may reasonably request.</w:t>
      </w:r>
    </w:p>
    <w:p>
      <w:pPr>
        <w:spacing w:after="0" w:line="179" w:lineRule="exact"/>
        <w:rPr>
          <w:rFonts w:ascii="Times New Roman" w:cs="Times New Roman" w:eastAsia="Times New Roman" w:hAnsi="Times New Roman"/>
          <w:sz w:val="18"/>
          <w:szCs w:val="18"/>
          <w:color w:val="auto"/>
        </w:rPr>
      </w:pPr>
    </w:p>
    <w:p>
      <w:pPr>
        <w:jc w:val="both"/>
        <w:ind w:left="372" w:hanging="372"/>
        <w:spacing w:after="0" w:line="254" w:lineRule="auto"/>
        <w:tabs>
          <w:tab w:leader="none" w:pos="37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Filings Relating to Placement of Placement Shares</w:t>
      </w:r>
      <w:r>
        <w:rPr>
          <w:rFonts w:ascii="Times New Roman" w:cs="Times New Roman" w:eastAsia="Times New Roman" w:hAnsi="Times New Roman"/>
          <w:sz w:val="18"/>
          <w:szCs w:val="18"/>
          <w:color w:val="auto"/>
        </w:rPr>
        <w:t>. The Company shall disclose, in its Quarterly Reports on Form 10-Q and in its Annual Report on Form 10-K to be filed by the Company with the Commission from time to time, the number of the Placement Shares sold through the Agent under this Agreement, and the Net Proceeds to the Company from the sale of the Placement Shares pursuant to this Agreement during the relevant quarter or, in the case of an Annual Report on Form 10-K, during the fiscal year covered by such Annual Report and the fourth quarter of such fiscal year. The Company agrees that on such dates as the Securities Act shall require, the Company will (i) file a prospectus supplement with the Commission under the applicable paragraph of Rule 424(b) under the Securities Act (each and every filing date under Rule 424(b), a “</w:t>
      </w:r>
      <w:r>
        <w:rPr>
          <w:rFonts w:ascii="Times New Roman" w:cs="Times New Roman" w:eastAsia="Times New Roman" w:hAnsi="Times New Roman"/>
          <w:sz w:val="18"/>
          <w:szCs w:val="18"/>
          <w:b w:val="1"/>
          <w:bCs w:val="1"/>
          <w:u w:val="single" w:color="auto"/>
          <w:color w:val="auto"/>
        </w:rPr>
        <w:t>Filing Date</w:t>
      </w:r>
      <w:r>
        <w:rPr>
          <w:rFonts w:ascii="Times New Roman" w:cs="Times New Roman" w:eastAsia="Times New Roman" w:hAnsi="Times New Roman"/>
          <w:sz w:val="18"/>
          <w:szCs w:val="18"/>
          <w:color w:val="auto"/>
        </w:rPr>
        <w:t>”), which prospectus supplement will set forth, within the relevant period, the amount of Placement Shares sold through the Agent and the Net Proceeds to the Company with respect to such Placement Shares, and (ii) deliver such number of copies of each such prospectus supplement to each exchange or market on which such sales were effected as may be required by the rules or regulations of such exchange or market.</w:t>
      </w:r>
    </w:p>
    <w:p>
      <w:pPr>
        <w:spacing w:after="0" w:line="188" w:lineRule="exact"/>
        <w:rPr>
          <w:rFonts w:ascii="Times New Roman" w:cs="Times New Roman" w:eastAsia="Times New Roman" w:hAnsi="Times New Roman"/>
          <w:sz w:val="18"/>
          <w:szCs w:val="18"/>
          <w:color w:val="auto"/>
        </w:rPr>
      </w:pPr>
    </w:p>
    <w:p>
      <w:pPr>
        <w:ind w:left="372" w:hanging="372"/>
        <w:spacing w:after="0" w:line="282" w:lineRule="auto"/>
        <w:tabs>
          <w:tab w:leader="none" w:pos="37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Dates; Certificate</w:t>
      </w:r>
      <w:r>
        <w:rPr>
          <w:rFonts w:ascii="Times New Roman" w:cs="Times New Roman" w:eastAsia="Times New Roman" w:hAnsi="Times New Roman"/>
          <w:sz w:val="18"/>
          <w:szCs w:val="18"/>
          <w:color w:val="auto"/>
        </w:rPr>
        <w:t>. (1) Prior to the date of the first Placement Notice and (2) following the first Placement Notice, each time the Company:</w:t>
      </w:r>
    </w:p>
    <w:p>
      <w:pPr>
        <w:spacing w:after="0" w:line="161" w:lineRule="exact"/>
        <w:rPr>
          <w:rFonts w:ascii="Times New Roman" w:cs="Times New Roman" w:eastAsia="Times New Roman" w:hAnsi="Times New Roman"/>
          <w:sz w:val="18"/>
          <w:szCs w:val="18"/>
          <w:color w:val="auto"/>
        </w:rPr>
      </w:pPr>
    </w:p>
    <w:p>
      <w:pPr>
        <w:jc w:val="both"/>
        <w:ind w:left="372" w:firstLine="2248"/>
        <w:spacing w:after="0" w:line="261" w:lineRule="auto"/>
        <w:tabs>
          <w:tab w:leader="none" w:pos="3053"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the Prospectus relating to the Placement Shares or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spacing w:after="0" w:line="179" w:lineRule="exact"/>
        <w:rPr>
          <w:rFonts w:ascii="Times New Roman" w:cs="Times New Roman" w:eastAsia="Times New Roman" w:hAnsi="Times New Roman"/>
          <w:sz w:val="18"/>
          <w:szCs w:val="18"/>
          <w:color w:val="auto"/>
        </w:rPr>
      </w:pPr>
    </w:p>
    <w:p>
      <w:pPr>
        <w:ind w:left="372" w:firstLine="2248"/>
        <w:spacing w:after="0" w:line="282" w:lineRule="auto"/>
        <w:tabs>
          <w:tab w:leader="none" w:pos="3053"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an Annual Report on Form 10-K under the Exchange Act (including any Form 10-K/A containing amended financial information or a material amendment to the previously filed Form 10-K);</w:t>
      </w:r>
    </w:p>
    <w:p>
      <w:pPr>
        <w:spacing w:after="0" w:line="161" w:lineRule="exact"/>
        <w:rPr>
          <w:rFonts w:ascii="Times New Roman" w:cs="Times New Roman" w:eastAsia="Times New Roman" w:hAnsi="Times New Roman"/>
          <w:sz w:val="18"/>
          <w:szCs w:val="18"/>
          <w:color w:val="auto"/>
        </w:rPr>
      </w:pPr>
    </w:p>
    <w:p>
      <w:pPr>
        <w:ind w:left="3052" w:hanging="432"/>
        <w:spacing w:after="0"/>
        <w:tabs>
          <w:tab w:leader="none" w:pos="3052"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its Quarterly Reports on Form 10-Q under the Exchange Act; or</w:t>
      </w:r>
    </w:p>
    <w:p>
      <w:pPr>
        <w:spacing w:after="0" w:line="225" w:lineRule="exact"/>
        <w:rPr>
          <w:rFonts w:ascii="Times New Roman" w:cs="Times New Roman" w:eastAsia="Times New Roman" w:hAnsi="Times New Roman"/>
          <w:sz w:val="18"/>
          <w:szCs w:val="18"/>
          <w:color w:val="auto"/>
        </w:rPr>
      </w:pPr>
    </w:p>
    <w:p>
      <w:pPr>
        <w:jc w:val="both"/>
        <w:ind w:left="372" w:firstLine="2248"/>
        <w:spacing w:after="0" w:line="261" w:lineRule="auto"/>
        <w:tabs>
          <w:tab w:leader="none" w:pos="3053"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(each date of filing of one or more of the documents referred to in clauses (i) through (iv) shall be a “</w:t>
      </w:r>
      <w:r>
        <w:rPr>
          <w:rFonts w:ascii="Times New Roman" w:cs="Times New Roman" w:eastAsia="Times New Roman" w:hAnsi="Times New Roman"/>
          <w:sz w:val="18"/>
          <w:szCs w:val="18"/>
          <w:b w:val="1"/>
          <w:bCs w:val="1"/>
          <w:u w:val="single" w:color="auto"/>
          <w:color w:val="auto"/>
        </w:rPr>
        <w:t>Representation 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372"/>
        <w:spacing w:after="0" w:line="261" w:lineRule="auto"/>
        <w:rPr>
          <w:sz w:val="20"/>
          <w:szCs w:val="20"/>
          <w:color w:val="auto"/>
        </w:rPr>
      </w:pPr>
      <w:r>
        <w:rPr>
          <w:rFonts w:ascii="Times New Roman" w:cs="Times New Roman" w:eastAsia="Times New Roman" w:hAnsi="Times New Roman"/>
          <w:sz w:val="18"/>
          <w:szCs w:val="18"/>
          <w:color w:val="auto"/>
        </w:rPr>
        <w:t xml:space="preserve">the Company shall furnish the Agent with a certificate dated the Representation Date, in the form and substance satisfactory to the Agent and its counsel, substantially similar to the form previously provided to the Agent and its counsel, modified, as necessary, to relate to the Registration Statement and the Prospectus as amended or supplemented. The requirement to provide a certificate under this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shall be automatically waived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1004570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82" w:right="339" w:bottom="1440" w:gutter="0" w:footer="0" w:header="0"/>
        </w:sectPr>
      </w:pPr>
    </w:p>
    <w:bookmarkStart w:id="210" w:name="page211"/>
    <w:bookmarkEnd w:id="210"/>
    <w:p>
      <w:pPr>
        <w:jc w:val="both"/>
        <w:ind w:left="372"/>
        <w:spacing w:after="0" w:line="255" w:lineRule="auto"/>
        <w:rPr>
          <w:sz w:val="20"/>
          <w:szCs w:val="20"/>
          <w:color w:val="auto"/>
        </w:rPr>
      </w:pPr>
      <w:r>
        <w:rPr>
          <w:rFonts w:ascii="Times New Roman" w:cs="Times New Roman" w:eastAsia="Times New Roman" w:hAnsi="Times New Roman"/>
          <w:sz w:val="18"/>
          <w:szCs w:val="18"/>
          <w:color w:val="auto"/>
        </w:rPr>
        <w:t xml:space="preserve">any Representation Date occurring at a time at which no Placement Notice is outstanding or Suspension is in effect, which waiver shall continue until the earlier to occur of the date the Company delivers a Placement Notice hereunder (which for such calendar quarter shall be considered a Representation Date) and the next occurring Representation Date. Notwithstanding the foregoing, if the Company subsequently decides to sell Placement Shares following a Representation Date when the Company relied on such waiver or a Suspension was in effect and did not provide the Agent with a certificate under this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then before the Company delivers the Placement Notice or the Agent sells any Placement Shares pursuant to such Placement Notice, the Company shall provide the Agent with a certificate in conformity with this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dated the date of the Placement Notice.</w:t>
      </w:r>
    </w:p>
    <w:p>
      <w:pPr>
        <w:spacing w:after="0" w:line="189" w:lineRule="exact"/>
        <w:rPr>
          <w:sz w:val="20"/>
          <w:szCs w:val="20"/>
          <w:color w:val="auto"/>
        </w:rPr>
      </w:pPr>
    </w:p>
    <w:p>
      <w:pPr>
        <w:jc w:val="both"/>
        <w:ind w:left="372" w:hanging="372"/>
        <w:spacing w:after="0" w:line="253" w:lineRule="auto"/>
        <w:tabs>
          <w:tab w:leader="none" w:pos="372"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w:t>
      </w:r>
      <w:r>
        <w:rPr>
          <w:rFonts w:ascii="Times New Roman" w:cs="Times New Roman" w:eastAsia="Times New Roman" w:hAnsi="Times New Roman"/>
          <w:sz w:val="18"/>
          <w:szCs w:val="18"/>
          <w:color w:val="auto"/>
        </w:rPr>
        <w:t xml:space="preserve">. (1) Prior to the date of the first Placement Notice and (2) within five (5) Trading Days of each Representation Date with respect to which the Company is obligated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for which no waiver is applicable and excluding the date of this Agreement, the Company shall cause to be furnished to the Agent (a) a written opinion and negative assurance letter of Goodwin Procter LLP, or other counsel satisfactory to the Agent, and (b) a written opinion of White &amp; Case LLP, intellectual property counsel for the Company, or other counsel satisfactory to the Agent, and (c) a written opinion of Wolf, Greenfield &amp; Sacks, P.C., intellectual property counsel for the Company, or other counsel satisfactory to the Agent, in each case in form and substance reasonably satisfactory to the Agent and its counsel, substantially similar to the form previously provided to the Agent and its counsel, modified, as necessary, to relate to the Registration Statement and the Prospectus as then amended or supplemented;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lieu of such opinions for subsequent periodic filings under the Exchange Act, counsel may furnish the Agent with a letter (a “</w:t>
      </w:r>
      <w:r>
        <w:rPr>
          <w:rFonts w:ascii="Times New Roman" w:cs="Times New Roman" w:eastAsia="Times New Roman" w:hAnsi="Times New Roman"/>
          <w:sz w:val="18"/>
          <w:szCs w:val="18"/>
          <w:b w:val="1"/>
          <w:bCs w:val="1"/>
          <w:u w:val="single" w:color="auto"/>
          <w:color w:val="auto"/>
        </w:rPr>
        <w:t>Reliance Letter</w:t>
      </w:r>
      <w:r>
        <w:rPr>
          <w:rFonts w:ascii="Times New Roman" w:cs="Times New Roman" w:eastAsia="Times New Roman" w:hAnsi="Times New Roman"/>
          <w:sz w:val="18"/>
          <w:szCs w:val="18"/>
          <w:color w:val="auto"/>
        </w:rPr>
        <w:t xml:space="preserve">”) to the effect that the Agent may rely on a prior opinion delivered under this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to the same extent as if it were dated the date of such letter (except that statements in such prior opinion shall be deemed to relate to the Registration Statement and the Prospectus as amended or supplemented as of the date of the Reliance Letter).</w:t>
      </w:r>
    </w:p>
    <w:p>
      <w:pPr>
        <w:spacing w:after="0" w:line="191" w:lineRule="exact"/>
        <w:rPr>
          <w:rFonts w:ascii="Times New Roman" w:cs="Times New Roman" w:eastAsia="Times New Roman" w:hAnsi="Times New Roman"/>
          <w:sz w:val="18"/>
          <w:szCs w:val="18"/>
          <w:color w:val="auto"/>
        </w:rPr>
      </w:pPr>
    </w:p>
    <w:p>
      <w:pPr>
        <w:jc w:val="both"/>
        <w:ind w:left="372" w:hanging="372"/>
        <w:spacing w:after="0" w:line="253" w:lineRule="auto"/>
        <w:tabs>
          <w:tab w:leader="none" w:pos="372"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(1) Prior to the date of the first Placement Notice and (2) within five (5) Trading Days of each Representation Date with respect to which the Company is obligated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for which no waiver is applicable and excluding the date of this Agreement, the Company shall cause its independent registered public accounting firm to furnish the Agent letters (the “</w:t>
      </w:r>
      <w:r>
        <w:rPr>
          <w:rFonts w:ascii="Times New Roman" w:cs="Times New Roman" w:eastAsia="Times New Roman" w:hAnsi="Times New Roman"/>
          <w:sz w:val="18"/>
          <w:szCs w:val="18"/>
          <w:b w:val="1"/>
          <w:bCs w:val="1"/>
          <w:u w:val="single" w:color="auto"/>
          <w:color w:val="auto"/>
        </w:rPr>
        <w:t>Comfort Letters</w:t>
      </w:r>
      <w:r>
        <w:rPr>
          <w:rFonts w:ascii="Times New Roman" w:cs="Times New Roman" w:eastAsia="Times New Roman" w:hAnsi="Times New Roman"/>
          <w:sz w:val="18"/>
          <w:szCs w:val="18"/>
          <w:color w:val="auto"/>
        </w:rPr>
        <w:t xml:space="preserve">”), dated the date the Comfort Letter is delivered, which shall meet the requirements set forth in this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requested by the Agent, the Company shall cause a Comfort Letter to be furnished to the Agent within ten (10) Trading Days of the date of occurrence of any material transaction or event requiring the filing of a Current Report on Form 8-K containing financial information ( including the restatement of the Company’s financial statements). The Comfort Letter from the Company’s independent registered public accounting firm shall be in a form and substance satisfactory to the Agent, (i) confirming that they are an independent registered public accounting firm within the meaning of the Securities Act and the PCAOB, (ii) stating, as of such date, the conclusions and findings of such firm with respect to the financial information and other matters ordinarily covered by accountants’ “comfort letters” to the Agent in connection with registered public offerings (the first such letter, the “</w:t>
      </w:r>
      <w:r>
        <w:rPr>
          <w:rFonts w:ascii="Times New Roman" w:cs="Times New Roman" w:eastAsia="Times New Roman" w:hAnsi="Times New Roman"/>
          <w:sz w:val="18"/>
          <w:szCs w:val="18"/>
          <w:b w:val="1"/>
          <w:bCs w:val="1"/>
          <w:u w:val="single" w:color="auto"/>
          <w:color w:val="auto"/>
        </w:rPr>
        <w:t>Initial Comfort Letter</w:t>
      </w:r>
      <w:r>
        <w:rPr>
          <w:rFonts w:ascii="Times New Roman" w:cs="Times New Roman" w:eastAsia="Times New Roman" w:hAnsi="Times New Roman"/>
          <w:sz w:val="18"/>
          <w:szCs w:val="18"/>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89" w:lineRule="exact"/>
        <w:rPr>
          <w:rFonts w:ascii="Times New Roman" w:cs="Times New Roman" w:eastAsia="Times New Roman" w:hAnsi="Times New Roman"/>
          <w:sz w:val="18"/>
          <w:szCs w:val="18"/>
          <w:color w:val="auto"/>
        </w:rPr>
      </w:pPr>
    </w:p>
    <w:p>
      <w:pPr>
        <w:jc w:val="both"/>
        <w:ind w:left="372" w:hanging="372"/>
        <w:spacing w:after="0" w:line="258" w:lineRule="auto"/>
        <w:tabs>
          <w:tab w:leader="none" w:pos="372"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Activities; Compliance with Regulation M</w:t>
      </w:r>
      <w:r>
        <w:rPr>
          <w:rFonts w:ascii="Times New Roman" w:cs="Times New Roman" w:eastAsia="Times New Roman" w:hAnsi="Times New Roman"/>
          <w:sz w:val="18"/>
          <w:szCs w:val="18"/>
          <w:color w:val="auto"/>
        </w:rPr>
        <w:t>. The Company will not, directly or indirectly, (i) take any action designed to cause or result in, or that constitutes or would reasonably be expected to constitute, the stabilization or manipulation of the price of any security of the Company to facilitate the sale or resale of the Placement Shares or (ii) sell, bid for, or purchase Common Stock in violation of Regulation M, or pay anyone any compensation for soliciting purchases of the Placement Shares other than the Agent; provided, however, that the Company may bid for and purchase shares of its Common Stock in accordance with Rule 10b-18 under the Exchange Act.</w:t>
      </w:r>
    </w:p>
    <w:p>
      <w:pPr>
        <w:spacing w:after="0" w:line="183" w:lineRule="exact"/>
        <w:rPr>
          <w:rFonts w:ascii="Times New Roman" w:cs="Times New Roman" w:eastAsia="Times New Roman" w:hAnsi="Times New Roman"/>
          <w:sz w:val="18"/>
          <w:szCs w:val="18"/>
          <w:color w:val="auto"/>
        </w:rPr>
      </w:pPr>
    </w:p>
    <w:p>
      <w:pPr>
        <w:jc w:val="both"/>
        <w:ind w:left="372" w:hanging="372"/>
        <w:spacing w:after="0" w:line="258" w:lineRule="auto"/>
        <w:tabs>
          <w:tab w:leader="none" w:pos="372"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and each of its Subsidiaries shall maintain, or cause to be maintained, all material environmental permits, 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1007110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82" w:right="339" w:bottom="1440" w:gutter="0" w:footer="0" w:header="0"/>
        </w:sectPr>
      </w:pPr>
    </w:p>
    <w:bookmarkStart w:id="211" w:name="page212"/>
    <w:bookmarkEnd w:id="211"/>
    <w:p>
      <w:pPr>
        <w:jc w:val="both"/>
        <w:ind w:left="372" w:hanging="372"/>
        <w:spacing w:after="0" w:line="266" w:lineRule="auto"/>
        <w:tabs>
          <w:tab w:leader="none" w:pos="372"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will conduct its affairs in such a manner so as to reasonably ensure that neither it nor any of its Subsidiaries will be or become, at any time prior to the termination of this Agreement, required to register as an “investment company,” as such term is defined in the Investment Company Act.</w:t>
      </w:r>
    </w:p>
    <w:p>
      <w:pPr>
        <w:spacing w:after="0" w:line="175" w:lineRule="exact"/>
        <w:rPr>
          <w:rFonts w:ascii="Times New Roman" w:cs="Times New Roman" w:eastAsia="Times New Roman" w:hAnsi="Times New Roman"/>
          <w:sz w:val="18"/>
          <w:szCs w:val="18"/>
          <w:color w:val="auto"/>
        </w:rPr>
      </w:pPr>
    </w:p>
    <w:p>
      <w:pPr>
        <w:jc w:val="both"/>
        <w:ind w:left="372" w:hanging="372"/>
        <w:spacing w:after="0" w:line="266" w:lineRule="auto"/>
        <w:tabs>
          <w:tab w:leader="none" w:pos="372"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and Exchange Act</w:t>
      </w:r>
      <w:r>
        <w:rPr>
          <w:rFonts w:ascii="Times New Roman" w:cs="Times New Roman" w:eastAsia="Times New Roman" w:hAnsi="Times New Roman"/>
          <w:sz w:val="18"/>
          <w:szCs w:val="18"/>
          <w:color w:val="auto"/>
        </w:rPr>
        <w:t>. The Company will use its best efforts to comply with all requirements imposed upon it by the Securities Act and the Exchange Act as from time to time in force, so far as necessary to permit the continuance of sales of, or dealings in, the Placement Shares as contemplated by the provisions hereof and the Prospectus.</w:t>
      </w:r>
    </w:p>
    <w:p>
      <w:pPr>
        <w:spacing w:after="0" w:line="175" w:lineRule="exact"/>
        <w:rPr>
          <w:rFonts w:ascii="Times New Roman" w:cs="Times New Roman" w:eastAsia="Times New Roman" w:hAnsi="Times New Roman"/>
          <w:sz w:val="18"/>
          <w:szCs w:val="18"/>
          <w:color w:val="auto"/>
        </w:rPr>
      </w:pPr>
    </w:p>
    <w:p>
      <w:pPr>
        <w:jc w:val="both"/>
        <w:ind w:left="372" w:hanging="372"/>
        <w:spacing w:after="0" w:line="261" w:lineRule="auto"/>
        <w:tabs>
          <w:tab w:leader="none" w:pos="372"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Offer to Sell</w:t>
      </w:r>
      <w:r>
        <w:rPr>
          <w:rFonts w:ascii="Times New Roman" w:cs="Times New Roman" w:eastAsia="Times New Roman" w:hAnsi="Times New Roman"/>
          <w:sz w:val="18"/>
          <w:szCs w:val="18"/>
          <w:color w:val="auto"/>
        </w:rPr>
        <w:t>. Other than an Issuer Free Writing Prospectus approved in advance by the Company and the Agent in its capacity as agent hereunder, neither the Agent nor the Company (including its agents and representatives, other than the Agent in its capacity as such)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spacing w:after="0" w:line="177" w:lineRule="exact"/>
        <w:rPr>
          <w:rFonts w:ascii="Times New Roman" w:cs="Times New Roman" w:eastAsia="Times New Roman" w:hAnsi="Times New Roman"/>
          <w:sz w:val="18"/>
          <w:szCs w:val="18"/>
          <w:color w:val="auto"/>
        </w:rPr>
      </w:pPr>
    </w:p>
    <w:p>
      <w:pPr>
        <w:jc w:val="both"/>
        <w:ind w:left="372" w:hanging="372"/>
        <w:spacing w:after="0" w:line="254" w:lineRule="auto"/>
        <w:tabs>
          <w:tab w:leader="none" w:pos="372"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and Other Qualifications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use its commercially reasonable efforts, in cooperation with the Agent, to qualify the Placement Shares for offering and sale, or to obtain an exemption for the Placement Shares to be offered and sold, under the applicable securities laws of such states and other jurisdictions (domestic or foreign) as the Agent may reasonably designate and to maintain such qualifications and exemptions in effect for so long as reasonably required for the distribution of the Placement Shares (but in no event for less than one year from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reasonably required for the distribution of the Placement Shares (but in no event for less than one year from the date of this Agreement).</w:t>
      </w:r>
    </w:p>
    <w:p>
      <w:pPr>
        <w:spacing w:after="0" w:line="187" w:lineRule="exact"/>
        <w:rPr>
          <w:rFonts w:ascii="Times New Roman" w:cs="Times New Roman" w:eastAsia="Times New Roman" w:hAnsi="Times New Roman"/>
          <w:sz w:val="18"/>
          <w:szCs w:val="18"/>
          <w:color w:val="auto"/>
        </w:rPr>
      </w:pPr>
    </w:p>
    <w:p>
      <w:pPr>
        <w:jc w:val="both"/>
        <w:ind w:left="372" w:hanging="372"/>
        <w:spacing w:after="0" w:line="252" w:lineRule="auto"/>
        <w:tabs>
          <w:tab w:leader="none" w:pos="372"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Company and the Subsidiaries will maintain and keep accurate books and records reflecting their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the Subsidiaries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or the Subsidiaries is made known to them by others within those entities, particularly during the period in which such periodic reports are being prepared.</w:t>
      </w:r>
    </w:p>
    <w:p>
      <w:pPr>
        <w:spacing w:after="0" w:line="194" w:lineRule="exact"/>
        <w:rPr>
          <w:rFonts w:ascii="Times New Roman" w:cs="Times New Roman" w:eastAsia="Times New Roman" w:hAnsi="Times New Roman"/>
          <w:sz w:val="18"/>
          <w:szCs w:val="18"/>
          <w:color w:val="auto"/>
        </w:rPr>
      </w:pPr>
    </w:p>
    <w:p>
      <w:pPr>
        <w:jc w:val="both"/>
        <w:ind w:left="372" w:hanging="372"/>
        <w:spacing w:after="0" w:line="261" w:lineRule="auto"/>
        <w:tabs>
          <w:tab w:leader="none" w:pos="372"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 Further Documentation</w:t>
      </w:r>
      <w:r>
        <w:rPr>
          <w:rFonts w:ascii="Times New Roman" w:cs="Times New Roman" w:eastAsia="Times New Roman" w:hAnsi="Times New Roman"/>
          <w:sz w:val="18"/>
          <w:szCs w:val="18"/>
          <w:color w:val="auto"/>
        </w:rPr>
        <w:t>. Prior to the date of the first Placement Notice, the Company shall deliver to the Agent a certificate of the Secretary of the Company and attested to by an executive officer of the Company, dated as of such date, certifying as to (i) the Certificate of Incorporation of the Company, (ii) the By-laws of the Company, (iii) the resolutions of the Board of Directors of the Company and any other authorized committee authorizing the execution, delivery and performance of this Agreement and the issuance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1004570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82" w:right="339" w:bottom="1440" w:gutter="0" w:footer="0" w:header="0"/>
        </w:sectPr>
      </w:pPr>
    </w:p>
    <w:bookmarkStart w:id="212" w:name="page213"/>
    <w:bookmarkEnd w:id="212"/>
    <w:p>
      <w:pPr>
        <w:jc w:val="both"/>
        <w:ind w:left="372"/>
        <w:spacing w:after="0" w:line="266" w:lineRule="auto"/>
        <w:rPr>
          <w:sz w:val="20"/>
          <w:szCs w:val="20"/>
          <w:color w:val="auto"/>
        </w:rPr>
      </w:pPr>
      <w:r>
        <w:rPr>
          <w:rFonts w:ascii="Times New Roman" w:cs="Times New Roman" w:eastAsia="Times New Roman" w:hAnsi="Times New Roman"/>
          <w:sz w:val="18"/>
          <w:szCs w:val="18"/>
          <w:color w:val="auto"/>
        </w:rPr>
        <w:t>Placement Shares and (iv) the incumbency of the officers duly authorized to execute this Agreement and the other documents contemplated by this Agreement. Within five (5) Trading Days of each Representation Date, the Company shall have furnished to the Agent such further information, certificates and documents as the Agent may reasonably request.</w:t>
      </w:r>
    </w:p>
    <w:p>
      <w:pPr>
        <w:spacing w:after="0" w:line="176" w:lineRule="exact"/>
        <w:rPr>
          <w:sz w:val="20"/>
          <w:szCs w:val="20"/>
          <w:color w:val="auto"/>
        </w:rPr>
      </w:pPr>
    </w:p>
    <w:p>
      <w:pPr>
        <w:jc w:val="both"/>
        <w:ind w:left="372" w:hanging="372"/>
        <w:spacing w:after="0" w:line="256" w:lineRule="auto"/>
        <w:tabs>
          <w:tab w:leader="none" w:pos="372"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Affirmation</w:t>
      </w:r>
      <w:r>
        <w:rPr>
          <w:rFonts w:ascii="Times New Roman" w:cs="Times New Roman" w:eastAsia="Times New Roman" w:hAnsi="Times New Roman"/>
          <w:sz w:val="18"/>
          <w:szCs w:val="18"/>
          <w:color w:val="auto"/>
        </w:rPr>
        <w:t>. Each Placement Notice delivered by the Company to the Agent shall be deemed to be (i) an affirmation that the representations, warranties and agreements of the Company herein contained and contained in any certificate delivered to the Agent pursuant hereto are true and correct at the time of delivery of such Placement Notice, and (ii) an undertaking that such representations, warranties and agreements will be true and correct at the time of each sale of any Placement Shares pursuant to this Agreement and on any applicable Settlement Date, as though made at and as of each such time (it being understood that such representations, warranties and agreements shall relate to the Registration Statement and the Prospectus as amended and supplemented to the time of such Placement Notice acceptance).</w:t>
      </w:r>
    </w:p>
    <w:p>
      <w:pPr>
        <w:spacing w:after="0" w:line="183" w:lineRule="exact"/>
        <w:rPr>
          <w:rFonts w:ascii="Times New Roman" w:cs="Times New Roman" w:eastAsia="Times New Roman" w:hAnsi="Times New Roman"/>
          <w:sz w:val="18"/>
          <w:szCs w:val="18"/>
          <w:color w:val="auto"/>
        </w:rPr>
      </w:pPr>
    </w:p>
    <w:p>
      <w:pPr>
        <w:jc w:val="both"/>
        <w:ind w:left="372" w:hanging="372"/>
        <w:spacing w:after="0" w:line="256" w:lineRule="auto"/>
        <w:tabs>
          <w:tab w:leader="none" w:pos="372"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Renewal</w:t>
      </w:r>
      <w:r>
        <w:rPr>
          <w:rFonts w:ascii="Times New Roman" w:cs="Times New Roman" w:eastAsia="Times New Roman" w:hAnsi="Times New Roman"/>
          <w:sz w:val="18"/>
          <w:szCs w:val="18"/>
          <w:color w:val="auto"/>
        </w:rPr>
        <w:t>. If immediately prior to the third anniversary (the “</w:t>
      </w:r>
      <w:r>
        <w:rPr>
          <w:rFonts w:ascii="Times New Roman" w:cs="Times New Roman" w:eastAsia="Times New Roman" w:hAnsi="Times New Roman"/>
          <w:sz w:val="18"/>
          <w:szCs w:val="18"/>
          <w:b w:val="1"/>
          <w:bCs w:val="1"/>
          <w:color w:val="auto"/>
        </w:rPr>
        <w:t>Renewal Deadline</w:t>
      </w:r>
      <w:r>
        <w:rPr>
          <w:rFonts w:ascii="Times New Roman" w:cs="Times New Roman" w:eastAsia="Times New Roman" w:hAnsi="Times New Roman"/>
          <w:sz w:val="18"/>
          <w:szCs w:val="18"/>
          <w:color w:val="auto"/>
        </w:rPr>
        <w:t>”) of the initial effective date of the Registration Statement, the aggregate gross sales price of Placement Shares sold by the Company is less than the Maximum Amount and this Agreement has not expired or been terminated, the Company will, prior to the Renewal Deadline, file, if it has not already done so and is eligible to do so, a new shelf registration statement relating to the Placement Shares, in a form satisfactory to the Agent, and, if not automatically effective, will use its best efforts to cause such registration statement to be declared effective within 60 days after the Renewal Deadline. The Company will take all other action necessary or appropriate to permit the issuance and sale of the Placement Shares to continue as contemplated in the expired registration statement relating to the Placement Shares. References herein to the Registration Statement shall include such new shelf registration statement.</w:t>
      </w:r>
    </w:p>
    <w:p>
      <w:pPr>
        <w:spacing w:after="0" w:line="187" w:lineRule="exact"/>
        <w:rPr>
          <w:sz w:val="20"/>
          <w:szCs w:val="20"/>
          <w:color w:val="auto"/>
        </w:rPr>
      </w:pPr>
    </w:p>
    <w:p>
      <w:pPr>
        <w:jc w:val="both"/>
        <w:ind w:left="372" w:hanging="372"/>
        <w:spacing w:after="0" w:line="251" w:lineRule="auto"/>
        <w:tabs>
          <w:tab w:leader="none" w:pos="372"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xml:space="preserve">. The Company will pay all expenses incident to the performance of its obligations under this Agreement, including (i) the preparation and filing of the Registration Statement, including any fees required by the Commission, and the printing or electronic delivery of the Prospectus as originally filed and of each amendment and supplement thereto, in such number as the Agent shall deem necessary, (ii) the printing and delivery to the Agent of this Agreement and such other documents as may be required in connection with the offering, purchase, sale, issuance or delivery of the Placement Shares, (iii) the preparation, issuance and delivery of the certificates, if any, for the Placement Shares to the Agent, including any stock or other transfer taxes and any capital duties, stamp duties or other duties or taxes payable upon the sale, issuance or delivery of the Placement Shares to the Agent, (iv) the fees and disbursements of the counsel, accountants and other advisors to the Company, (v) the reasonable and documented fees and expenses of Agent including but not limited to the fees and expenses of the counsel to the Agent, payable upon the execution of this Agreement, (a) in an amount not to exceed $100,000 in connection with the execution of this Agreement, (b) in an amount not to exceed $25,000 per calendar quarter thereafter payable in connection with each Representation Date with respect to which the Company is obligated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for which no waiver is applicable and excluding the date of this Agreement, and (c) in an amount not to exceed $75,000 for each program “refresh” (filing of a new registration statement, prospectus or prospectus supplement relating to the Placement Shares and/or an amendment of this Agreement) executed pursuant to this Agreement, (vi) the qualification or exemption of the Placement Shares under state securities laws in accordance with the provisions of </w:t>
      </w:r>
      <w:r>
        <w:rPr>
          <w:rFonts w:ascii="Times New Roman" w:cs="Times New Roman" w:eastAsia="Times New Roman" w:hAnsi="Times New Roman"/>
          <w:sz w:val="18"/>
          <w:szCs w:val="18"/>
          <w:u w:val="single" w:color="auto"/>
          <w:color w:val="auto"/>
        </w:rPr>
        <w:t>Section 7(r)</w:t>
      </w:r>
      <w:r>
        <w:rPr>
          <w:rFonts w:ascii="Times New Roman" w:cs="Times New Roman" w:eastAsia="Times New Roman" w:hAnsi="Times New Roman"/>
          <w:sz w:val="18"/>
          <w:szCs w:val="18"/>
          <w:color w:val="auto"/>
        </w:rPr>
        <w:t xml:space="preserve"> hereof, including filing fees, but excluding fees of the Agent’s counsel,</w:t>
      </w:r>
    </w:p>
    <w:p>
      <w:pPr>
        <w:spacing w:after="0" w:line="11" w:lineRule="exact"/>
        <w:rPr>
          <w:rFonts w:ascii="Times New Roman" w:cs="Times New Roman" w:eastAsia="Times New Roman" w:hAnsi="Times New Roman"/>
          <w:sz w:val="18"/>
          <w:szCs w:val="18"/>
          <w:color w:val="auto"/>
        </w:rPr>
      </w:pPr>
    </w:p>
    <w:p>
      <w:pPr>
        <w:jc w:val="both"/>
        <w:ind w:left="372" w:firstLine="2"/>
        <w:spacing w:after="0" w:line="250" w:lineRule="auto"/>
        <w:tabs>
          <w:tab w:leader="none" w:pos="737"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printing and delivery to the Agent of copies of any Issuer Free Writing Prospectus and the Prospectus and any amendments or supplements thereto in such number as the Agent shall deem necessary, (viii) the preparation, printing and delivery to the Agent of copies of the blue sky survey,</w:t>
      </w:r>
    </w:p>
    <w:p>
      <w:pPr>
        <w:jc w:val="both"/>
        <w:ind w:left="372" w:firstLine="2"/>
        <w:spacing w:after="0" w:line="252" w:lineRule="auto"/>
        <w:tabs>
          <w:tab w:leader="none" w:pos="683"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fees and expenses of the transfer agent and registrar for the Common Stock, (x) the filing and other fees incident to any review by FINRA of the terms of the sale of the Placement Shares including the reasonable and documented fees of the Agent’s counsel;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reasonable and documented fees and associated expenses of the counsel for the Agent in connection with the Company’s filings with the FINRA shall not exceed $10,000 (subject to the cap, set forth in clause (v) above), and (xi) the fees and expenses incurred in connection with the listing of the Placement Shares on the Exchange. The Company agrees to pay the reasonable and documented fees and expenses of counsel to the Agent set forth in clause (v) above by wire transfer of immediately available funds directly to such counsel upon presentation of an invoice containing the requisite payment information prepared by such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1010285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82" w:right="339" w:bottom="1440" w:gutter="0" w:footer="0" w:header="0"/>
        </w:sectPr>
      </w:pPr>
    </w:p>
    <w:bookmarkStart w:id="213" w:name="page214"/>
    <w:bookmarkEnd w:id="213"/>
    <w:p>
      <w:pPr>
        <w:jc w:val="both"/>
        <w:ind w:left="372" w:hanging="372"/>
        <w:spacing w:after="0" w:line="261" w:lineRule="auto"/>
        <w:tabs>
          <w:tab w:leader="none" w:pos="372"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Agent’s Obligations</w:t>
      </w:r>
      <w:r>
        <w:rPr>
          <w:rFonts w:ascii="Times New Roman" w:cs="Times New Roman" w:eastAsia="Times New Roman" w:hAnsi="Times New Roman"/>
          <w:sz w:val="18"/>
          <w:szCs w:val="18"/>
          <w:color w:val="auto"/>
        </w:rPr>
        <w:t>. The obligations of the Agent hereunder with respect to a Placement will be subject to the continuing accuracy and completeness of the representations and warranties made by the Company herein, to the due performance by the Company of its obligations hereunder, to the completion by the Agent of a due diligence review satisfactory to it in its reasonable judgment, and to the continuing satisfaction (or waiver by the Agent in its sole discretion) of the following additional conditions:</w:t>
      </w:r>
    </w:p>
    <w:p>
      <w:pPr>
        <w:spacing w:after="0" w:line="180" w:lineRule="exact"/>
        <w:rPr>
          <w:sz w:val="20"/>
          <w:szCs w:val="20"/>
          <w:color w:val="auto"/>
        </w:rPr>
      </w:pPr>
    </w:p>
    <w:p>
      <w:pPr>
        <w:jc w:val="both"/>
        <w:ind w:left="372" w:hanging="372"/>
        <w:spacing w:after="0" w:line="275" w:lineRule="auto"/>
        <w:tabs>
          <w:tab w:leader="none" w:pos="372"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Effective</w:t>
      </w:r>
      <w:r>
        <w:rPr>
          <w:rFonts w:ascii="Times New Roman" w:cs="Times New Roman" w:eastAsia="Times New Roman" w:hAnsi="Times New Roman"/>
          <w:sz w:val="18"/>
          <w:szCs w:val="18"/>
          <w:color w:val="auto"/>
        </w:rPr>
        <w:t>. The Registration Statement shall have become effective and shall be available for the (i) sale of all Placement Shares issued to the Agent and not yet sold by the Agent and (ii) sale of all Placement Shares contemplated to be issued pursuant to any Placement Notice.</w:t>
      </w:r>
    </w:p>
    <w:p>
      <w:pPr>
        <w:spacing w:after="0" w:line="389" w:lineRule="exact"/>
        <w:rPr>
          <w:rFonts w:ascii="Times New Roman" w:cs="Times New Roman" w:eastAsia="Times New Roman" w:hAnsi="Times New Roman"/>
          <w:sz w:val="18"/>
          <w:szCs w:val="18"/>
          <w:color w:val="auto"/>
        </w:rPr>
      </w:pPr>
    </w:p>
    <w:p>
      <w:pPr>
        <w:jc w:val="both"/>
        <w:ind w:left="372" w:hanging="372"/>
        <w:spacing w:after="0" w:line="253" w:lineRule="auto"/>
        <w:tabs>
          <w:tab w:leader="none" w:pos="372"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Notices</w:t>
      </w:r>
      <w:r>
        <w:rPr>
          <w:rFonts w:ascii="Times New Roman" w:cs="Times New Roman" w:eastAsia="Times New Roman" w:hAnsi="Times New Roman"/>
          <w:sz w:val="18"/>
          <w:szCs w:val="18"/>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statement of a material fact made in the Registration Statement or the Prospectus or any document incorporated or deemed to be incorporated therein by reference untrue or that requires the making of any changes in the Registration Statement, the Prospectus or documents so that, in the case of the Registration Statement, it will not contain an untrue statement of a material fact or omit to state any material fact required to be stated therein or necessary to make the statements therein not misleading and, that in the case of the Prospectus, it will not contain an untrue statement of a material fact or omit to state a material fact required to be stated therein or necessary to make the statements therein, in the light of the circumstances under which they were made, not misleading.</w:t>
      </w:r>
    </w:p>
    <w:p>
      <w:pPr>
        <w:spacing w:after="0" w:line="189" w:lineRule="exact"/>
        <w:rPr>
          <w:rFonts w:ascii="Times New Roman" w:cs="Times New Roman" w:eastAsia="Times New Roman" w:hAnsi="Times New Roman"/>
          <w:sz w:val="18"/>
          <w:szCs w:val="18"/>
          <w:color w:val="auto"/>
        </w:rPr>
      </w:pPr>
    </w:p>
    <w:p>
      <w:pPr>
        <w:jc w:val="both"/>
        <w:ind w:left="372" w:hanging="372"/>
        <w:spacing w:after="0" w:line="266" w:lineRule="auto"/>
        <w:tabs>
          <w:tab w:leader="none" w:pos="372"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Material Omission</w:t>
      </w:r>
      <w:r>
        <w:rPr>
          <w:rFonts w:ascii="Times New Roman" w:cs="Times New Roman" w:eastAsia="Times New Roman" w:hAnsi="Times New Roman"/>
          <w:sz w:val="18"/>
          <w:szCs w:val="18"/>
          <w:color w:val="auto"/>
        </w:rPr>
        <w:t>. The Agent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75" w:lineRule="exact"/>
        <w:rPr>
          <w:rFonts w:ascii="Times New Roman" w:cs="Times New Roman" w:eastAsia="Times New Roman" w:hAnsi="Times New Roman"/>
          <w:sz w:val="18"/>
          <w:szCs w:val="18"/>
          <w:color w:val="auto"/>
        </w:rPr>
      </w:pPr>
    </w:p>
    <w:p>
      <w:pPr>
        <w:jc w:val="both"/>
        <w:ind w:left="372" w:hanging="372"/>
        <w:spacing w:after="0" w:line="254" w:lineRule="auto"/>
        <w:tabs>
          <w:tab w:leader="none" w:pos="372"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w:t>
      </w:r>
      <w:r>
        <w:rPr>
          <w:rFonts w:ascii="Times New Roman" w:cs="Times New Roman" w:eastAsia="Times New Roman" w:hAnsi="Times New Roman"/>
          <w:sz w:val="18"/>
          <w:szCs w:val="18"/>
          <w:color w:val="auto"/>
        </w:rPr>
        <w:t>. Except as contemplated in the Prospectus, or disclosed in the Company’s reports filed with the Commission, there shall not have been any material adverse change in the authorized capital stock of the Company or any Material Adverse Effect or any development that would cause a Material Adverse Effect, or a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91" w:lineRule="exact"/>
        <w:rPr>
          <w:rFonts w:ascii="Times New Roman" w:cs="Times New Roman" w:eastAsia="Times New Roman" w:hAnsi="Times New Roman"/>
          <w:sz w:val="18"/>
          <w:szCs w:val="18"/>
          <w:color w:val="auto"/>
        </w:rPr>
      </w:pPr>
    </w:p>
    <w:p>
      <w:pPr>
        <w:ind w:left="372" w:hanging="372"/>
        <w:spacing w:after="0" w:line="282" w:lineRule="auto"/>
        <w:tabs>
          <w:tab w:leader="none" w:pos="372"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Counsel Legal Opinions</w:t>
      </w:r>
      <w:r>
        <w:rPr>
          <w:rFonts w:ascii="Times New Roman" w:cs="Times New Roman" w:eastAsia="Times New Roman" w:hAnsi="Times New Roman"/>
          <w:sz w:val="18"/>
          <w:szCs w:val="18"/>
          <w:color w:val="auto"/>
        </w:rPr>
        <w:t xml:space="preserve">. The Agent shall have received the opinions and negative assurance letters required to be delivered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on or before the date on which such delivery of such opinions is required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372" w:hanging="372"/>
        <w:spacing w:after="0" w:line="261" w:lineRule="auto"/>
        <w:tabs>
          <w:tab w:leader="none" w:pos="372"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Counsel Legal Opinion</w:t>
      </w:r>
      <w:r>
        <w:rPr>
          <w:rFonts w:ascii="Times New Roman" w:cs="Times New Roman" w:eastAsia="Times New Roman" w:hAnsi="Times New Roman"/>
          <w:sz w:val="18"/>
          <w:szCs w:val="18"/>
          <w:color w:val="auto"/>
        </w:rPr>
        <w:t xml:space="preserve">. The Agent shall have received from Wilmer Cutler Pickering Hale and Dorr LLP, counsel for the Agent, such opinion or opinions, on or before the date on which the delivery of the opinions and negative assurance letters required to be delivered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7(m)</w:t>
      </w:r>
      <w:r>
        <w:rPr>
          <w:rFonts w:ascii="Times New Roman" w:cs="Times New Roman" w:eastAsia="Times New Roman" w:hAnsi="Times New Roman"/>
          <w:sz w:val="18"/>
          <w:szCs w:val="18"/>
          <w:color w:val="auto"/>
        </w:rPr>
        <w:t>, with respect to such matters as the Agent may reasonably require, and the Company shall have furnished to such counsel such documents as they request for enabling them to pass upon such matters.</w:t>
      </w:r>
    </w:p>
    <w:p>
      <w:pPr>
        <w:spacing w:after="0" w:line="179" w:lineRule="exact"/>
        <w:rPr>
          <w:rFonts w:ascii="Times New Roman" w:cs="Times New Roman" w:eastAsia="Times New Roman" w:hAnsi="Times New Roman"/>
          <w:sz w:val="18"/>
          <w:szCs w:val="18"/>
          <w:color w:val="auto"/>
        </w:rPr>
      </w:pPr>
    </w:p>
    <w:p>
      <w:pPr>
        <w:ind w:left="372" w:hanging="372"/>
        <w:spacing w:after="0" w:line="282" w:lineRule="auto"/>
        <w:tabs>
          <w:tab w:leader="none" w:pos="372"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The Agent shall have received the Comfort Letter required to be delivered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on or before the date on which such delivery of such Comfort Letter is required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993140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82" w:right="339" w:bottom="1440" w:gutter="0" w:footer="0" w:header="0"/>
        </w:sectPr>
      </w:pPr>
    </w:p>
    <w:bookmarkStart w:id="214" w:name="page215"/>
    <w:bookmarkEnd w:id="214"/>
    <w:p>
      <w:pPr>
        <w:ind w:left="380" w:hanging="372"/>
        <w:spacing w:after="0" w:line="282" w:lineRule="auto"/>
        <w:tabs>
          <w:tab w:leader="none" w:pos="3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Certificate</w:t>
      </w:r>
      <w:r>
        <w:rPr>
          <w:rFonts w:ascii="Times New Roman" w:cs="Times New Roman" w:eastAsia="Times New Roman" w:hAnsi="Times New Roman"/>
          <w:sz w:val="18"/>
          <w:szCs w:val="18"/>
          <w:color w:val="auto"/>
        </w:rPr>
        <w:t xml:space="preserve">. The Agent shall have received the certificate required to be delivered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on or before the date on which delivery of such certificate is required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xml:space="preserve">. The Agent shall have received the certificate required to be delivered pursuant to </w:t>
      </w:r>
      <w:r>
        <w:rPr>
          <w:rFonts w:ascii="Times New Roman" w:cs="Times New Roman" w:eastAsia="Times New Roman" w:hAnsi="Times New Roman"/>
          <w:sz w:val="18"/>
          <w:szCs w:val="18"/>
          <w:u w:val="single" w:color="auto"/>
          <w:color w:val="auto"/>
        </w:rPr>
        <w:t>Section 7(t)</w:t>
      </w:r>
      <w:r>
        <w:rPr>
          <w:rFonts w:ascii="Times New Roman" w:cs="Times New Roman" w:eastAsia="Times New Roman" w:hAnsi="Times New Roman"/>
          <w:sz w:val="18"/>
          <w:szCs w:val="18"/>
          <w:color w:val="auto"/>
        </w:rPr>
        <w:t xml:space="preserve"> on or before the date on which delivery of such certificate is required pursuant to </w:t>
      </w:r>
      <w:r>
        <w:rPr>
          <w:rFonts w:ascii="Times New Roman" w:cs="Times New Roman" w:eastAsia="Times New Roman" w:hAnsi="Times New Roman"/>
          <w:sz w:val="18"/>
          <w:szCs w:val="18"/>
          <w:u w:val="single" w:color="auto"/>
          <w:color w:val="auto"/>
        </w:rPr>
        <w:t>Section 7(t)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w:t>
      </w:r>
      <w:r>
        <w:rPr>
          <w:rFonts w:ascii="Times New Roman" w:cs="Times New Roman" w:eastAsia="Times New Roman" w:hAnsi="Times New Roman"/>
          <w:sz w:val="18"/>
          <w:szCs w:val="18"/>
          <w:color w:val="auto"/>
        </w:rPr>
        <w:t>. Trading in the Common Stock shall not have been suspended on the Exchange and the Common Stock shall not have been delisted from the Exchange.</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Materials</w:t>
      </w:r>
      <w:r>
        <w:rPr>
          <w:rFonts w:ascii="Times New Roman" w:cs="Times New Roman" w:eastAsia="Times New Roman" w:hAnsi="Times New Roman"/>
          <w:sz w:val="18"/>
          <w:szCs w:val="18"/>
          <w:color w:val="auto"/>
        </w:rPr>
        <w:t xml:space="preserve">. On each date on which the Company is required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the Company shall have furnished to the Agent such appropriate further information, opinions, certificates, letters and other documents as the Agent may reasonably request. All such opinions, certificates, letters and other documents will be in compliance with the provisions hereof.</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Filings Made</w:t>
      </w:r>
      <w:r>
        <w:rPr>
          <w:rFonts w:ascii="Times New Roman" w:cs="Times New Roman" w:eastAsia="Times New Roman" w:hAnsi="Times New Roman"/>
          <w:sz w:val="18"/>
          <w:szCs w:val="18"/>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for Listing</w:t>
      </w:r>
      <w:r>
        <w:rPr>
          <w:rFonts w:ascii="Times New Roman" w:cs="Times New Roman" w:eastAsia="Times New Roman" w:hAnsi="Times New Roman"/>
          <w:sz w:val="18"/>
          <w:szCs w:val="18"/>
          <w:color w:val="auto"/>
        </w:rPr>
        <w:t>. The Placement Shares shall either have been (i) approved for listing on the Exchange, subject only to notice of issuance, or (ii) the Company shall have filed an application for listing of the Placement Shares on the Exchange at, or prior to, the issuance of any Placement Notice and the Exchange shall have reviewed such application and not provided any objections thereto.</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If applicable, FINRA shall have raised no objection to the terms of this offering and the amount of compensation allowable or payable to the Agent as described in the Prospectus.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Termination Event</w:t>
      </w:r>
      <w:r>
        <w:rPr>
          <w:rFonts w:ascii="Times New Roman" w:cs="Times New Roman" w:eastAsia="Times New Roman" w:hAnsi="Times New Roman"/>
          <w:sz w:val="18"/>
          <w:szCs w:val="18"/>
          <w:color w:val="auto"/>
        </w:rPr>
        <w:t xml:space="preserve">. There shall not have occurred any event that would permit the Agent to terminate this Agreement pursuant to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7"/>
          <w:szCs w:val="17"/>
          <w:color w:val="auto"/>
        </w:rPr>
        <w:t>Indemnification and Contribution.</w:t>
      </w:r>
    </w:p>
    <w:p>
      <w:pPr>
        <w:spacing w:after="0" w:line="225" w:lineRule="exact"/>
        <w:rPr>
          <w:sz w:val="20"/>
          <w:szCs w:val="20"/>
          <w:color w:val="auto"/>
        </w:rPr>
      </w:pPr>
    </w:p>
    <w:p>
      <w:pPr>
        <w:jc w:val="both"/>
        <w:ind w:left="380" w:hanging="372"/>
        <w:spacing w:after="0" w:line="266" w:lineRule="auto"/>
        <w:tabs>
          <w:tab w:leader="none" w:pos="3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Indemnification</w:t>
      </w:r>
      <w:r>
        <w:rPr>
          <w:rFonts w:ascii="Times New Roman" w:cs="Times New Roman" w:eastAsia="Times New Roman" w:hAnsi="Times New Roman"/>
          <w:sz w:val="18"/>
          <w:szCs w:val="18"/>
          <w:color w:val="auto"/>
        </w:rPr>
        <w:t>. The Company agrees to indemnify and hold harmless the Agent, its affiliates and their respective partners, members, directors, officers, employees and agents and each person, if any, who (i) controls the Agent or any affiliate within the meaning of Section 15 of the Securities Act or Section 20 of the Exchange Act or (ii) is controlled by or is under common control with the Agent as follows:</w:t>
      </w:r>
    </w:p>
    <w:p>
      <w:pPr>
        <w:spacing w:after="0" w:line="175" w:lineRule="exact"/>
        <w:rPr>
          <w:rFonts w:ascii="Times New Roman" w:cs="Times New Roman" w:eastAsia="Times New Roman" w:hAnsi="Times New Roman"/>
          <w:sz w:val="18"/>
          <w:szCs w:val="18"/>
          <w:color w:val="auto"/>
        </w:rPr>
      </w:pPr>
    </w:p>
    <w:p>
      <w:pPr>
        <w:jc w:val="both"/>
        <w:ind w:left="380" w:firstLine="2248"/>
        <w:spacing w:after="0" w:line="256" w:lineRule="auto"/>
        <w:tabs>
          <w:tab w:leader="none" w:pos="3061"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reasonable and documented expense,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jc w:val="both"/>
        <w:ind w:left="380" w:firstLine="2248"/>
        <w:spacing w:after="0" w:line="258" w:lineRule="auto"/>
        <w:tabs>
          <w:tab w:leader="none" w:pos="3061"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against any and all loss, liability, claim, damage and reasonable and documented expense, as incurred, joint or several,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below) any such settlement is effected with the written consent of the Company, which consent shall not unreasonably be delayed or withheld; and</w:t>
      </w:r>
    </w:p>
    <w:p>
      <w:pPr>
        <w:spacing w:after="0" w:line="183" w:lineRule="exact"/>
        <w:rPr>
          <w:rFonts w:ascii="Times New Roman" w:cs="Times New Roman" w:eastAsia="Times New Roman" w:hAnsi="Times New Roman"/>
          <w:sz w:val="18"/>
          <w:szCs w:val="18"/>
          <w:color w:val="auto"/>
        </w:rPr>
      </w:pPr>
    </w:p>
    <w:p>
      <w:pPr>
        <w:jc w:val="both"/>
        <w:ind w:left="380" w:firstLine="2248"/>
        <w:spacing w:after="0" w:line="261" w:lineRule="auto"/>
        <w:tabs>
          <w:tab w:leader="none" w:pos="3061"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reasonable and documented expense, as incurred (including the reasonable and documented fees and disbursements of counsel), reasonably incurred in investigating, preparing or defending against any litigation, or any investigation or proceeding by any Governmental Authority, commenced or threatened, or any claim whatsoever based upon any such untrue statement or omission,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15" w:name="page216"/>
    <w:bookmarkEnd w:id="215"/>
    <w:p>
      <w:pPr>
        <w:ind w:left="372"/>
        <w:spacing w:after="0"/>
        <w:rPr>
          <w:sz w:val="20"/>
          <w:szCs w:val="20"/>
          <w:color w:val="auto"/>
        </w:rPr>
      </w:pPr>
      <w:r>
        <w:rPr>
          <w:rFonts w:ascii="Times New Roman" w:cs="Times New Roman" w:eastAsia="Times New Roman" w:hAnsi="Times New Roman"/>
          <w:sz w:val="18"/>
          <w:szCs w:val="18"/>
          <w:color w:val="auto"/>
        </w:rPr>
        <w:t>such alleged untrue statement or omission (whether or not a party), to the extent that any such expense is not paid under (i) or (ii) above,</w:t>
      </w:r>
    </w:p>
    <w:p>
      <w:pPr>
        <w:spacing w:after="0" w:line="223" w:lineRule="exact"/>
        <w:rPr>
          <w:sz w:val="20"/>
          <w:szCs w:val="20"/>
          <w:color w:val="auto"/>
        </w:rPr>
      </w:pPr>
    </w:p>
    <w:p>
      <w:pPr>
        <w:jc w:val="both"/>
        <w:ind w:left="372"/>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this indemnity agreement shall not apply to any loss, liability, claim, damage or expense to the extent arising out of any untrue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or omission or alleged untrue statement or omission made solely in reliance upon and in conformity with the Agent Information (as defined below).</w:t>
      </w:r>
    </w:p>
    <w:p>
      <w:pPr>
        <w:spacing w:after="0" w:line="175" w:lineRule="exact"/>
        <w:rPr>
          <w:sz w:val="20"/>
          <w:szCs w:val="20"/>
          <w:color w:val="auto"/>
        </w:rPr>
      </w:pPr>
    </w:p>
    <w:p>
      <w:pPr>
        <w:jc w:val="both"/>
        <w:ind w:left="372" w:hanging="372"/>
        <w:spacing w:after="0" w:line="254" w:lineRule="auto"/>
        <w:tabs>
          <w:tab w:leader="none" w:pos="372"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Indemnification</w:t>
      </w:r>
      <w:r>
        <w:rPr>
          <w:rFonts w:ascii="Times New Roman" w:cs="Times New Roman" w:eastAsia="Times New Roman" w:hAnsi="Times New Roman"/>
          <w:sz w:val="18"/>
          <w:szCs w:val="18"/>
          <w:color w:val="auto"/>
        </w:rPr>
        <w:t xml:space="preserve">. Agent agrees to indemnify and hold harmless the Company and its directors and each officer of the Company who signed the Registration Statement, and each person, if any, who controls the Company within the meaning of Section 15 of the Securities Act or Section 20 of the Exchange Act against any and all loss, liability, claim, damage and expense described in the indemnity contained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as incurred, but only with respect to untrue statements or omissions, or alleged untrue statements or omissions, made in the Registration Statement (or any amendments thereto), the Prospectus (or any amendment or supplement thereto) or any Issuer Free Writing Prospectus (or any amendment or supplement thereto) in reliance upon and in conformity with information relating to the Agent and furnished to the Company in writing by the Agent expressly for use therein. The Company hereby acknowledges that the only information that the Agent has furnished to the Company expressly for use in the Registration Statement, the Prospectus, any Prospectus Supplement or any Issuer Free Writing Prospectus (or any amendment or supplement thereto) is the third sentence in the eighth paragraph under the caption “Plan of Distribution” in the Prospectus (the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Information</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jc w:val="both"/>
        <w:ind w:left="372" w:hanging="372"/>
        <w:spacing w:after="0" w:line="251" w:lineRule="auto"/>
        <w:tabs>
          <w:tab w:leader="none" w:pos="372"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xml:space="preserve">. Any party that proposes to assert the right to be indemnified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will, promptly after receipt of notice of commencement of any action against such party in respect of which a claim is to be made against an indemnifying party or parties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and (ii) any liability that it may have to any indemnified party under the foregoing provision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or counsel reasonably satisfactory to the indemnified party, in each case,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(plus local counsel) admitted to practice in such jurisdiction at any one time for all such indemnified party or parties. All such reasonable and documented fees, disbursements and other charges will be reimbursed by the indemnifying party promptly as they are incurred after the indemnifying party receives a written invoice related to such fees, disbursement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1019810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82" w:right="339" w:bottom="1440" w:gutter="0" w:footer="0" w:header="0"/>
        </w:sectPr>
      </w:pPr>
    </w:p>
    <w:bookmarkStart w:id="216" w:name="page217"/>
    <w:bookmarkEnd w:id="216"/>
    <w:p>
      <w:pPr>
        <w:jc w:val="both"/>
        <w:ind w:left="372"/>
        <w:spacing w:after="0" w:line="261"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(whether or not any indemnified party is a party thereto), unless such settlement, compromise or consent (1) includes an express and unconditional release of each indemnified party, in form and substance reasonably satisfactory to such indemnified party, from all liability arising out of such litigation, investigation, proceeding or claim and (2) does not include a statement as to or an admission of fault, culpability or a failure to act by or on behalf of any indemnified party.</w:t>
      </w:r>
    </w:p>
    <w:p>
      <w:pPr>
        <w:spacing w:after="0" w:line="178" w:lineRule="exact"/>
        <w:rPr>
          <w:sz w:val="20"/>
          <w:szCs w:val="20"/>
          <w:color w:val="auto"/>
        </w:rPr>
      </w:pPr>
    </w:p>
    <w:p>
      <w:pPr>
        <w:jc w:val="both"/>
        <w:ind w:left="372" w:hanging="372"/>
        <w:spacing w:after="0" w:line="257" w:lineRule="auto"/>
        <w:tabs>
          <w:tab w:leader="none" w:pos="372"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Without Consent if Failure to Reimburse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an indemnified party shall have requested an indemnifying party to reimburse the indemnified party for reasonable fees and expenses of counsel, such indemnifying party agrees that it shall be liable for any settlement of the nature contemplated by </w:t>
      </w:r>
      <w:r>
        <w:rPr>
          <w:rFonts w:ascii="Times New Roman" w:cs="Times New Roman" w:eastAsia="Times New Roman" w:hAnsi="Times New Roman"/>
          <w:sz w:val="18"/>
          <w:szCs w:val="18"/>
          <w:u w:val="single" w:color="auto"/>
          <w:color w:val="auto"/>
        </w:rPr>
        <w:t>Section 10(a)(ii)</w:t>
      </w:r>
      <w:r>
        <w:rPr>
          <w:rFonts w:ascii="Times New Roman" w:cs="Times New Roman" w:eastAsia="Times New Roman" w:hAnsi="Times New Roman"/>
          <w:sz w:val="18"/>
          <w:szCs w:val="18"/>
          <w:color w:val="auto"/>
        </w:rPr>
        <w:t xml:space="preserve"> effected without its written consent if (1) such settlement is entered into more than 45 days after receipt by such indemnifying party of the aforesaid request, (2) such indemnifying party shall have received notice of the terms of such settlement at least 30 days prior to such settlement being entered into and (3) such indemnifying party shall not have reimbursed such indemnified party in accordance with such request prior to the date of such settlement.</w:t>
      </w:r>
    </w:p>
    <w:p>
      <w:pPr>
        <w:spacing w:after="0" w:line="184" w:lineRule="exact"/>
        <w:rPr>
          <w:rFonts w:ascii="Times New Roman" w:cs="Times New Roman" w:eastAsia="Times New Roman" w:hAnsi="Times New Roman"/>
          <w:sz w:val="18"/>
          <w:szCs w:val="18"/>
          <w:color w:val="auto"/>
        </w:rPr>
      </w:pPr>
    </w:p>
    <w:p>
      <w:pPr>
        <w:jc w:val="both"/>
        <w:ind w:left="372" w:hanging="372"/>
        <w:spacing w:after="0" w:line="251" w:lineRule="auto"/>
        <w:tabs>
          <w:tab w:leader="none" w:pos="372"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In order to provide for just and equitable contribution in circumstances in which the indemnification provided for in the foregoing paragraphs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is applicable in accordance with its terms but for any reason is held to be unavailable or insufficient from the Company or the Agent, the Company and the Agent will contribute to the total losses, claims, liabilities, reasonable and documented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the Agent, such as persons who control the Company within the meaning of the Securities Act, officers of the Company who signed the Registration Statement and directors of the Company, who also may be liable for contribution)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shall be deemed to include, for the purpose of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any legal or other expenses reasonably incurred by such indemnified party in connection with investigating or defending any such action or claim to the extent consistent with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hereof. Notwithstanding the foregoing provisions of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the Agent shall not be required to contribute any amount in excess of the commissions received by it under this Agreement and no person found guilty of fraudulent misrepresentation (within the meaning of </w:t>
      </w:r>
      <w:r>
        <w:rPr>
          <w:rFonts w:ascii="Times New Roman" w:cs="Times New Roman" w:eastAsia="Times New Roman" w:hAnsi="Times New Roman"/>
          <w:sz w:val="18"/>
          <w:szCs w:val="18"/>
          <w:u w:val="single" w:color="auto"/>
          <w:color w:val="auto"/>
        </w:rPr>
        <w:t>Section 11(f)</w:t>
      </w:r>
      <w:r>
        <w:rPr>
          <w:rFonts w:ascii="Times New Roman" w:cs="Times New Roman" w:eastAsia="Times New Roman" w:hAnsi="Times New Roman"/>
          <w:sz w:val="18"/>
          <w:szCs w:val="18"/>
          <w:color w:val="auto"/>
        </w:rPr>
        <w:t xml:space="preserve"> of the Securities Act) will be entitled to contribution from any person who was not guilty of such fraudulent misrepresentation. For purposes of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any person who controls a party to this Agreement within the meaning of the Securities Act, any affiliates of the Agent and any officers, directors, partners, employees or agents of the Agent or any of its affiliates,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1017905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82" w:right="339" w:bottom="1440" w:gutter="0" w:footer="0" w:header="0"/>
        </w:sectPr>
      </w:pPr>
    </w:p>
    <w:bookmarkStart w:id="217" w:name="page218"/>
    <w:bookmarkEnd w:id="217"/>
    <w:p>
      <w:pPr>
        <w:jc w:val="both"/>
        <w:ind w:left="372" w:firstLine="63"/>
        <w:spacing w:after="0" w:line="266" w:lineRule="auto"/>
        <w:rPr>
          <w:sz w:val="20"/>
          <w:szCs w:val="20"/>
          <w:color w:val="auto"/>
        </w:rPr>
      </w:pPr>
      <w:r>
        <w:rPr>
          <w:rFonts w:ascii="Times New Roman" w:cs="Times New Roman" w:eastAsia="Times New Roman" w:hAnsi="Times New Roman"/>
          <w:sz w:val="18"/>
          <w:szCs w:val="18"/>
          <w:color w:val="auto"/>
        </w:rPr>
        <w:t xml:space="preserve">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hereof, no party will be liable for contribution with respect to any action or claim settled without its written consent if such consent is required pursuant to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p>
      <w:pPr>
        <w:jc w:val="both"/>
        <w:ind w:left="372" w:hanging="372"/>
        <w:spacing w:after="0" w:line="258" w:lineRule="auto"/>
        <w:tabs>
          <w:tab w:leader="none" w:pos="372"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Agreements to Survive Delivery</w:t>
      </w:r>
      <w:r>
        <w:rPr>
          <w:rFonts w:ascii="Times New Roman" w:cs="Times New Roman" w:eastAsia="Times New Roman" w:hAnsi="Times New Roman"/>
          <w:sz w:val="18"/>
          <w:szCs w:val="18"/>
          <w:color w:val="auto"/>
        </w:rPr>
        <w:t xml:space="preserve">. The indemnity and contribution agreements contained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employees or controlling persons), (ii) delivery and acceptance of the Placement Shares and payment therefor or (iii) any termination of this Agreement.</w:t>
      </w:r>
    </w:p>
    <w:p>
      <w:pPr>
        <w:spacing w:after="0" w:line="183"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w:t>
      </w:r>
    </w:p>
    <w:p>
      <w:pPr>
        <w:spacing w:after="0" w:line="225" w:lineRule="exact"/>
        <w:rPr>
          <w:sz w:val="20"/>
          <w:szCs w:val="20"/>
          <w:color w:val="auto"/>
        </w:rPr>
      </w:pPr>
    </w:p>
    <w:p>
      <w:pPr>
        <w:jc w:val="both"/>
        <w:ind w:left="372" w:hanging="372"/>
        <w:spacing w:after="0" w:line="252" w:lineRule="auto"/>
        <w:tabs>
          <w:tab w:leader="none" w:pos="372"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may terminate this Agreement, by notice to the Company, as hereinafter specified at any time (1) if there has been, since the time of execution of this Agreement or since the date as of which information is given in the Prospectus, any change, or any development or event involving a prospective change, in the condition, financial or otherwise, or in the business, properties, earnings, results of operations or prospects of the Company and its Subsidiaries considered as one enterprise, whether or not arising in the ordinary course of business, which individually or in the aggregate, in the reasonable judgment of the Agent is material and adverse and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Agent, impracticable or inadvisable to market the Placement Shares or to enforce contracts for the sale of the Placement Shares, (3) if trading in the Common Stock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(5) 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(Payment of Expenses),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(Indemnification and Contribution),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(Representations and Agreements to Survive Delivery),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 xml:space="preserve"> (Governing Law and Time; Waiver of Jury Trial)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(Consent to Jurisdiction) hereof shall remain in full force and effect notwithstanding such termination. If the Agent elects to terminate this Agreement as provided in this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the Agent shall provide the required notice as specified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(Notices).</w:t>
      </w:r>
    </w:p>
    <w:p>
      <w:pPr>
        <w:spacing w:after="0" w:line="191" w:lineRule="exact"/>
        <w:rPr>
          <w:rFonts w:ascii="Times New Roman" w:cs="Times New Roman" w:eastAsia="Times New Roman" w:hAnsi="Times New Roman"/>
          <w:sz w:val="18"/>
          <w:szCs w:val="18"/>
          <w:color w:val="auto"/>
        </w:rPr>
      </w:pPr>
    </w:p>
    <w:p>
      <w:pPr>
        <w:jc w:val="both"/>
        <w:ind w:left="372" w:hanging="372"/>
        <w:spacing w:after="0" w:line="266" w:lineRule="auto"/>
        <w:tabs>
          <w:tab w:leader="none" w:pos="372"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hereof shall remain in full force and effect notwithstanding such termination.</w:t>
      </w:r>
    </w:p>
    <w:p>
      <w:pPr>
        <w:spacing w:after="0" w:line="175" w:lineRule="exact"/>
        <w:rPr>
          <w:rFonts w:ascii="Times New Roman" w:cs="Times New Roman" w:eastAsia="Times New Roman" w:hAnsi="Times New Roman"/>
          <w:sz w:val="18"/>
          <w:szCs w:val="18"/>
          <w:color w:val="auto"/>
        </w:rPr>
      </w:pPr>
    </w:p>
    <w:p>
      <w:pPr>
        <w:jc w:val="both"/>
        <w:ind w:left="372" w:hanging="372"/>
        <w:spacing w:after="0" w:line="266" w:lineRule="auto"/>
        <w:tabs>
          <w:tab w:leader="none" w:pos="372"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hereof shall remain in full force and effect notwithstanding such termination.</w:t>
      </w:r>
    </w:p>
    <w:p>
      <w:pPr>
        <w:spacing w:after="0" w:line="175" w:lineRule="exact"/>
        <w:rPr>
          <w:rFonts w:ascii="Times New Roman" w:cs="Times New Roman" w:eastAsia="Times New Roman" w:hAnsi="Times New Roman"/>
          <w:sz w:val="18"/>
          <w:szCs w:val="18"/>
          <w:color w:val="auto"/>
        </w:rPr>
      </w:pPr>
    </w:p>
    <w:p>
      <w:pPr>
        <w:jc w:val="both"/>
        <w:ind w:left="372" w:hanging="372"/>
        <w:spacing w:after="0" w:line="258" w:lineRule="auto"/>
        <w:tabs>
          <w:tab w:leader="none" w:pos="372"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remain in full force and effect unless terminated pursuant to </w:t>
      </w:r>
      <w:r>
        <w:rPr>
          <w:rFonts w:ascii="Times New Roman" w:cs="Times New Roman" w:eastAsia="Times New Roman" w:hAnsi="Times New Roman"/>
          <w:sz w:val="18"/>
          <w:szCs w:val="18"/>
          <w:u w:val="single" w:color="auto"/>
          <w:color w:val="auto"/>
        </w:rPr>
        <w:t>Sections 12(a)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or otherwise by mutual agreement of the parties; provided, however, that this Agreement shall automatically terminate upon the issuance and sale of all of the Placement Shares through the Agent on the terms and subject to the conditions set forth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such termination by mutual agreement or automatic termination shall in all cases be deemed to provide that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shall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1007110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82" w:right="339" w:bottom="1440" w:gutter="0" w:footer="0" w:header="0"/>
        </w:sectPr>
      </w:pPr>
    </w:p>
    <w:bookmarkStart w:id="218" w:name="page219"/>
    <w:bookmarkEnd w:id="218"/>
    <w:p>
      <w:pPr>
        <w:jc w:val="both"/>
        <w:ind w:left="372" w:hanging="372"/>
        <w:spacing w:after="0" w:line="261" w:lineRule="auto"/>
        <w:tabs>
          <w:tab w:leader="none" w:pos="372"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termination of this Agreement shall be effective on the date specified in such notice of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w:t>
      </w:r>
    </w:p>
    <w:p>
      <w:pPr>
        <w:spacing w:after="0" w:line="182" w:lineRule="exact"/>
        <w:rPr>
          <w:sz w:val="20"/>
          <w:szCs w:val="20"/>
          <w:color w:val="auto"/>
        </w:rPr>
      </w:pPr>
    </w:p>
    <w:p>
      <w:pPr>
        <w:ind w:left="372" w:hanging="372"/>
        <w:spacing w:after="0" w:line="282" w:lineRule="auto"/>
        <w:tabs>
          <w:tab w:leader="none" w:pos="372"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required or permitted to be given by any party to any other party pursuant to the terms of this Agreement shall be in writing, unless otherwise specified in this Agreement, and if sent to the Agent, shall be delivered to:</w:t>
      </w:r>
    </w:p>
    <w:p>
      <w:pPr>
        <w:spacing w:after="0" w:line="162" w:lineRule="exact"/>
        <w:rPr>
          <w:sz w:val="20"/>
          <w:szCs w:val="20"/>
          <w:color w:val="auto"/>
        </w:rPr>
      </w:pPr>
    </w:p>
    <w:p>
      <w:pPr>
        <w:ind w:left="1492"/>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27" w:lineRule="exact"/>
        <w:rPr>
          <w:sz w:val="20"/>
          <w:szCs w:val="20"/>
          <w:color w:val="auto"/>
        </w:rPr>
      </w:pPr>
    </w:p>
    <w:p>
      <w:pPr>
        <w:ind w:left="1492"/>
        <w:spacing w:after="0"/>
        <w:rPr>
          <w:sz w:val="20"/>
          <w:szCs w:val="20"/>
          <w:color w:val="auto"/>
        </w:rPr>
      </w:pPr>
      <w:r>
        <w:rPr>
          <w:rFonts w:ascii="Times New Roman" w:cs="Times New Roman" w:eastAsia="Times New Roman" w:hAnsi="Times New Roman"/>
          <w:sz w:val="18"/>
          <w:szCs w:val="18"/>
          <w:color w:val="auto"/>
        </w:rPr>
        <w:t>1 Vanderbilt Avenue</w:t>
      </w:r>
    </w:p>
    <w:p>
      <w:pPr>
        <w:spacing w:after="0" w:line="9" w:lineRule="exact"/>
        <w:rPr>
          <w:sz w:val="20"/>
          <w:szCs w:val="20"/>
          <w:color w:val="auto"/>
        </w:rPr>
      </w:pPr>
    </w:p>
    <w:p>
      <w:pPr>
        <w:ind w:left="1492"/>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1492"/>
        <w:spacing w:after="0"/>
        <w:rPr>
          <w:sz w:val="20"/>
          <w:szCs w:val="20"/>
          <w:color w:val="auto"/>
        </w:rPr>
      </w:pPr>
      <w:r>
        <w:rPr>
          <w:rFonts w:ascii="Times New Roman" w:cs="Times New Roman" w:eastAsia="Times New Roman" w:hAnsi="Times New Roman"/>
          <w:sz w:val="18"/>
          <w:szCs w:val="18"/>
          <w:color w:val="auto"/>
        </w:rPr>
        <w:t>Attention: ECM ATM Execution Team</w:t>
      </w:r>
    </w:p>
    <w:p>
      <w:pPr>
        <w:spacing w:after="0" w:line="207"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492"/>
        <w:spacing w:after="0"/>
        <w:rPr>
          <w:sz w:val="20"/>
          <w:szCs w:val="20"/>
          <w:color w:val="auto"/>
        </w:rPr>
      </w:pPr>
      <w:r>
        <w:rPr>
          <w:rFonts w:ascii="Times New Roman" w:cs="Times New Roman" w:eastAsia="Times New Roman" w:hAnsi="Times New Roman"/>
          <w:sz w:val="18"/>
          <w:szCs w:val="18"/>
          <w:color w:val="auto"/>
        </w:rPr>
        <w:t>Wilmer Cutler Pickering Hale and Dorr LLP</w:t>
      </w:r>
    </w:p>
    <w:p>
      <w:pPr>
        <w:spacing w:after="0" w:line="27" w:lineRule="exact"/>
        <w:rPr>
          <w:sz w:val="20"/>
          <w:szCs w:val="20"/>
          <w:color w:val="auto"/>
        </w:rPr>
      </w:pPr>
    </w:p>
    <w:p>
      <w:pPr>
        <w:ind w:left="1492"/>
        <w:spacing w:after="0"/>
        <w:rPr>
          <w:sz w:val="20"/>
          <w:szCs w:val="20"/>
          <w:color w:val="auto"/>
        </w:rPr>
      </w:pPr>
      <w:r>
        <w:rPr>
          <w:rFonts w:ascii="Times New Roman" w:cs="Times New Roman" w:eastAsia="Times New Roman" w:hAnsi="Times New Roman"/>
          <w:sz w:val="18"/>
          <w:szCs w:val="18"/>
          <w:color w:val="auto"/>
        </w:rPr>
        <w:t>7 World Trade Center</w:t>
      </w:r>
    </w:p>
    <w:p>
      <w:pPr>
        <w:spacing w:after="0" w:line="9" w:lineRule="exact"/>
        <w:rPr>
          <w:sz w:val="20"/>
          <w:szCs w:val="20"/>
          <w:color w:val="auto"/>
        </w:rPr>
      </w:pPr>
    </w:p>
    <w:p>
      <w:pPr>
        <w:ind w:left="1492"/>
        <w:spacing w:after="0"/>
        <w:rPr>
          <w:sz w:val="20"/>
          <w:szCs w:val="20"/>
          <w:color w:val="auto"/>
        </w:rPr>
      </w:pPr>
      <w:r>
        <w:rPr>
          <w:rFonts w:ascii="Times New Roman" w:cs="Times New Roman" w:eastAsia="Times New Roman" w:hAnsi="Times New Roman"/>
          <w:sz w:val="18"/>
          <w:szCs w:val="18"/>
          <w:color w:val="auto"/>
        </w:rPr>
        <w:t>250 Greenwich Street</w:t>
      </w:r>
    </w:p>
    <w:p>
      <w:pPr>
        <w:spacing w:after="0" w:line="9" w:lineRule="exact"/>
        <w:rPr>
          <w:sz w:val="20"/>
          <w:szCs w:val="20"/>
          <w:color w:val="auto"/>
        </w:rPr>
      </w:pPr>
    </w:p>
    <w:p>
      <w:pPr>
        <w:ind w:left="1492"/>
        <w:spacing w:after="0"/>
        <w:rPr>
          <w:sz w:val="20"/>
          <w:szCs w:val="20"/>
          <w:color w:val="auto"/>
        </w:rPr>
      </w:pPr>
      <w:r>
        <w:rPr>
          <w:rFonts w:ascii="Times New Roman" w:cs="Times New Roman" w:eastAsia="Times New Roman" w:hAnsi="Times New Roman"/>
          <w:sz w:val="18"/>
          <w:szCs w:val="18"/>
          <w:color w:val="auto"/>
        </w:rPr>
        <w:t>New York, New York 10007</w:t>
      </w:r>
    </w:p>
    <w:p>
      <w:pPr>
        <w:spacing w:after="0" w:line="9" w:lineRule="exact"/>
        <w:rPr>
          <w:sz w:val="20"/>
          <w:szCs w:val="20"/>
          <w:color w:val="auto"/>
        </w:rPr>
      </w:pPr>
    </w:p>
    <w:p>
      <w:pPr>
        <w:ind w:left="1492"/>
        <w:spacing w:after="0"/>
        <w:rPr>
          <w:sz w:val="20"/>
          <w:szCs w:val="20"/>
          <w:color w:val="auto"/>
        </w:rPr>
      </w:pPr>
      <w:r>
        <w:rPr>
          <w:rFonts w:ascii="Times New Roman" w:cs="Times New Roman" w:eastAsia="Times New Roman" w:hAnsi="Times New Roman"/>
          <w:sz w:val="18"/>
          <w:szCs w:val="18"/>
          <w:color w:val="auto"/>
        </w:rPr>
        <w:t>Attention: Lisa Firenze</w:t>
      </w:r>
    </w:p>
    <w:p>
      <w:pPr>
        <w:spacing w:after="0" w:line="207"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8"/>
          <w:szCs w:val="18"/>
          <w:color w:val="auto"/>
        </w:rPr>
        <w:t>and if to the Company, shall be delivered to:</w:t>
      </w:r>
    </w:p>
    <w:p>
      <w:pPr>
        <w:spacing w:after="0" w:line="225" w:lineRule="exact"/>
        <w:rPr>
          <w:sz w:val="20"/>
          <w:szCs w:val="20"/>
          <w:color w:val="auto"/>
        </w:rPr>
      </w:pPr>
    </w:p>
    <w:p>
      <w:pPr>
        <w:ind w:left="1492"/>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sz w:val="20"/>
          <w:szCs w:val="20"/>
          <w:color w:val="auto"/>
        </w:rPr>
      </w:pPr>
    </w:p>
    <w:p>
      <w:pPr>
        <w:ind w:left="1492"/>
        <w:spacing w:after="0"/>
        <w:rPr>
          <w:sz w:val="20"/>
          <w:szCs w:val="20"/>
          <w:color w:val="auto"/>
        </w:rPr>
      </w:pPr>
      <w:r>
        <w:rPr>
          <w:rFonts w:ascii="Times New Roman" w:cs="Times New Roman" w:eastAsia="Times New Roman" w:hAnsi="Times New Roman"/>
          <w:sz w:val="18"/>
          <w:szCs w:val="18"/>
          <w:color w:val="auto"/>
        </w:rPr>
        <w:t>321 Arsenal St, Suite 101</w:t>
      </w:r>
    </w:p>
    <w:p>
      <w:pPr>
        <w:spacing w:after="0" w:line="9" w:lineRule="exact"/>
        <w:rPr>
          <w:sz w:val="20"/>
          <w:szCs w:val="20"/>
          <w:color w:val="auto"/>
        </w:rPr>
      </w:pPr>
    </w:p>
    <w:p>
      <w:pPr>
        <w:ind w:left="1492"/>
        <w:spacing w:after="0"/>
        <w:rPr>
          <w:sz w:val="20"/>
          <w:szCs w:val="20"/>
          <w:color w:val="auto"/>
        </w:rPr>
      </w:pPr>
      <w:r>
        <w:rPr>
          <w:rFonts w:ascii="Times New Roman" w:cs="Times New Roman" w:eastAsia="Times New Roman" w:hAnsi="Times New Roman"/>
          <w:sz w:val="18"/>
          <w:szCs w:val="18"/>
          <w:color w:val="auto"/>
        </w:rPr>
        <w:t>Watertown, Massachusetts 02472</w:t>
      </w:r>
    </w:p>
    <w:p>
      <w:pPr>
        <w:spacing w:after="0" w:line="9" w:lineRule="exact"/>
        <w:rPr>
          <w:sz w:val="20"/>
          <w:szCs w:val="20"/>
          <w:color w:val="auto"/>
        </w:rPr>
      </w:pPr>
    </w:p>
    <w:p>
      <w:pPr>
        <w:ind w:left="1492"/>
        <w:spacing w:after="0"/>
        <w:rPr>
          <w:sz w:val="20"/>
          <w:szCs w:val="20"/>
          <w:color w:val="auto"/>
        </w:rPr>
      </w:pPr>
      <w:r>
        <w:rPr>
          <w:rFonts w:ascii="Times New Roman" w:cs="Times New Roman" w:eastAsia="Times New Roman" w:hAnsi="Times New Roman"/>
          <w:sz w:val="18"/>
          <w:szCs w:val="18"/>
          <w:color w:val="auto"/>
        </w:rPr>
        <w:t>Attention: Rahul Khara, General Counsel</w:t>
      </w:r>
    </w:p>
    <w:p>
      <w:pPr>
        <w:spacing w:after="0" w:line="200" w:lineRule="exact"/>
        <w:rPr>
          <w:sz w:val="20"/>
          <w:szCs w:val="20"/>
          <w:color w:val="auto"/>
        </w:rPr>
      </w:pPr>
    </w:p>
    <w:p>
      <w:pPr>
        <w:spacing w:after="0" w:line="223"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492"/>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492"/>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1492"/>
        <w:spacing w:after="0"/>
        <w:rPr>
          <w:sz w:val="20"/>
          <w:szCs w:val="20"/>
          <w:color w:val="auto"/>
        </w:rPr>
      </w:pPr>
      <w:r>
        <w:rPr>
          <w:rFonts w:ascii="Times New Roman" w:cs="Times New Roman" w:eastAsia="Times New Roman" w:hAnsi="Times New Roman"/>
          <w:sz w:val="18"/>
          <w:szCs w:val="18"/>
          <w:color w:val="auto"/>
        </w:rPr>
        <w:t>Boston, Massachusetts 02210</w:t>
      </w:r>
    </w:p>
    <w:p>
      <w:pPr>
        <w:spacing w:after="0" w:line="9" w:lineRule="exact"/>
        <w:rPr>
          <w:sz w:val="20"/>
          <w:szCs w:val="20"/>
          <w:color w:val="auto"/>
        </w:rPr>
      </w:pPr>
    </w:p>
    <w:p>
      <w:pPr>
        <w:ind w:left="1492"/>
        <w:spacing w:after="0"/>
        <w:rPr>
          <w:sz w:val="20"/>
          <w:szCs w:val="20"/>
          <w:color w:val="auto"/>
        </w:rPr>
      </w:pPr>
      <w:r>
        <w:rPr>
          <w:rFonts w:ascii="Times New Roman" w:cs="Times New Roman" w:eastAsia="Times New Roman" w:hAnsi="Times New Roman"/>
          <w:sz w:val="18"/>
          <w:szCs w:val="18"/>
          <w:color w:val="auto"/>
        </w:rPr>
        <w:t>Attention: William D. Collins</w:t>
      </w:r>
    </w:p>
    <w:p>
      <w:pPr>
        <w:spacing w:after="0" w:line="207" w:lineRule="exact"/>
        <w:rPr>
          <w:sz w:val="20"/>
          <w:szCs w:val="20"/>
          <w:color w:val="auto"/>
        </w:rPr>
      </w:pPr>
    </w:p>
    <w:p>
      <w:pPr>
        <w:jc w:val="both"/>
        <w:ind w:left="372" w:firstLine="749"/>
        <w:spacing w:after="0" w:line="255" w:lineRule="auto"/>
        <w:rPr>
          <w:sz w:val="20"/>
          <w:szCs w:val="20"/>
          <w:color w:val="auto"/>
        </w:rPr>
      </w:pPr>
      <w:r>
        <w:rPr>
          <w:rFonts w:ascii="Times New Roman" w:cs="Times New Roman" w:eastAsia="Times New Roman" w:hAnsi="Times New Roman"/>
          <w:sz w:val="18"/>
          <w:szCs w:val="18"/>
          <w:color w:val="auto"/>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by Electronic Notice, as set forth below, (iii) on the next Business Day after timely delivery to a nationally-recognized overnight courier and (iv)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shall mean any day on which the Exchange and commercial banks in the City of New York are open for business.</w:t>
      </w:r>
    </w:p>
    <w:p>
      <w:pPr>
        <w:spacing w:after="0" w:line="185" w:lineRule="exact"/>
        <w:rPr>
          <w:sz w:val="20"/>
          <w:szCs w:val="20"/>
          <w:color w:val="auto"/>
        </w:rPr>
      </w:pPr>
    </w:p>
    <w:p>
      <w:pPr>
        <w:jc w:val="both"/>
        <w:ind w:left="372" w:firstLine="749"/>
        <w:spacing w:after="0" w:line="259" w:lineRule="auto"/>
        <w:rPr>
          <w:sz w:val="20"/>
          <w:szCs w:val="20"/>
          <w:color w:val="auto"/>
        </w:rPr>
      </w:pPr>
      <w:r>
        <w:rPr>
          <w:rFonts w:ascii="Times New Roman" w:cs="Times New Roman" w:eastAsia="Times New Roman" w:hAnsi="Times New Roman"/>
          <w:sz w:val="18"/>
          <w:szCs w:val="18"/>
          <w:color w:val="auto"/>
        </w:rPr>
        <w:t>An electronic communication (“</w:t>
      </w:r>
      <w:r>
        <w:rPr>
          <w:rFonts w:ascii="Times New Roman" w:cs="Times New Roman" w:eastAsia="Times New Roman" w:hAnsi="Times New Roman"/>
          <w:sz w:val="18"/>
          <w:szCs w:val="18"/>
          <w:b w:val="1"/>
          <w:bCs w:val="1"/>
          <w:u w:val="single" w:color="auto"/>
          <w:color w:val="auto"/>
        </w:rPr>
        <w:t>Electronic Notice</w:t>
      </w:r>
      <w:r>
        <w:rPr>
          <w:rFonts w:ascii="Times New Roman" w:cs="Times New Roman" w:eastAsia="Times New Roman" w:hAnsi="Times New Roman"/>
          <w:sz w:val="18"/>
          <w:szCs w:val="18"/>
          <w:color w:val="auto"/>
        </w:rPr>
        <w:t>”) shall be deemed written notice for purposes of this Section 13 if sent to the electronic mail address specified by the receiving party under separate cover. Electronic Notice shall be deemed received at the time the party sending Electronic Notice receives verification of receipt by the receiving party. Any party receiving Electronic Notice may request and shall be entitled to receive the notice on paper, in a nonelectronic form (“</w:t>
      </w:r>
      <w:r>
        <w:rPr>
          <w:rFonts w:ascii="Times New Roman" w:cs="Times New Roman" w:eastAsia="Times New Roman" w:hAnsi="Times New Roman"/>
          <w:sz w:val="18"/>
          <w:szCs w:val="18"/>
          <w:b w:val="1"/>
          <w:bCs w:val="1"/>
          <w:u w:val="single" w:color="auto"/>
          <w:color w:val="auto"/>
        </w:rPr>
        <w:t>Nonelectronic Notic</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which shall be sent to the requesting party within ten (10) days of receipt of the written request for Nonelectronic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1006475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80" w:right="339" w:bottom="1440" w:gutter="0" w:footer="0" w:header="0"/>
        </w:sectPr>
      </w:pPr>
    </w:p>
    <w:bookmarkStart w:id="219" w:name="page220"/>
    <w:bookmarkEnd w:id="219"/>
    <w:p>
      <w:pPr>
        <w:jc w:val="both"/>
        <w:ind w:left="372" w:hanging="372"/>
        <w:spacing w:after="0" w:line="255" w:lineRule="auto"/>
        <w:tabs>
          <w:tab w:leader="none" w:pos="372"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inure to the benefit of and be binding upon the Company and the Agent and their respective successors and the parties referred to in Section 10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Agent may assign its rights and obligations hereunder to an affiliate thereof without obtaining the Company’s consent.</w:t>
      </w:r>
    </w:p>
    <w:p>
      <w:pPr>
        <w:spacing w:after="0" w:line="188" w:lineRule="exact"/>
        <w:rPr>
          <w:rFonts w:ascii="Times New Roman" w:cs="Times New Roman" w:eastAsia="Times New Roman" w:hAnsi="Times New Roman"/>
          <w:sz w:val="18"/>
          <w:szCs w:val="18"/>
          <w:color w:val="auto"/>
        </w:rPr>
      </w:pPr>
    </w:p>
    <w:p>
      <w:pPr>
        <w:ind w:left="372" w:right="20" w:hanging="372"/>
        <w:spacing w:after="0" w:line="282" w:lineRule="auto"/>
        <w:tabs>
          <w:tab w:leader="none" w:pos="372"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Stock Splits</w:t>
      </w:r>
      <w:r>
        <w:rPr>
          <w:rFonts w:ascii="Times New Roman" w:cs="Times New Roman" w:eastAsia="Times New Roman" w:hAnsi="Times New Roman"/>
          <w:sz w:val="18"/>
          <w:szCs w:val="18"/>
          <w:color w:val="auto"/>
        </w:rPr>
        <w:t>. The parties acknowledge and agree that all share-related numbers contained in this Agreement shall be adjusted to take into account any stock split, stock dividend or similar event effected with respect to the Common Stock.</w:t>
      </w:r>
    </w:p>
    <w:p>
      <w:pPr>
        <w:spacing w:after="0" w:line="161" w:lineRule="exact"/>
        <w:rPr>
          <w:rFonts w:ascii="Times New Roman" w:cs="Times New Roman" w:eastAsia="Times New Roman" w:hAnsi="Times New Roman"/>
          <w:sz w:val="18"/>
          <w:szCs w:val="18"/>
          <w:color w:val="auto"/>
        </w:rPr>
      </w:pPr>
    </w:p>
    <w:p>
      <w:pPr>
        <w:jc w:val="both"/>
        <w:ind w:left="372" w:hanging="372"/>
        <w:spacing w:after="0" w:line="253" w:lineRule="auto"/>
        <w:tabs>
          <w:tab w:leader="none" w:pos="372"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 Severability; Waiver</w:t>
      </w:r>
      <w:r>
        <w:rPr>
          <w:rFonts w:ascii="Times New Roman" w:cs="Times New Roman" w:eastAsia="Times New Roman" w:hAnsi="Times New Roman"/>
          <w:sz w:val="18"/>
          <w:szCs w:val="18"/>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91" w:lineRule="exact"/>
        <w:rPr>
          <w:rFonts w:ascii="Times New Roman" w:cs="Times New Roman" w:eastAsia="Times New Roman" w:hAnsi="Times New Roman"/>
          <w:sz w:val="18"/>
          <w:szCs w:val="18"/>
          <w:color w:val="auto"/>
        </w:rPr>
      </w:pPr>
    </w:p>
    <w:p>
      <w:pPr>
        <w:jc w:val="both"/>
        <w:ind w:left="372" w:hanging="372"/>
        <w:spacing w:after="0" w:line="258" w:lineRule="auto"/>
        <w:tabs>
          <w:tab w:leader="none" w:pos="372"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TIME; WAIVER OF JURY TRIAL</w:t>
      </w:r>
      <w:r>
        <w:rPr>
          <w:rFonts w:ascii="Times New Roman" w:cs="Times New Roman" w:eastAsia="Times New Roman" w:hAnsi="Times New Roman"/>
          <w:sz w:val="18"/>
          <w:szCs w:val="18"/>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183" w:lineRule="exact"/>
        <w:rPr>
          <w:rFonts w:ascii="Times New Roman" w:cs="Times New Roman" w:eastAsia="Times New Roman" w:hAnsi="Times New Roman"/>
          <w:sz w:val="18"/>
          <w:szCs w:val="18"/>
          <w:color w:val="auto"/>
        </w:rPr>
      </w:pPr>
    </w:p>
    <w:p>
      <w:pPr>
        <w:jc w:val="both"/>
        <w:ind w:left="372" w:hanging="372"/>
        <w:spacing w:after="0" w:line="253" w:lineRule="auto"/>
        <w:tabs>
          <w:tab w:leader="none" w:pos="372"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EACH PARTY HEREBY IRREVOCABLY SUBMITS TO THE 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91" w:lineRule="exact"/>
        <w:rPr>
          <w:rFonts w:ascii="Times New Roman" w:cs="Times New Roman" w:eastAsia="Times New Roman" w:hAnsi="Times New Roman"/>
          <w:sz w:val="18"/>
          <w:szCs w:val="18"/>
          <w:color w:val="auto"/>
        </w:rPr>
      </w:pPr>
    </w:p>
    <w:p>
      <w:pPr>
        <w:ind w:left="372" w:right="20" w:hanging="372"/>
        <w:spacing w:after="0" w:line="282" w:lineRule="auto"/>
        <w:tabs>
          <w:tab w:leader="none" w:pos="372"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Delivery of an executed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993140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82" w:right="339" w:bottom="1440" w:gutter="0" w:footer="0" w:header="0"/>
        </w:sectPr>
      </w:pPr>
    </w:p>
    <w:bookmarkStart w:id="220" w:name="page221"/>
    <w:bookmarkEnd w:id="220"/>
    <w:p>
      <w:pPr>
        <w:jc w:val="both"/>
        <w:ind w:left="372"/>
        <w:spacing w:after="0" w:line="261" w:lineRule="auto"/>
        <w:rPr>
          <w:sz w:val="20"/>
          <w:szCs w:val="20"/>
          <w:color w:val="auto"/>
        </w:rPr>
      </w:pPr>
      <w:r>
        <w:rPr>
          <w:rFonts w:ascii="Times New Roman" w:cs="Times New Roman" w:eastAsia="Times New Roman" w:hAnsi="Times New Roman"/>
          <w:sz w:val="18"/>
          <w:szCs w:val="18"/>
          <w:color w:val="auto"/>
        </w:rPr>
        <w:t>Agreement by one party to the other may be made by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0" w:lineRule="exact"/>
        <w:rPr>
          <w:sz w:val="20"/>
          <w:szCs w:val="20"/>
          <w:color w:val="auto"/>
        </w:rPr>
      </w:pPr>
    </w:p>
    <w:p>
      <w:pPr>
        <w:jc w:val="both"/>
        <w:ind w:left="372" w:hanging="372"/>
        <w:spacing w:after="0" w:line="261" w:lineRule="auto"/>
        <w:tabs>
          <w:tab w:leader="none" w:pos="372"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section and exhibit headings herein are for convenience only and shall not affect the construction hereof.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79"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color w:val="auto"/>
        </w:rPr>
        <w:t>. The Company acknowledges and agrees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4761865</wp:posOffset>
            </wp:positionH>
            <wp:positionV relativeFrom="paragraph">
              <wp:posOffset>-281940</wp:posOffset>
            </wp:positionV>
            <wp:extent cx="2857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jc w:val="both"/>
        <w:ind w:left="372" w:hanging="372"/>
        <w:spacing w:after="0" w:line="256" w:lineRule="auto"/>
        <w:tabs>
          <w:tab w:leader="none" w:pos="372"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 on the other hand, has been or will be created in respect of any of the transactions contemplated by this Agreement, irrespective of whether or not the Agent has advised or is advising the Company on other matters, and the Agent has no obligation to the Company with respect to the transactions contemplated by this Agreement except the obligations expressly set forth in this Agreement;</w:t>
      </w:r>
    </w:p>
    <w:p>
      <w:pPr>
        <w:spacing w:after="0" w:line="187" w:lineRule="exact"/>
        <w:rPr>
          <w:rFonts w:ascii="Times New Roman" w:cs="Times New Roman" w:eastAsia="Times New Roman" w:hAnsi="Times New Roman"/>
          <w:sz w:val="18"/>
          <w:szCs w:val="18"/>
          <w:color w:val="auto"/>
        </w:rPr>
      </w:pPr>
    </w:p>
    <w:p>
      <w:pPr>
        <w:ind w:left="372" w:hanging="372"/>
        <w:spacing w:after="0" w:line="282" w:lineRule="auto"/>
        <w:tabs>
          <w:tab w:leader="none" w:pos="372"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capable of evaluating and understanding, and understands and accepts, the terms, risks and conditions of the transactions contemplated by this Agreement;</w:t>
      </w:r>
    </w:p>
    <w:p>
      <w:pPr>
        <w:spacing w:after="0" w:line="161" w:lineRule="exact"/>
        <w:rPr>
          <w:rFonts w:ascii="Times New Roman" w:cs="Times New Roman" w:eastAsia="Times New Roman" w:hAnsi="Times New Roman"/>
          <w:sz w:val="18"/>
          <w:szCs w:val="18"/>
          <w:color w:val="auto"/>
        </w:rPr>
      </w:pPr>
    </w:p>
    <w:p>
      <w:pPr>
        <w:ind w:left="372" w:hanging="372"/>
        <w:spacing w:after="0" w:line="282" w:lineRule="auto"/>
        <w:tabs>
          <w:tab w:leader="none" w:pos="372"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 nor its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161" w:lineRule="exact"/>
        <w:rPr>
          <w:rFonts w:ascii="Times New Roman" w:cs="Times New Roman" w:eastAsia="Times New Roman" w:hAnsi="Times New Roman"/>
          <w:sz w:val="18"/>
          <w:szCs w:val="18"/>
          <w:color w:val="auto"/>
        </w:rPr>
      </w:pPr>
    </w:p>
    <w:p>
      <w:pPr>
        <w:jc w:val="both"/>
        <w:ind w:left="372" w:hanging="372"/>
        <w:spacing w:after="0" w:line="266" w:lineRule="auto"/>
        <w:tabs>
          <w:tab w:leader="none" w:pos="372"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aware that the Agent and its affiliates are engaged in a broad range of transactions which may involve interests that differ from those of the Company and the Agent and its affiliates have no obligation to disclose such interests and transactions to the Company by virtue of any fiduciary, advisory or agency relationship or otherwise; and</w:t>
      </w:r>
    </w:p>
    <w:p>
      <w:pPr>
        <w:spacing w:after="0" w:line="175" w:lineRule="exact"/>
        <w:rPr>
          <w:rFonts w:ascii="Times New Roman" w:cs="Times New Roman" w:eastAsia="Times New Roman" w:hAnsi="Times New Roman"/>
          <w:sz w:val="18"/>
          <w:szCs w:val="18"/>
          <w:color w:val="auto"/>
        </w:rPr>
      </w:pPr>
    </w:p>
    <w:p>
      <w:pPr>
        <w:jc w:val="both"/>
        <w:ind w:left="372" w:hanging="372"/>
        <w:spacing w:after="0" w:line="261" w:lineRule="auto"/>
        <w:tabs>
          <w:tab w:leader="none" w:pos="372"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waives, to the fullest extent permitted by law, any claims it may have against the Agent or its affiliates for breach of fiduciary duty or alleged breach of fiduciary duty in connection with the sale of Placement Shares under this Agreement and agrees that the Agent and its affiliates shall not have any liability (whether direct or indirect, in contract, tort or otherwise) to it in respect of such a fiduciary duty claim or to any person asserting a fiduciary duty claim on its behalf or in right of it or the Company, employees or creditors of Company.</w:t>
      </w:r>
    </w:p>
    <w:p>
      <w:pPr>
        <w:spacing w:after="0" w:line="180" w:lineRule="exact"/>
        <w:rPr>
          <w:sz w:val="20"/>
          <w:szCs w:val="20"/>
          <w:color w:val="auto"/>
        </w:rPr>
      </w:pPr>
    </w:p>
    <w:p>
      <w:pPr>
        <w:ind w:left="372" w:hanging="372"/>
        <w:spacing w:after="0"/>
        <w:tabs>
          <w:tab w:leader="none" w:pos="372"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72" w:hanging="372"/>
        <w:spacing w:after="0" w:line="261" w:lineRule="auto"/>
        <w:tabs>
          <w:tab w:leader="none" w:pos="372"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Agent is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jc w:val="both"/>
        <w:ind w:left="372" w:hanging="372"/>
        <w:spacing w:after="0" w:line="261" w:lineRule="auto"/>
        <w:tabs>
          <w:tab w:leader="none" w:pos="372"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Agent is a Covered Entity and the Agent or a BHC Act Affiliate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w:t>
      </w:r>
    </w:p>
    <w:p>
      <w:pPr>
        <w:spacing w:after="0" w:line="175" w:lineRule="exact"/>
        <w:rPr>
          <w:rFonts w:ascii="Times New Roman" w:cs="Times New Roman" w:eastAsia="Times New Roman" w:hAnsi="Times New Roman"/>
          <w:sz w:val="18"/>
          <w:szCs w:val="18"/>
          <w:color w:val="auto"/>
        </w:rPr>
      </w:pPr>
    </w:p>
    <w:p>
      <w:pPr>
        <w:ind w:left="372" w:hanging="372"/>
        <w:spacing w:after="0" w:line="286" w:lineRule="auto"/>
        <w:tabs>
          <w:tab w:leader="none" w:pos="372"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u w:val="single" w:color="auto"/>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(b) “</w:t>
      </w:r>
      <w:r>
        <w:rPr>
          <w:rFonts w:ascii="Times New Roman" w:cs="Times New Roman" w:eastAsia="Times New Roman" w:hAnsi="Times New Roman"/>
          <w:sz w:val="18"/>
          <w:szCs w:val="18"/>
          <w:b w:val="1"/>
          <w:bCs w:val="1"/>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991235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82" w:right="339" w:bottom="1440" w:gutter="0" w:footer="0" w:header="0"/>
        </w:sectPr>
      </w:pPr>
    </w:p>
    <w:bookmarkStart w:id="221" w:name="page222"/>
    <w:bookmarkEnd w:id="221"/>
    <w:p>
      <w:pPr>
        <w:jc w:val="both"/>
        <w:ind w:left="380"/>
        <w:spacing w:after="0" w:line="256" w:lineRule="auto"/>
        <w:rPr>
          <w:sz w:val="20"/>
          <w:szCs w:val="20"/>
          <w:color w:val="auto"/>
        </w:rPr>
      </w:pPr>
      <w:r>
        <w:rPr>
          <w:rFonts w:ascii="Times New Roman" w:cs="Times New Roman" w:eastAsia="Times New Roman" w:hAnsi="Times New Roman"/>
          <w:sz w:val="18"/>
          <w:szCs w:val="18"/>
          <w:color w:val="auto"/>
        </w:rPr>
        <w:t>(i)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 w:cs="Times New Roman" w:eastAsia="Times New Roman" w:hAnsi="Times New Roman"/>
          <w:sz w:val="18"/>
          <w:szCs w:val="18"/>
          <w:b w:val="1"/>
          <w:bCs w:val="1"/>
          <w:u w:val="single" w:color="auto"/>
          <w:color w:val="auto"/>
        </w:rPr>
        <w:t>Default Rights</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(d) “</w:t>
      </w:r>
      <w:r>
        <w:rPr>
          <w:rFonts w:ascii="Times New Roman" w:cs="Times New Roman" w:eastAsia="Times New Roman" w:hAnsi="Times New Roman"/>
          <w:sz w:val="18"/>
          <w:szCs w:val="18"/>
          <w:b w:val="1"/>
          <w:bCs w:val="1"/>
          <w:u w:val="single" w:color="auto"/>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7" w:lineRule="exact"/>
        <w:rPr>
          <w:sz w:val="20"/>
          <w:szCs w:val="20"/>
          <w:color w:val="auto"/>
        </w:rPr>
      </w:pPr>
    </w:p>
    <w:p>
      <w:pPr>
        <w:ind w:left="380" w:hanging="372"/>
        <w:spacing w:after="0"/>
        <w:tabs>
          <w:tab w:leader="none" w:pos="3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have the respective meanings set forth below:</w:t>
      </w:r>
    </w:p>
    <w:p>
      <w:pPr>
        <w:spacing w:after="0" w:line="221" w:lineRule="exact"/>
        <w:rPr>
          <w:sz w:val="20"/>
          <w:szCs w:val="20"/>
          <w:color w:val="auto"/>
        </w:rPr>
      </w:pPr>
    </w:p>
    <w:p>
      <w:pPr>
        <w:jc w:val="both"/>
        <w:ind w:left="380"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Applicable Time</w:t>
      </w:r>
      <w:r>
        <w:rPr>
          <w:rFonts w:ascii="Times New Roman" w:cs="Times New Roman" w:eastAsia="Times New Roman" w:hAnsi="Times New Roman"/>
          <w:sz w:val="18"/>
          <w:szCs w:val="18"/>
          <w:color w:val="auto"/>
        </w:rPr>
        <w:t>” means (i) each Representation Date, (ii) the time of each sale of any Placement Shares pursuant to this Agreement and (iii) each Settlement Date.</w:t>
      </w:r>
    </w:p>
    <w:p>
      <w:pPr>
        <w:spacing w:after="0" w:line="155" w:lineRule="exact"/>
        <w:rPr>
          <w:sz w:val="20"/>
          <w:szCs w:val="20"/>
          <w:color w:val="auto"/>
        </w:rPr>
      </w:pPr>
    </w:p>
    <w:p>
      <w:pPr>
        <w:jc w:val="both"/>
        <w:ind w:left="380"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Governmental Authority</w:t>
      </w:r>
      <w:r>
        <w:rPr>
          <w:rFonts w:ascii="Times New Roman" w:cs="Times New Roman" w:eastAsia="Times New Roman" w:hAnsi="Times New Roman"/>
          <w:sz w:val="18"/>
          <w:szCs w:val="18"/>
          <w:color w:val="auto"/>
        </w:rPr>
        <w:t>” means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 in each case, having jurisdiction over the Company or any of its properties.</w:t>
      </w:r>
    </w:p>
    <w:p>
      <w:pPr>
        <w:spacing w:after="0" w:line="176" w:lineRule="exact"/>
        <w:rPr>
          <w:sz w:val="20"/>
          <w:szCs w:val="20"/>
          <w:color w:val="auto"/>
        </w:rPr>
      </w:pPr>
    </w:p>
    <w:p>
      <w:pPr>
        <w:jc w:val="both"/>
        <w:ind w:left="380" w:firstLine="74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Issuer Free Writing Prospectus</w:t>
      </w:r>
      <w:r>
        <w:rPr>
          <w:rFonts w:ascii="Times New Roman" w:cs="Times New Roman" w:eastAsia="Times New Roman" w:hAnsi="Times New Roman"/>
          <w:sz w:val="18"/>
          <w:szCs w:val="18"/>
          <w:color w:val="auto"/>
        </w:rPr>
        <w:t>”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w:t>
      </w:r>
    </w:p>
    <w:p>
      <w:pPr>
        <w:spacing w:after="0" w:line="1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424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424(b)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430B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Rule 433</w:t>
      </w:r>
      <w:r>
        <w:rPr>
          <w:rFonts w:ascii="Times New Roman" w:cs="Times New Roman" w:eastAsia="Times New Roman" w:hAnsi="Times New Roman"/>
          <w:sz w:val="18"/>
          <w:szCs w:val="18"/>
          <w:color w:val="auto"/>
        </w:rPr>
        <w:t>” refer to such rules under the Securities</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Act.</w:t>
      </w:r>
    </w:p>
    <w:p>
      <w:pPr>
        <w:spacing w:after="0" w:line="207" w:lineRule="exact"/>
        <w:rPr>
          <w:sz w:val="20"/>
          <w:szCs w:val="20"/>
          <w:color w:val="auto"/>
        </w:rPr>
      </w:pPr>
    </w:p>
    <w:p>
      <w:pPr>
        <w:jc w:val="both"/>
        <w:ind w:left="380" w:firstLine="749"/>
        <w:spacing w:after="0" w:line="266"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76" w:lineRule="exact"/>
        <w:rPr>
          <w:sz w:val="20"/>
          <w:szCs w:val="20"/>
          <w:color w:val="auto"/>
        </w:rPr>
      </w:pPr>
    </w:p>
    <w:p>
      <w:pPr>
        <w:jc w:val="both"/>
        <w:ind w:left="380" w:firstLine="749"/>
        <w:spacing w:after="0" w:line="256" w:lineRule="auto"/>
        <w:rPr>
          <w:sz w:val="20"/>
          <w:szCs w:val="20"/>
          <w:color w:val="auto"/>
        </w:rPr>
      </w:pPr>
      <w:r>
        <w:rPr>
          <w:rFonts w:ascii="Times New Roman" w:cs="Times New Roman" w:eastAsia="Times New Roman" w:hAnsi="Times New Roman"/>
          <w:sz w:val="18"/>
          <w:szCs w:val="18"/>
          <w:color w:val="auto"/>
        </w:rPr>
        <w:t>All references in this Agreement to the Registration Statement, the Prospectus or any amendment or supplement to any of the foregoing shall be deemed to include the copy filed with the Commission pursuant to EDGAR or any successor system;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or any successor system; and all references in this Agreement to “supplements” to the Prospectus shall include, without limitation, any supplements, “wrappers” or similar materials prepared in connection with any offering, sale or private placement of any Placement Shares by the Agent outside of the United States.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22" w:name="page223"/>
    <w:bookmarkEnd w:id="222"/>
    <w:p>
      <w:pPr>
        <w:ind w:left="380" w:firstLine="749"/>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the understanding between the Company and the Agent, please so indicate in the space provided below for that purpose, whereupon this letter shall constitute a binding agreement between the Company and the Agent.</w:t>
      </w:r>
    </w:p>
    <w:p>
      <w:pPr>
        <w:spacing w:after="0" w:line="16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540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Quisel</w:t>
            </w:r>
          </w:p>
        </w:tc>
      </w:tr>
      <w:tr>
        <w:trPr>
          <w:trHeight w:val="191"/>
        </w:trPr>
        <w:tc>
          <w:tcPr>
            <w:tcW w:w="660" w:type="dxa"/>
            <w:vAlign w:val="bottom"/>
          </w:tcPr>
          <w:p>
            <w:pPr>
              <w:spacing w:after="0"/>
              <w:rPr>
                <w:sz w:val="16"/>
                <w:szCs w:val="16"/>
                <w:color w:val="auto"/>
              </w:rPr>
            </w:pPr>
          </w:p>
        </w:tc>
        <w:tc>
          <w:tcPr>
            <w:tcW w:w="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8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John Quisel</w:t>
            </w:r>
          </w:p>
        </w:tc>
      </w:tr>
      <w:tr>
        <w:trPr>
          <w:trHeight w:val="234"/>
        </w:trPr>
        <w:tc>
          <w:tcPr>
            <w:tcW w:w="66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1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ACCEPTED as of the date first-above written: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ind w:left="540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Murphy</w:t>
            </w:r>
          </w:p>
        </w:tc>
      </w:tr>
      <w:tr>
        <w:trPr>
          <w:trHeight w:val="191"/>
        </w:trPr>
        <w:tc>
          <w:tcPr>
            <w:tcW w:w="6060" w:type="dxa"/>
            <w:vAlign w:val="bottom"/>
          </w:tcPr>
          <w:p>
            <w:pPr>
              <w:spacing w:after="0"/>
              <w:rPr>
                <w:sz w:val="16"/>
                <w:szCs w:val="16"/>
                <w:color w:val="auto"/>
              </w:rPr>
            </w:pPr>
          </w:p>
        </w:tc>
        <w:tc>
          <w:tcPr>
            <w:tcW w:w="5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Michael Murphy</w:t>
            </w:r>
          </w:p>
        </w:tc>
      </w:tr>
      <w:tr>
        <w:trPr>
          <w:trHeight w:val="234"/>
        </w:trPr>
        <w:tc>
          <w:tcPr>
            <w:tcW w:w="60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r>
      <w:tr>
        <w:trPr>
          <w:trHeight w:val="1843"/>
        </w:trPr>
        <w:tc>
          <w:tcPr>
            <w:tcW w:w="606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3" w:name="page224"/>
    <w:bookmarkEnd w:id="2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Placement Notice</w:t>
      </w:r>
    </w:p>
    <w:p>
      <w:pPr>
        <w:spacing w:after="0" w:line="2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3">
            <w:col w:w="1200" w:space="280"/>
            <w:col w:w="720" w:space="720"/>
            <w:col w:w="8320"/>
          </w:cols>
          <w:pgMar w:left="320" w:top="1413" w:right="339" w:bottom="1440" w:gutter="0" w:footer="0" w:header="0"/>
          <w:type w:val="continuous"/>
        </w:sectPr>
      </w:pPr>
    </w:p>
    <w:p>
      <w:pPr>
        <w:spacing w:after="0" w:line="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Cc: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1840" w:space="720"/>
            <w:col w:w="8680"/>
          </w:cols>
          <w:pgMar w:left="320" w:top="1413" w:right="339" w:bottom="1440" w:gutter="0" w:footer="0" w:header="0"/>
          <w:type w:val="continuous"/>
        </w:sectPr>
      </w:pPr>
    </w:p>
    <w:p>
      <w:pPr>
        <w:spacing w:after="0" w:line="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1480" w:space="720"/>
            <w:col w:w="9040"/>
          </w:cols>
          <w:pgMar w:left="320" w:top="1413" w:right="339" w:bottom="1440" w:gutter="0" w:footer="0" w:header="0"/>
          <w:type w:val="continuous"/>
        </w:sectPr>
      </w:pPr>
    </w:p>
    <w:p>
      <w:pPr>
        <w:spacing w:after="0" w:line="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Subject:  TD Cowen At the Market Offering—Placement Notice</w:t>
      </w:r>
    </w:p>
    <w:p>
      <w:pPr>
        <w:spacing w:after="0" w:line="225"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6"/>
              </w:rPr>
              <w:t>[•], 202[•]</w:t>
            </w:r>
          </w:p>
        </w:tc>
      </w:tr>
    </w:tbl>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Pursuant to the terms and subject to the conditions contained in the Sales Agreement between Disc Medicine,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TD Securities (USA) LLC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dated November 5, 2026, the Company hereby requests that the Agent sell up to [•] of the Company’s common stock, par value $0.0001 per share, at a minimum market price of $[•] per share, during the time period beginning [month, day, time] and ending [month, day,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1553210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224" w:name="page225"/>
    <w:bookmarkEnd w:id="2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Company shall pay to the Agent in cash, upon each sale of Placement Shares pursuant to this Agreement, an amount up to 3.0% of the aggregate gross proceeds from each sale of Placement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1541780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5" w:name="page226"/>
    <w:bookmarkEnd w:id="225"/>
    <w:p>
      <w:pPr>
        <w:jc w:val="center"/>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Parties</w:t>
      </w:r>
    </w:p>
    <w:p>
      <w:pPr>
        <w:spacing w:after="0" w:line="2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The Company</w:t>
            </w:r>
          </w:p>
        </w:tc>
        <w:tc>
          <w:tcPr>
            <w:tcW w:w="780" w:type="dxa"/>
            <w:vAlign w:val="bottom"/>
          </w:tcPr>
          <w:p>
            <w:pPr>
              <w:spacing w:after="0"/>
              <w:rPr>
                <w:sz w:val="17"/>
                <w:szCs w:val="17"/>
                <w:color w:val="auto"/>
              </w:rPr>
            </w:pPr>
          </w:p>
        </w:tc>
        <w:tc>
          <w:tcPr>
            <w:tcW w:w="9420" w:type="dxa"/>
            <w:vAlign w:val="bottom"/>
          </w:tcPr>
          <w:p>
            <w:pPr>
              <w:spacing w:after="0"/>
              <w:rPr>
                <w:sz w:val="17"/>
                <w:szCs w:val="17"/>
                <w:color w:val="auto"/>
              </w:rPr>
            </w:pPr>
          </w:p>
        </w:tc>
      </w:tr>
      <w:tr>
        <w:trPr>
          <w:trHeight w:val="453"/>
        </w:trPr>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Rahul Khara</w:t>
            </w: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432"/>
        </w:trPr>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Jean Franchi</w:t>
            </w: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08"/>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The Agent</w:t>
            </w:r>
          </w:p>
        </w:tc>
        <w:tc>
          <w:tcPr>
            <w:tcW w:w="1040" w:type="dxa"/>
            <w:vAlign w:val="bottom"/>
            <w:gridSpan w:val="2"/>
          </w:tcPr>
          <w:p>
            <w:pPr>
              <w:spacing w:after="0"/>
              <w:rPr>
                <w:sz w:val="24"/>
                <w:szCs w:val="24"/>
                <w:color w:val="auto"/>
              </w:rPr>
            </w:pPr>
          </w:p>
        </w:tc>
        <w:tc>
          <w:tcPr>
            <w:tcW w:w="9420" w:type="dxa"/>
            <w:vAlign w:val="bottom"/>
          </w:tcPr>
          <w:p>
            <w:pPr>
              <w:spacing w:after="0"/>
              <w:rPr>
                <w:sz w:val="24"/>
                <w:szCs w:val="24"/>
                <w:color w:val="auto"/>
              </w:rPr>
            </w:pPr>
          </w:p>
        </w:tc>
      </w:tr>
      <w:tr>
        <w:trPr>
          <w:trHeight w:val="453"/>
        </w:trPr>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J. Murphy</w:t>
            </w: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William Follis</w:t>
            </w: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Adriano Pierroz</w:t>
            </w: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Megan Sanford</w:t>
            </w: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Associate</w:t>
            </w:r>
          </w:p>
        </w:tc>
      </w:tr>
      <w:tr>
        <w:trPr>
          <w:trHeight w:val="2275"/>
        </w:trPr>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6" w:name="page227"/>
    <w:bookmarkEnd w:id="226"/>
    <w:p>
      <w:pPr>
        <w:jc w:val="center"/>
        <w:spacing w:after="0"/>
        <w:rPr>
          <w:sz w:val="20"/>
          <w:szCs w:val="20"/>
          <w:color w:val="auto"/>
        </w:rPr>
      </w:pPr>
      <w:r>
        <w:rPr>
          <w:rFonts w:ascii="Times New Roman" w:cs="Times New Roman" w:eastAsia="Times New Roman" w:hAnsi="Times New Roman"/>
          <w:sz w:val="18"/>
          <w:szCs w:val="18"/>
          <w:b w:val="1"/>
          <w:bCs w:val="1"/>
          <w:color w:val="auto"/>
        </w:rPr>
        <w:t>Form of Representation Date Certificate Pursuant to Section 7(l)</w:t>
      </w:r>
    </w:p>
    <w:p>
      <w:pPr>
        <w:spacing w:after="0" w:line="229"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undersigned, the duly qualified and elected Chief Executive Officer, of Disc Medicine,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does hereby certify in such capacity and on behalf of the Company,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of the Sales Agreement, dated November 5, 2026 (the “</w:t>
      </w:r>
      <w:r>
        <w:rPr>
          <w:rFonts w:ascii="Times New Roman" w:cs="Times New Roman" w:eastAsia="Times New Roman" w:hAnsi="Times New Roman"/>
          <w:sz w:val="18"/>
          <w:szCs w:val="18"/>
          <w:u w:val="single" w:color="auto"/>
          <w:color w:val="auto"/>
        </w:rPr>
        <w:t>Sales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between the Company and TD Securities (USA) LLC, that to the best of the knowledge of the undersigned:</w:t>
      </w:r>
    </w:p>
    <w:p>
      <w:pPr>
        <w:spacing w:after="0" w:line="176" w:lineRule="exact"/>
        <w:rPr>
          <w:sz w:val="20"/>
          <w:szCs w:val="20"/>
          <w:color w:val="auto"/>
        </w:rPr>
      </w:pPr>
    </w:p>
    <w:p>
      <w:pPr>
        <w:jc w:val="both"/>
        <w:ind w:firstLine="2254"/>
        <w:spacing w:after="0" w:line="261" w:lineRule="auto"/>
        <w:tabs>
          <w:tab w:leader="none" w:pos="254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the Sales Agreement are true and correct on and as of the date hereof with the same force and effect as if expressly made on and as of the date hereof, except for those representations and warranties that speak solely as of a specific date and which were true and correct as of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representations and warranties also shall be qualified by the disclosure included or incorporated by reference in the Registration Statement and Prospectus; and</w:t>
      </w:r>
    </w:p>
    <w:p>
      <w:pPr>
        <w:spacing w:after="0" w:line="179" w:lineRule="exact"/>
        <w:rPr>
          <w:rFonts w:ascii="Times New Roman" w:cs="Times New Roman" w:eastAsia="Times New Roman" w:hAnsi="Times New Roman"/>
          <w:sz w:val="18"/>
          <w:szCs w:val="18"/>
          <w:color w:val="auto"/>
        </w:rPr>
      </w:pPr>
    </w:p>
    <w:p>
      <w:pPr>
        <w:ind w:firstLine="2254"/>
        <w:spacing w:after="0" w:line="282" w:lineRule="auto"/>
        <w:tabs>
          <w:tab w:leader="none" w:pos="254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all agreements and satisfied all conditions on its part to be performed or satisfied pursuant to the Sales Agreement at or prior to the date hereof.</w:t>
      </w:r>
    </w:p>
    <w:p>
      <w:pPr>
        <w:spacing w:after="0" w:line="3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Capitalized terms used herein without definition shall have the meanings given to such terms in the Sales Agreement.</w:t>
      </w:r>
    </w:p>
    <w:p>
      <w:pPr>
        <w:spacing w:after="0" w:line="200" w:lineRule="exact"/>
        <w:rPr>
          <w:sz w:val="20"/>
          <w:szCs w:val="20"/>
          <w:color w:val="auto"/>
        </w:rPr>
      </w:pPr>
    </w:p>
    <w:p>
      <w:pPr>
        <w:spacing w:after="0" w:line="24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1307465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7" w:name="page228"/>
    <w:bookmarkEnd w:id="227"/>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 13</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 / RULE 15</w:t>
      </w:r>
      <w:r>
        <w:rPr>
          <w:rFonts w:ascii="Times New Roman" w:cs="Times New Roman" w:eastAsia="Times New Roman" w:hAnsi="Times New Roman"/>
          <w:sz w:val="13"/>
          <w:szCs w:val="13"/>
          <w:b w:val="1"/>
          <w:bCs w:val="1"/>
          <w:color w:val="auto"/>
        </w:rPr>
        <w:t>D</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 OF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Quisel, J.D., Ph.D., certify that:</w:t>
      </w:r>
    </w:p>
    <w:p>
      <w:pPr>
        <w:spacing w:after="0" w:line="117" w:lineRule="exact"/>
        <w:rPr>
          <w:sz w:val="20"/>
          <w:szCs w:val="20"/>
          <w:color w:val="auto"/>
        </w:rPr>
      </w:pPr>
    </w:p>
    <w:p>
      <w:pPr>
        <w:ind w:left="1020" w:hanging="503"/>
        <w:spacing w:after="0"/>
        <w:tabs>
          <w:tab w:leader="none" w:pos="102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Disc Medicine, Inc.;</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20" w:hanging="514"/>
        <w:spacing w:after="0" w:line="282" w:lineRule="auto"/>
        <w:tabs>
          <w:tab w:leader="none" w:pos="154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Quisel, J.D., Ph.D.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28" w:name="page229"/>
    <w:bookmarkEnd w:id="228"/>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 13</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 / RULE 15</w:t>
      </w:r>
      <w:r>
        <w:rPr>
          <w:rFonts w:ascii="Times New Roman" w:cs="Times New Roman" w:eastAsia="Times New Roman" w:hAnsi="Times New Roman"/>
          <w:sz w:val="13"/>
          <w:szCs w:val="13"/>
          <w:b w:val="1"/>
          <w:bCs w:val="1"/>
          <w:color w:val="auto"/>
        </w:rPr>
        <w:t>D</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 OF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 Franchi, certify that:</w:t>
      </w:r>
    </w:p>
    <w:p>
      <w:pPr>
        <w:spacing w:after="0" w:line="117" w:lineRule="exact"/>
        <w:rPr>
          <w:sz w:val="20"/>
          <w:szCs w:val="20"/>
          <w:color w:val="auto"/>
        </w:rPr>
      </w:pPr>
    </w:p>
    <w:p>
      <w:pPr>
        <w:ind w:left="1020" w:hanging="503"/>
        <w:spacing w:after="0"/>
        <w:tabs>
          <w:tab w:leader="none" w:pos="102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Disc Medicine, Inc.;</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20" w:hanging="514"/>
        <w:spacing w:after="0" w:line="282" w:lineRule="auto"/>
        <w:tabs>
          <w:tab w:leader="none" w:pos="154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Jean Franchi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 Franchi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29" w:name="page230"/>
    <w:bookmarkEnd w:id="229"/>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FINANCIAL OFFICER PURSUANT TO 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on Form 10-Q of Disc Medicine, Inc. (the “Company”) for the quarter ended September 30, 2026 as filed with the Securities and Exchange Commission on the date hereof (the “Report”), each of the undersigned officers hereby certifies, pursuant to 18 U.S.C. Section 1350, as adopted pursuant to Section 906 of the Sarbanes-Oxley Act of 2002, that to the best of his or her knowledge:</w:t>
      </w:r>
    </w:p>
    <w:p>
      <w:pPr>
        <w:spacing w:after="0" w:line="68" w:lineRule="exact"/>
        <w:rPr>
          <w:sz w:val="20"/>
          <w:szCs w:val="20"/>
          <w:color w:val="auto"/>
        </w:rPr>
      </w:pPr>
    </w:p>
    <w:p>
      <w:pPr>
        <w:ind w:left="1140" w:hanging="504"/>
        <w:spacing w:after="0"/>
        <w:tabs>
          <w:tab w:leader="none" w:pos="114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5,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Quisel, J.D., Ph.D.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Jean Franchi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 Franchi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0" w:name="page231"/>
    <w:bookmarkEnd w:id="2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675FF36"/>
    <w:multiLevelType w:val="hybridMultilevel"/>
    <w:lvl w:ilvl="0">
      <w:lvlJc w:val="left"/>
      <w:lvlText w:val="☒"/>
      <w:numFmt w:val="bullet"/>
      <w:start w:val="1"/>
    </w:lvl>
  </w:abstractNum>
  <w:abstractNum w:abstractNumId="1">
    <w:nsid w:val="3DD15094"/>
    <w:multiLevelType w:val="hybridMultilevel"/>
    <w:lvl w:ilvl="0">
      <w:lvlJc w:val="left"/>
      <w:lvlText w:val="☐"/>
      <w:numFmt w:val="bullet"/>
      <w:start w:val="1"/>
    </w:lvl>
  </w:abstractNum>
  <w:abstractNum w:abstractNumId="2">
    <w:nsid w:val="3DB012B3"/>
    <w:multiLevelType w:val="hybridMultilevel"/>
    <w:lvl w:ilvl="0">
      <w:lvlJc w:val="left"/>
      <w:lvlText w:val="☒"/>
      <w:numFmt w:val="bullet"/>
      <w:start w:val="1"/>
    </w:lvl>
  </w:abstractNum>
  <w:abstractNum w:abstractNumId="3">
    <w:nsid w:val="2708C9AF"/>
    <w:multiLevelType w:val="hybridMultilevel"/>
    <w:lvl w:ilvl="0">
      <w:lvlJc w:val="left"/>
      <w:lvlText w:val="•"/>
      <w:numFmt w:val="bullet"/>
      <w:start w:val="1"/>
    </w:lvl>
  </w:abstractNum>
  <w:abstractNum w:abstractNumId="4">
    <w:nsid w:val="5B25ACE2"/>
    <w:multiLevelType w:val="hybridMultilevel"/>
    <w:lvl w:ilvl="0">
      <w:lvlJc w:val="left"/>
      <w:lvlText w:val="•"/>
      <w:numFmt w:val="bullet"/>
      <w:start w:val="1"/>
    </w:lvl>
  </w:abstractNum>
  <w:abstractNum w:abstractNumId="5">
    <w:nsid w:val="175DFCF0"/>
    <w:multiLevelType w:val="hybridMultilevel"/>
    <w:lvl w:ilvl="0">
      <w:lvlJc w:val="left"/>
      <w:lvlText w:val="•"/>
      <w:numFmt w:val="bullet"/>
      <w:start w:val="1"/>
    </w:lvl>
  </w:abstractNum>
  <w:abstractNum w:abstractNumId="6">
    <w:nsid w:val="4F97E3E4"/>
    <w:multiLevelType w:val="hybridMultilevel"/>
    <w:lvl w:ilvl="0">
      <w:lvlJc w:val="left"/>
      <w:lvlText w:val="•"/>
      <w:numFmt w:val="bullet"/>
      <w:start w:val="1"/>
    </w:lvl>
  </w:abstractNum>
  <w:abstractNum w:abstractNumId="7">
    <w:nsid w:val="53B0A9E"/>
    <w:multiLevelType w:val="hybridMultilevel"/>
    <w:lvl w:ilvl="0">
      <w:lvlJc w:val="left"/>
      <w:lvlText w:val="•"/>
      <w:numFmt w:val="bullet"/>
      <w:start w:val="1"/>
    </w:lvl>
  </w:abstractNum>
  <w:abstractNum w:abstractNumId="8">
    <w:nsid w:val="34FD6B4F"/>
    <w:multiLevelType w:val="hybridMultilevel"/>
    <w:lvl w:ilvl="0">
      <w:lvlJc w:val="left"/>
      <w:lvlText w:val="•"/>
      <w:numFmt w:val="bullet"/>
      <w:start w:val="1"/>
    </w:lvl>
  </w:abstractNum>
  <w:abstractNum w:abstractNumId="9">
    <w:nsid w:val="5915FF32"/>
    <w:multiLevelType w:val="hybridMultilevel"/>
    <w:lvl w:ilvl="0">
      <w:lvlJc w:val="left"/>
      <w:lvlText w:val="•"/>
      <w:numFmt w:val="bullet"/>
      <w:start w:val="1"/>
    </w:lvl>
  </w:abstractNum>
  <w:abstractNum w:abstractNumId="10">
    <w:nsid w:val="56438D15"/>
    <w:multiLevelType w:val="hybridMultilevel"/>
    <w:lvl w:ilvl="0">
      <w:lvlJc w:val="left"/>
      <w:lvlText w:val="•"/>
      <w:numFmt w:val="bullet"/>
      <w:start w:val="1"/>
    </w:lvl>
  </w:abstractNum>
  <w:abstractNum w:abstractNumId="11">
    <w:nsid w:val="519E3149"/>
    <w:multiLevelType w:val="hybridMultilevel"/>
    <w:lvl w:ilvl="0">
      <w:lvlJc w:val="left"/>
      <w:lvlText w:val="(%1)"/>
      <w:numFmt w:val="decimal"/>
      <w:start w:val="1"/>
    </w:lvl>
  </w:abstractNum>
  <w:abstractNum w:abstractNumId="12">
    <w:nsid w:val="2C6E4AFD"/>
    <w:multiLevelType w:val="hybridMultilevel"/>
    <w:lvl w:ilvl="0">
      <w:lvlJc w:val="left"/>
      <w:lvlText w:val="•"/>
      <w:numFmt w:val="bullet"/>
      <w:start w:val="1"/>
    </w:lvl>
  </w:abstractNum>
  <w:abstractNum w:abstractNumId="13">
    <w:nsid w:val="17A1B582"/>
    <w:multiLevelType w:val="hybridMultilevel"/>
    <w:lvl w:ilvl="0">
      <w:lvlJc w:val="left"/>
      <w:lvlText w:val="•"/>
      <w:numFmt w:val="bullet"/>
      <w:start w:val="1"/>
    </w:lvl>
  </w:abstractNum>
  <w:abstractNum w:abstractNumId="14">
    <w:nsid w:val="4DF72E4E"/>
    <w:multiLevelType w:val="hybridMultilevel"/>
    <w:lvl w:ilvl="0">
      <w:lvlJc w:val="left"/>
      <w:lvlText w:val="•"/>
      <w:numFmt w:val="bullet"/>
      <w:start w:val="1"/>
    </w:lvl>
  </w:abstractNum>
  <w:abstractNum w:abstractNumId="15">
    <w:nsid w:val="5046B5A9"/>
    <w:multiLevelType w:val="hybridMultilevel"/>
    <w:lvl w:ilvl="0">
      <w:lvlJc w:val="left"/>
      <w:lvlText w:val="•"/>
      <w:numFmt w:val="bullet"/>
      <w:start w:val="1"/>
    </w:lvl>
  </w:abstractNum>
  <w:abstractNum w:abstractNumId="16">
    <w:nsid w:val="5D888A08"/>
    <w:multiLevelType w:val="hybridMultilevel"/>
    <w:lvl w:ilvl="0">
      <w:lvlJc w:val="left"/>
      <w:lvlText w:val="•"/>
      <w:numFmt w:val="bullet"/>
      <w:start w:val="1"/>
    </w:lvl>
  </w:abstractNum>
  <w:abstractNum w:abstractNumId="17">
    <w:nsid w:val="2A082C70"/>
    <w:multiLevelType w:val="hybridMultilevel"/>
    <w:lvl w:ilvl="0">
      <w:lvlJc w:val="left"/>
      <w:lvlText w:val="•"/>
      <w:numFmt w:val="bullet"/>
      <w:start w:val="1"/>
    </w:lvl>
  </w:abstractNum>
  <w:abstractNum w:abstractNumId="18">
    <w:nsid w:val="5EC6AFD4"/>
    <w:multiLevelType w:val="hybridMultilevel"/>
    <w:lvl w:ilvl="0">
      <w:lvlJc w:val="left"/>
      <w:lvlText w:val="•"/>
      <w:numFmt w:val="bullet"/>
      <w:start w:val="1"/>
    </w:lvl>
  </w:abstractNum>
  <w:abstractNum w:abstractNumId="19">
    <w:nsid w:val="19E21BB2"/>
    <w:multiLevelType w:val="hybridMultilevel"/>
    <w:lvl w:ilvl="0">
      <w:lvlJc w:val="left"/>
      <w:lvlText w:val="•"/>
      <w:numFmt w:val="bullet"/>
      <w:start w:val="1"/>
    </w:lvl>
  </w:abstractNum>
  <w:abstractNum w:abstractNumId="20">
    <w:nsid w:val="75E0858A"/>
    <w:multiLevelType w:val="hybridMultilevel"/>
    <w:lvl w:ilvl="0">
      <w:lvlJc w:val="left"/>
      <w:lvlText w:val="•"/>
      <w:numFmt w:val="bullet"/>
      <w:start w:val="1"/>
    </w:lvl>
  </w:abstractNum>
  <w:abstractNum w:abstractNumId="21">
    <w:nsid w:val="57A61A29"/>
    <w:multiLevelType w:val="hybridMultilevel"/>
    <w:lvl w:ilvl="0">
      <w:lvlJc w:val="left"/>
      <w:lvlText w:val="•"/>
      <w:numFmt w:val="bullet"/>
      <w:start w:val="1"/>
    </w:lvl>
  </w:abstractNum>
  <w:abstractNum w:abstractNumId="22">
    <w:nsid w:val="5399C654"/>
    <w:multiLevelType w:val="hybridMultilevel"/>
    <w:lvl w:ilvl="0">
      <w:lvlJc w:val="left"/>
      <w:lvlText w:val="•"/>
      <w:numFmt w:val="bullet"/>
      <w:start w:val="1"/>
    </w:lvl>
  </w:abstractNum>
  <w:abstractNum w:abstractNumId="23">
    <w:nsid w:val="20EE1348"/>
    <w:multiLevelType w:val="hybridMultilevel"/>
    <w:lvl w:ilvl="0">
      <w:lvlJc w:val="left"/>
      <w:lvlText w:val="•"/>
      <w:numFmt w:val="bullet"/>
      <w:start w:val="1"/>
    </w:lvl>
  </w:abstractNum>
  <w:abstractNum w:abstractNumId="24">
    <w:nsid w:val="4427069A"/>
    <w:multiLevelType w:val="hybridMultilevel"/>
    <w:lvl w:ilvl="0">
      <w:lvlJc w:val="left"/>
      <w:lvlText w:val="•"/>
      <w:numFmt w:val="bullet"/>
      <w:start w:val="1"/>
    </w:lvl>
  </w:abstractNum>
  <w:abstractNum w:abstractNumId="25">
    <w:nsid w:val="B37E80A"/>
    <w:multiLevelType w:val="hybridMultilevel"/>
    <w:lvl w:ilvl="0">
      <w:lvlJc w:val="left"/>
      <w:lvlText w:val="•"/>
      <w:numFmt w:val="bullet"/>
      <w:start w:val="1"/>
    </w:lvl>
  </w:abstractNum>
  <w:abstractNum w:abstractNumId="26">
    <w:nsid w:val="2157F6BC"/>
    <w:multiLevelType w:val="hybridMultilevel"/>
    <w:lvl w:ilvl="0">
      <w:lvlJc w:val="left"/>
      <w:lvlText w:val="•"/>
      <w:numFmt w:val="bullet"/>
      <w:start w:val="1"/>
    </w:lvl>
  </w:abstractNum>
  <w:abstractNum w:abstractNumId="27">
    <w:nsid w:val="704E1DD5"/>
    <w:multiLevelType w:val="hybridMultilevel"/>
    <w:lvl w:ilvl="0">
      <w:lvlJc w:val="left"/>
      <w:lvlText w:val="•"/>
      <w:numFmt w:val="bullet"/>
      <w:start w:val="1"/>
    </w:lvl>
  </w:abstractNum>
  <w:abstractNum w:abstractNumId="28">
    <w:nsid w:val="57D2F10E"/>
    <w:multiLevelType w:val="hybridMultilevel"/>
    <w:lvl w:ilvl="0">
      <w:lvlJc w:val="left"/>
      <w:lvlText w:val="•"/>
      <w:numFmt w:val="bullet"/>
      <w:start w:val="1"/>
    </w:lvl>
  </w:abstractNum>
  <w:abstractNum w:abstractNumId="29">
    <w:nsid w:val="BFFAE18"/>
    <w:multiLevelType w:val="hybridMultilevel"/>
    <w:lvl w:ilvl="0">
      <w:lvlJc w:val="left"/>
      <w:lvlText w:val="•"/>
      <w:numFmt w:val="bullet"/>
      <w:start w:val="1"/>
    </w:lvl>
  </w:abstractNum>
  <w:abstractNum w:abstractNumId="30">
    <w:nsid w:val="E3E47A8"/>
    <w:multiLevelType w:val="hybridMultilevel"/>
    <w:lvl w:ilvl="0">
      <w:lvlJc w:val="left"/>
      <w:lvlText w:val="•"/>
      <w:numFmt w:val="bullet"/>
      <w:start w:val="1"/>
    </w:lvl>
  </w:abstractNum>
  <w:abstractNum w:abstractNumId="31">
    <w:nsid w:val="2E48F044"/>
    <w:multiLevelType w:val="hybridMultilevel"/>
    <w:lvl w:ilvl="0">
      <w:lvlJc w:val="left"/>
      <w:lvlText w:val="•"/>
      <w:numFmt w:val="bullet"/>
      <w:start w:val="1"/>
    </w:lvl>
  </w:abstractNum>
  <w:abstractNum w:abstractNumId="32">
    <w:nsid w:val="49D0FEAC"/>
    <w:multiLevelType w:val="hybridMultilevel"/>
    <w:lvl w:ilvl="0">
      <w:lvlJc w:val="left"/>
      <w:lvlText w:val="•"/>
      <w:numFmt w:val="bullet"/>
      <w:start w:val="1"/>
    </w:lvl>
  </w:abstractNum>
  <w:abstractNum w:abstractNumId="33">
    <w:nsid w:val="4BEE5A5B"/>
    <w:multiLevelType w:val="hybridMultilevel"/>
    <w:lvl w:ilvl="0">
      <w:lvlJc w:val="left"/>
      <w:lvlText w:val="•"/>
      <w:numFmt w:val="bullet"/>
      <w:start w:val="1"/>
    </w:lvl>
  </w:abstractNum>
  <w:abstractNum w:abstractNumId="34">
    <w:nsid w:val="5551B9F3"/>
    <w:multiLevelType w:val="hybridMultilevel"/>
    <w:lvl w:ilvl="0">
      <w:lvlJc w:val="left"/>
      <w:lvlText w:val="•"/>
      <w:numFmt w:val="bullet"/>
      <w:start w:val="1"/>
    </w:lvl>
  </w:abstractNum>
  <w:abstractNum w:abstractNumId="35">
    <w:nsid w:val="24F6AB8E"/>
    <w:multiLevelType w:val="hybridMultilevel"/>
    <w:lvl w:ilvl="0">
      <w:lvlJc w:val="left"/>
      <w:lvlText w:val="•"/>
      <w:numFmt w:val="bullet"/>
      <w:start w:val="1"/>
    </w:lvl>
  </w:abstractNum>
  <w:abstractNum w:abstractNumId="36">
    <w:nsid w:val="634C574C"/>
    <w:multiLevelType w:val="hybridMultilevel"/>
    <w:lvl w:ilvl="0">
      <w:lvlJc w:val="left"/>
      <w:lvlText w:val="•"/>
      <w:numFmt w:val="bullet"/>
      <w:start w:val="1"/>
    </w:lvl>
  </w:abstractNum>
  <w:abstractNum w:abstractNumId="37">
    <w:nsid w:val="24E99DD7"/>
    <w:multiLevelType w:val="hybridMultilevel"/>
    <w:lvl w:ilvl="0">
      <w:lvlJc w:val="left"/>
      <w:lvlText w:val="•"/>
      <w:numFmt w:val="bullet"/>
      <w:start w:val="1"/>
    </w:lvl>
  </w:abstractNum>
  <w:abstractNum w:abstractNumId="38">
    <w:nsid w:val="2A31B62D"/>
    <w:multiLevelType w:val="hybridMultilevel"/>
    <w:lvl w:ilvl="0">
      <w:lvlJc w:val="left"/>
      <w:lvlText w:val="•"/>
      <w:numFmt w:val="bullet"/>
      <w:start w:val="1"/>
    </w:lvl>
  </w:abstractNum>
  <w:abstractNum w:abstractNumId="39">
    <w:nsid w:val="1849C29B"/>
    <w:multiLevelType w:val="hybridMultilevel"/>
    <w:lvl w:ilvl="0">
      <w:lvlJc w:val="left"/>
      <w:lvlText w:val="•"/>
      <w:numFmt w:val="bullet"/>
      <w:start w:val="1"/>
    </w:lvl>
  </w:abstractNum>
  <w:abstractNum w:abstractNumId="40">
    <w:nsid w:val="7DFF9D09"/>
    <w:multiLevelType w:val="hybridMultilevel"/>
    <w:lvl w:ilvl="0">
      <w:lvlJc w:val="left"/>
      <w:lvlText w:val="•"/>
      <w:numFmt w:val="bullet"/>
      <w:start w:val="1"/>
    </w:lvl>
  </w:abstractNum>
  <w:abstractNum w:abstractNumId="41">
    <w:nsid w:val="754342"/>
    <w:multiLevelType w:val="hybridMultilevel"/>
    <w:lvl w:ilvl="0">
      <w:lvlJc w:val="left"/>
      <w:lvlText w:val="(%1)"/>
      <w:numFmt w:val="decimal"/>
      <w:start w:val="1"/>
    </w:lvl>
  </w:abstractNum>
  <w:abstractNum w:abstractNumId="42">
    <w:nsid w:val="69E7F3E5"/>
    <w:multiLevelType w:val="hybridMultilevel"/>
    <w:lvl w:ilvl="0">
      <w:lvlJc w:val="left"/>
      <w:lvlText w:val="**"/>
      <w:numFmt w:val="bullet"/>
      <w:start w:val="1"/>
    </w:lvl>
  </w:abstractNum>
  <w:abstractNum w:abstractNumId="43">
    <w:nsid w:val="2A6DE806"/>
    <w:multiLevelType w:val="hybridMultilevel"/>
    <w:lvl w:ilvl="0">
      <w:lvlJc w:val="left"/>
      <w:lvlText w:val="†"/>
      <w:numFmt w:val="bullet"/>
      <w:start w:val="1"/>
    </w:lvl>
  </w:abstractNum>
  <w:abstractNum w:abstractNumId="44">
    <w:nsid w:val="1816F8C4"/>
    <w:multiLevelType w:val="hybridMultilevel"/>
    <w:lvl w:ilvl="0">
      <w:lvlJc w:val="left"/>
      <w:lvlText w:val="%1."/>
      <w:numFmt w:val="decimal"/>
      <w:start w:val="1"/>
    </w:lvl>
    <w:lvl w:ilvl="1">
      <w:lvlJc w:val="left"/>
      <w:lvlText w:val="(%2)"/>
      <w:numFmt w:val="lowerLetter"/>
      <w:start w:val="1"/>
    </w:lvl>
  </w:abstractNum>
  <w:abstractNum w:abstractNumId="45">
    <w:nsid w:val="37DF2233"/>
    <w:multiLevelType w:val="hybridMultilevel"/>
    <w:lvl w:ilvl="0">
      <w:lvlJc w:val="left"/>
      <w:lvlText w:val="%1."/>
      <w:numFmt w:val="decimal"/>
      <w:start w:val="2"/>
    </w:lvl>
    <w:lvl w:ilvl="1">
      <w:lvlJc w:val="left"/>
      <w:lvlText w:val="(%2)"/>
      <w:numFmt w:val="lowerLetter"/>
      <w:start w:val="1"/>
    </w:lvl>
  </w:abstractNum>
  <w:abstractNum w:abstractNumId="46">
    <w:nsid w:val="7AB49DA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47">
    <w:nsid w:val="759F82CD"/>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1"/>
    </w:lvl>
  </w:abstractNum>
  <w:abstractNum w:abstractNumId="48">
    <w:nsid w:val="61E74EA3"/>
    <w:multiLevelType w:val="hybridMultilevel"/>
    <w:lvl w:ilvl="0">
      <w:lvlJc w:val="left"/>
      <w:lvlText w:val="(%1)"/>
      <w:numFmt w:val="lowerLetter"/>
      <w:start w:val="3"/>
    </w:lvl>
    <w:lvl w:ilvl="1">
      <w:lvlJc w:val="left"/>
      <w:lvlText w:val="(%2)"/>
      <w:numFmt w:val="lowerRoman"/>
      <w:start w:val="1"/>
    </w:lvl>
  </w:abstractNum>
  <w:abstractNum w:abstractNumId="49">
    <w:nsid w:val="597B4D84"/>
    <w:multiLevelType w:val="hybridMultilevel"/>
    <w:lvl w:ilvl="0">
      <w:lvlJc w:val="left"/>
      <w:lvlText w:val="%1"/>
      <w:numFmt w:val="lowerLetter"/>
      <w:start w:val="1"/>
    </w:lvl>
    <w:lvl w:ilvl="1">
      <w:lvlJc w:val="left"/>
      <w:lvlText w:val="(%2)"/>
      <w:numFmt w:val="lowerRoman"/>
      <w:start w:val="5"/>
    </w:lvl>
  </w:abstractNum>
  <w:abstractNum w:abstractNumId="50">
    <w:nsid w:val="F819E7F"/>
    <w:multiLevelType w:val="hybridMultilevel"/>
    <w:lvl w:ilvl="0">
      <w:lvlJc w:val="left"/>
      <w:lvlText w:val="(%1)"/>
      <w:numFmt w:val="lowerLetter"/>
      <w:start w:val="4"/>
    </w:lvl>
    <w:lvl w:ilvl="1">
      <w:lvlJc w:val="left"/>
      <w:lvlText w:val="(%2)"/>
      <w:numFmt w:val="lowerRoman"/>
      <w:start w:val="1"/>
    </w:lvl>
  </w:abstractNum>
  <w:abstractNum w:abstractNumId="51">
    <w:nsid w:val="57C7D42D"/>
    <w:multiLevelType w:val="hybridMultilevel"/>
    <w:lvl w:ilvl="0">
      <w:lvlJc w:val="left"/>
      <w:lvlText w:val="(%1)"/>
      <w:numFmt w:val="lowerRoman"/>
      <w:start w:val="5"/>
    </w:lvl>
  </w:abstractNum>
  <w:abstractNum w:abstractNumId="52">
    <w:nsid w:val="312167AD"/>
    <w:multiLevelType w:val="hybridMultilevel"/>
    <w:lvl w:ilvl="0">
      <w:lvlJc w:val="left"/>
      <w:lvlText w:val="(%1)"/>
      <w:numFmt w:val="lowerRoman"/>
      <w:start w:val="9"/>
    </w:lvl>
  </w:abstractNum>
  <w:abstractNum w:abstractNumId="53">
    <w:nsid w:val="631B64D4"/>
    <w:multiLevelType w:val="hybridMultilevel"/>
    <w:lvl w:ilvl="0">
      <w:lvlJc w:val="left"/>
      <w:lvlText w:val="(%1)"/>
      <w:numFmt w:val="lowerRoman"/>
      <w:start w:val="1"/>
    </w:lvl>
  </w:abstractNum>
  <w:abstractNum w:abstractNumId="54">
    <w:nsid w:val="78B5E776"/>
    <w:multiLevelType w:val="hybridMultilevel"/>
    <w:lvl w:ilvl="0">
      <w:lvlJc w:val="left"/>
      <w:lvlText w:val="%1."/>
      <w:numFmt w:val="decimal"/>
      <w:start w:val="4"/>
    </w:lvl>
    <w:lvl w:ilvl="1">
      <w:lvlJc w:val="left"/>
      <w:lvlText w:val="(%2)"/>
      <w:numFmt w:val="lowerLetter"/>
      <w:start w:val="1"/>
    </w:lvl>
  </w:abstractNum>
  <w:abstractNum w:abstractNumId="55">
    <w:nsid w:val="75486E47"/>
    <w:multiLevelType w:val="hybridMultilevel"/>
    <w:lvl w:ilvl="0">
      <w:lvlJc w:val="left"/>
      <w:lvlText w:val="(%1)"/>
      <w:numFmt w:val="lowerLetter"/>
      <w:start w:val="1"/>
    </w:lvl>
  </w:abstractNum>
  <w:abstractNum w:abstractNumId="56">
    <w:nsid w:val="6E534CDE"/>
    <w:multiLevelType w:val="hybridMultilevel"/>
    <w:lvl w:ilvl="0">
      <w:lvlJc w:val="left"/>
      <w:lvlText w:val="%1."/>
      <w:numFmt w:val="decimal"/>
      <w:start w:val="6"/>
    </w:lvl>
  </w:abstractNum>
  <w:abstractNum w:abstractNumId="57">
    <w:nsid w:val="1A0DDE32"/>
    <w:multiLevelType w:val="hybridMultilevel"/>
    <w:lvl w:ilvl="0">
      <w:lvlJc w:val="left"/>
      <w:lvlText w:val="(%1)"/>
      <w:numFmt w:val="lowerLetter"/>
      <w:start w:val="1"/>
    </w:lvl>
    <w:lvl w:ilvl="1">
      <w:lvlJc w:val="left"/>
      <w:lvlText w:val="(%2)"/>
      <w:numFmt w:val="lowerRoman"/>
      <w:start w:val="1"/>
    </w:lvl>
  </w:abstractNum>
  <w:abstractNum w:abstractNumId="58">
    <w:nsid w:val="65968C1C"/>
    <w:multiLevelType w:val="hybridMultilevel"/>
    <w:lvl w:ilvl="0">
      <w:lvlJc w:val="left"/>
      <w:lvlText w:val="(%1)"/>
      <w:numFmt w:val="upperLetter"/>
      <w:start w:val="3"/>
    </w:lvl>
  </w:abstractNum>
  <w:abstractNum w:abstractNumId="59">
    <w:nsid w:val="46263DEC"/>
    <w:multiLevelType w:val="hybridMultilevel"/>
    <w:lvl w:ilvl="0">
      <w:lvlJc w:val="left"/>
      <w:lvlText w:val="(%1)"/>
      <w:numFmt w:val="lowerLetter"/>
      <w:start w:val="2"/>
    </w:lvl>
    <w:lvl w:ilvl="1">
      <w:lvlJc w:val="left"/>
      <w:lvlText w:val="(%2)"/>
      <w:numFmt w:val="lowerLetter"/>
      <w:start w:val="9"/>
    </w:lvl>
  </w:abstractNum>
  <w:abstractNum w:abstractNumId="60">
    <w:nsid w:val="260D8C4A"/>
    <w:multiLevelType w:val="hybridMultilevel"/>
    <w:lvl w:ilvl="0">
      <w:lvlJc w:val="left"/>
      <w:lvlText w:val="(%1)"/>
      <w:numFmt w:val="lowerRoman"/>
      <w:start w:val="2"/>
    </w:lvl>
  </w:abstractNum>
  <w:abstractNum w:abstractNumId="61">
    <w:nsid w:val="73D4D3C4"/>
    <w:multiLevelType w:val="hybridMultilevel"/>
    <w:lvl w:ilvl="0">
      <w:lvlJc w:val="left"/>
      <w:lvlText w:val="%1."/>
      <w:numFmt w:val="decimal"/>
      <w:start w:val="7"/>
    </w:lvl>
    <w:lvl w:ilvl="1">
      <w:lvlJc w:val="left"/>
      <w:lvlText w:val="(%2)"/>
      <w:numFmt w:val="lowerLetter"/>
      <w:start w:val="1"/>
    </w:lvl>
  </w:abstractNum>
  <w:abstractNum w:abstractNumId="62">
    <w:nsid w:val="746F2E30"/>
    <w:multiLevelType w:val="hybridMultilevel"/>
    <w:lvl w:ilvl="0">
      <w:lvlJc w:val="left"/>
      <w:lvlText w:val="(%1)"/>
      <w:numFmt w:val="lowerLetter"/>
      <w:start w:val="2"/>
    </w:lvl>
  </w:abstractNum>
  <w:abstractNum w:abstractNumId="63">
    <w:nsid w:val="6FDE8AF6"/>
    <w:multiLevelType w:val="hybridMultilevel"/>
    <w:lvl w:ilvl="0">
      <w:lvlJc w:val="left"/>
      <w:lvlText w:val="%1."/>
      <w:numFmt w:val="decimal"/>
      <w:start w:val="8"/>
    </w:lvl>
    <w:lvl w:ilvl="1">
      <w:lvlJc w:val="left"/>
      <w:lvlText w:val="(%2)"/>
      <w:numFmt w:val="lowerLetter"/>
      <w:start w:val="1"/>
    </w:lvl>
  </w:abstractNum>
  <w:abstractNum w:abstractNumId="64">
    <w:nsid w:val="3FC32E20"/>
    <w:multiLevelType w:val="hybridMultilevel"/>
    <w:lvl w:ilvl="0">
      <w:lvlJc w:val="left"/>
      <w:lvlText w:val="(%1)"/>
      <w:numFmt w:val="lowerLetter"/>
      <w:start w:val="4"/>
    </w:lvl>
  </w:abstractNum>
  <w:abstractNum w:abstractNumId="65">
    <w:nsid w:val="49C0E823"/>
    <w:multiLevelType w:val="hybridMultilevel"/>
    <w:lvl w:ilvl="0">
      <w:lvlJc w:val="left"/>
      <w:lvlText w:val="%1."/>
      <w:numFmt w:val="decimal"/>
      <w:start w:val="9"/>
    </w:lvl>
    <w:lvl w:ilvl="1">
      <w:lvlJc w:val="left"/>
      <w:lvlText w:val="(%2)"/>
      <w:numFmt w:val="lowerLetter"/>
      <w:start w:val="1"/>
    </w:lvl>
  </w:abstractNum>
  <w:abstractNum w:abstractNumId="66">
    <w:nsid w:val="14D53685"/>
    <w:multiLevelType w:val="hybridMultilevel"/>
    <w:lvl w:ilvl="0">
      <w:lvlJc w:val="left"/>
      <w:lvlText w:val="%1."/>
      <w:numFmt w:val="decimal"/>
      <w:start w:val="10"/>
    </w:lvl>
  </w:abstractNum>
  <w:abstractNum w:abstractNumId="67">
    <w:nsid w:val="230F856C"/>
    <w:multiLevelType w:val="hybridMultilevel"/>
    <w:lvl w:ilvl="0">
      <w:lvlJc w:val="left"/>
      <w:lvlText w:val="%1."/>
      <w:numFmt w:val="decimal"/>
      <w:start w:val="15"/>
    </w:lvl>
  </w:abstractNum>
  <w:abstractNum w:abstractNumId="68">
    <w:nsid w:val="6EAA85FB"/>
    <w:multiLevelType w:val="hybridMultilevel"/>
    <w:lvl w:ilvl="0">
      <w:lvlJc w:val="left"/>
      <w:lvlText w:val="%1."/>
      <w:numFmt w:val="decimal"/>
      <w:start w:val="20"/>
    </w:lvl>
  </w:abstractNum>
  <w:abstractNum w:abstractNumId="69">
    <w:nsid w:val="3F06ECB2"/>
    <w:multiLevelType w:val="hybridMultilevel"/>
    <w:lvl w:ilvl="0">
      <w:lvlJc w:val="left"/>
      <w:lvlText w:val="%1."/>
      <w:numFmt w:val="decimal"/>
      <w:start w:val="1"/>
    </w:lvl>
    <w:lvl w:ilvl="1">
      <w:lvlJc w:val="left"/>
      <w:lvlText w:val="(%2)"/>
      <w:numFmt w:val="lowerLetter"/>
      <w:start w:val="1"/>
    </w:lvl>
  </w:abstractNum>
  <w:abstractNum w:abstractNumId="70">
    <w:nsid w:val="3B594807"/>
    <w:multiLevelType w:val="hybridMultilevel"/>
    <w:lvl w:ilvl="0">
      <w:lvlJc w:val="left"/>
      <w:lvlText w:val="%1."/>
      <w:numFmt w:val="decimal"/>
      <w:start w:val="2"/>
    </w:lvl>
    <w:lvl w:ilvl="1">
      <w:lvlJc w:val="left"/>
      <w:lvlText w:val="(%2)"/>
      <w:numFmt w:val="lowerLetter"/>
      <w:start w:val="1"/>
    </w:lvl>
  </w:abstractNum>
  <w:abstractNum w:abstractNumId="71">
    <w:nsid w:val="6CAA2304"/>
    <w:multiLevelType w:val="hybridMultilevel"/>
    <w:lvl w:ilvl="0">
      <w:lvlJc w:val="left"/>
      <w:lvlText w:val="%1"/>
      <w:numFmt w:val="decimal"/>
      <w:start w:val="1"/>
    </w:lvl>
    <w:lvl w:ilvl="1">
      <w:lvlJc w:val="left"/>
      <w:lvlText w:val="(%2)"/>
      <w:numFmt w:val="lowerLetter"/>
      <w:start w:val="3"/>
    </w:lvl>
  </w:abstractNum>
  <w:abstractNum w:abstractNumId="72">
    <w:nsid w:val="3F7C2FF4"/>
    <w:multiLevelType w:val="hybridMultilevel"/>
    <w:lvl w:ilvl="0">
      <w:lvlJc w:val="left"/>
      <w:lvlText w:val="%1."/>
      <w:numFmt w:val="decimal"/>
      <w:start w:val="3"/>
    </w:lvl>
    <w:lvl w:ilvl="1">
      <w:lvlJc w:val="left"/>
      <w:lvlText w:val="(%2)"/>
      <w:numFmt w:val="lowerLetter"/>
      <w:start w:val="1"/>
    </w:lvl>
  </w:abstractNum>
  <w:abstractNum w:abstractNumId="73">
    <w:nsid w:val="25413BEC"/>
    <w:multiLevelType w:val="hybridMultilevel"/>
    <w:lvl w:ilvl="0">
      <w:lvlJc w:val="left"/>
      <w:lvlText w:val="(%1)"/>
      <w:numFmt w:val="lowerLetter"/>
      <w:start w:val="3"/>
    </w:lvl>
    <w:lvl w:ilvl="1">
      <w:lvlJc w:val="left"/>
      <w:lvlText w:val="(%2)"/>
      <w:numFmt w:val="lowerRoman"/>
      <w:start w:val="1"/>
    </w:lvl>
  </w:abstractNum>
  <w:abstractNum w:abstractNumId="74">
    <w:nsid w:val="17180B0B"/>
    <w:multiLevelType w:val="hybridMultilevel"/>
    <w:lvl w:ilvl="0">
      <w:lvlJc w:val="left"/>
      <w:lvlText w:val="%1"/>
      <w:numFmt w:val="lowerLetter"/>
      <w:start w:val="1"/>
    </w:lvl>
    <w:lvl w:ilvl="1">
      <w:lvlJc w:val="left"/>
      <w:lvlText w:val="(%2)"/>
      <w:numFmt w:val="lowerRoman"/>
      <w:start w:val="6"/>
    </w:lvl>
  </w:abstractNum>
  <w:abstractNum w:abstractNumId="75">
    <w:nsid w:val="579328B9"/>
    <w:multiLevelType w:val="hybridMultilevel"/>
    <w:lvl w:ilvl="0">
      <w:lvlJc w:val="left"/>
      <w:lvlText w:val="(%1)"/>
      <w:numFmt w:val="lowerLetter"/>
      <w:start w:val="4"/>
    </w:lvl>
    <w:lvl w:ilvl="1">
      <w:lvlJc w:val="left"/>
      <w:lvlText w:val="(%2)"/>
      <w:numFmt w:val="lowerRoman"/>
      <w:start w:val="1"/>
    </w:lvl>
  </w:abstractNum>
  <w:abstractNum w:abstractNumId="76">
    <w:nsid w:val="5D205E20"/>
    <w:multiLevelType w:val="hybridMultilevel"/>
    <w:lvl w:ilvl="0">
      <w:lvlJc w:val="left"/>
      <w:lvlText w:val="(%1)"/>
      <w:numFmt w:val="lowerRoman"/>
      <w:start w:val="5"/>
    </w:lvl>
  </w:abstractNum>
  <w:abstractNum w:abstractNumId="77">
    <w:nsid w:val="11CCA8BA"/>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abstractNum>
  <w:abstractNum w:abstractNumId="78">
    <w:nsid w:val="4D32AB86"/>
    <w:multiLevelType w:val="hybridMultilevel"/>
    <w:lvl w:ilvl="0">
      <w:lvlJc w:val="left"/>
      <w:lvlText w:val="%1"/>
      <w:numFmt w:val="decimal"/>
      <w:start w:val="1"/>
    </w:lvl>
    <w:lvl w:ilvl="1">
      <w:lvlJc w:val="left"/>
      <w:lvlText w:val="(%2)"/>
      <w:numFmt w:val="lowerLetter"/>
      <w:start w:val="2"/>
    </w:lvl>
  </w:abstractNum>
  <w:abstractNum w:abstractNumId="79">
    <w:nsid w:val="3F07ACC3"/>
    <w:multiLevelType w:val="hybridMultilevel"/>
    <w:lvl w:ilvl="0">
      <w:lvlJc w:val="left"/>
      <w:lvlText w:val="%1."/>
      <w:numFmt w:val="decimal"/>
      <w:start w:val="5"/>
    </w:lvl>
    <w:lvl w:ilvl="1">
      <w:lvlJc w:val="left"/>
      <w:lvlText w:val="(%2)"/>
      <w:numFmt w:val="lowerLetter"/>
      <w:start w:val="1"/>
    </w:lvl>
  </w:abstractNum>
  <w:abstractNum w:abstractNumId="80">
    <w:nsid w:val="6B47F63E"/>
    <w:multiLevelType w:val="hybridMultilevel"/>
    <w:lvl w:ilvl="0">
      <w:lvlJc w:val="left"/>
      <w:lvlText w:val="%1"/>
      <w:numFmt w:val="upperLetter"/>
      <w:start w:val="1"/>
    </w:lvl>
    <w:lvl w:ilvl="1">
      <w:lvlJc w:val="left"/>
      <w:lvlText w:val="(%2)"/>
      <w:numFmt w:val="lowerLetter"/>
      <w:start w:val="2"/>
    </w:lvl>
  </w:abstractNum>
  <w:abstractNum w:abstractNumId="81">
    <w:nsid w:val="5CB44A05"/>
    <w:multiLevelType w:val="hybridMultilevel"/>
    <w:lvl w:ilvl="0">
      <w:lvlJc w:val="left"/>
      <w:lvlText w:val="(%1)"/>
      <w:numFmt w:val="upperLetter"/>
      <w:start w:val="2"/>
    </w:lvl>
    <w:lvl w:ilvl="1">
      <w:lvlJc w:val="left"/>
      <w:lvlText w:val="%2"/>
      <w:numFmt w:val="lowerLetter"/>
      <w:start w:val="1"/>
    </w:lvl>
  </w:abstractNum>
  <w:abstractNum w:abstractNumId="82">
    <w:nsid w:val="16CF80F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83">
    <w:nsid w:val="1C695DEC"/>
    <w:multiLevelType w:val="hybridMultilevel"/>
    <w:lvl w:ilvl="0">
      <w:lvlJc w:val="left"/>
      <w:lvlText w:val="(%1)"/>
      <w:numFmt w:val="lowerRoman"/>
      <w:start w:val="3"/>
    </w:lvl>
  </w:abstractNum>
  <w:abstractNum w:abstractNumId="84">
    <w:nsid w:val="3FCFAED9"/>
    <w:multiLevelType w:val="hybridMultilevel"/>
    <w:lvl w:ilvl="0">
      <w:lvlJc w:val="left"/>
      <w:lvlText w:val="(%1)"/>
      <w:numFmt w:val="lowerLetter"/>
      <w:start w:val="2"/>
    </w:lvl>
  </w:abstractNum>
  <w:abstractNum w:abstractNumId="85">
    <w:nsid w:val="F856867"/>
    <w:multiLevelType w:val="hybridMultilevel"/>
    <w:lvl w:ilvl="0">
      <w:lvlJc w:val="left"/>
      <w:lvlText w:val="%1"/>
      <w:numFmt w:val="decimal"/>
      <w:start w:val="1"/>
    </w:lvl>
    <w:lvl w:ilvl="1">
      <w:lvlJc w:val="left"/>
      <w:lvlText w:val="(%2)"/>
      <w:numFmt w:val="lowerRoman"/>
      <w:start w:val="1"/>
    </w:lvl>
  </w:abstractNum>
  <w:abstractNum w:abstractNumId="86">
    <w:nsid w:val="11B1CC33"/>
    <w:multiLevelType w:val="hybridMultilevel"/>
    <w:lvl w:ilvl="0">
      <w:lvlJc w:val="left"/>
      <w:lvlText w:val="(%1)"/>
      <w:numFmt w:val="decimal"/>
      <w:start w:val="4"/>
    </w:lvl>
    <w:lvl w:ilvl="1">
      <w:lvlJc w:val="left"/>
      <w:lvlText w:val="(%2)"/>
      <w:numFmt w:val="lowerRoman"/>
      <w:start w:val="2"/>
    </w:lvl>
  </w:abstractNum>
  <w:abstractNum w:abstractNumId="87">
    <w:nsid w:val="2E22FBB7"/>
    <w:multiLevelType w:val="hybridMultilevel"/>
    <w:lvl w:ilvl="0">
      <w:lvlJc w:val="left"/>
      <w:lvlText w:val="%1"/>
      <w:numFmt w:val="lowerLetter"/>
      <w:start w:val="1"/>
    </w:lvl>
    <w:lvl w:ilvl="1">
      <w:lvlJc w:val="left"/>
      <w:lvlText w:val="(%2)"/>
      <w:numFmt w:val="lowerRoman"/>
      <w:start w:val="4"/>
    </w:lvl>
  </w:abstractNum>
  <w:abstractNum w:abstractNumId="88">
    <w:nsid w:val="29934699"/>
    <w:multiLevelType w:val="hybridMultilevel"/>
    <w:lvl w:ilvl="0">
      <w:lvlJc w:val="left"/>
      <w:lvlText w:val="(%1)"/>
      <w:numFmt w:val="lowerLetter"/>
      <w:start w:val="5"/>
    </w:lvl>
    <w:lvl w:ilvl="1">
      <w:lvlJc w:val="left"/>
      <w:lvlText w:val="%2"/>
      <w:numFmt w:val="lowerRoman"/>
      <w:start w:val="1"/>
    </w:lvl>
  </w:abstractNum>
  <w:abstractNum w:abstractNumId="89">
    <w:nsid w:val="77485850"/>
    <w:multiLevelType w:val="hybridMultilevel"/>
    <w:lvl w:ilvl="0">
      <w:lvlJc w:val="left"/>
      <w:lvlText w:val="%1."/>
      <w:numFmt w:val="decimal"/>
      <w:start w:val="7"/>
    </w:lvl>
    <w:lvl w:ilvl="1">
      <w:lvlJc w:val="left"/>
      <w:lvlText w:val="(%2)"/>
      <w:numFmt w:val="lowerLetter"/>
      <w:start w:val="1"/>
    </w:lvl>
  </w:abstractNum>
  <w:abstractNum w:abstractNumId="90">
    <w:nsid w:val="744939A3"/>
    <w:multiLevelType w:val="hybridMultilevel"/>
    <w:lvl w:ilvl="0">
      <w:lvlJc w:val="left"/>
      <w:lvlText w:val="(%1)"/>
      <w:numFmt w:val="lowerLetter"/>
      <w:start w:val="2"/>
    </w:lvl>
  </w:abstractNum>
  <w:abstractNum w:abstractNumId="91">
    <w:nsid w:val="4FA0D2E3"/>
    <w:multiLevelType w:val="hybridMultilevel"/>
    <w:lvl w:ilvl="0">
      <w:lvlJc w:val="left"/>
      <w:lvlText w:val="%1"/>
      <w:numFmt w:val="decimal"/>
      <w:start w:val="1"/>
    </w:lvl>
    <w:lvl w:ilvl="1">
      <w:lvlJc w:val="left"/>
      <w:lvlText w:val="(%2)"/>
      <w:numFmt w:val="lowerLetter"/>
      <w:start w:val="5"/>
    </w:lvl>
  </w:abstractNum>
  <w:abstractNum w:abstractNumId="92">
    <w:nsid w:val="6B1D2C14"/>
    <w:multiLevelType w:val="hybridMultilevel"/>
    <w:lvl w:ilvl="0">
      <w:lvlJc w:val="left"/>
      <w:lvlText w:val="%1."/>
      <w:numFmt w:val="decimal"/>
      <w:start w:val="8"/>
    </w:lvl>
    <w:lvl w:ilvl="1">
      <w:lvlJc w:val="left"/>
      <w:lvlText w:val="(%2)"/>
      <w:numFmt w:val="lowerLetter"/>
      <w:start w:val="1"/>
    </w:lvl>
  </w:abstractNum>
  <w:abstractNum w:abstractNumId="93">
    <w:nsid w:val="68B867D3"/>
    <w:multiLevelType w:val="hybridMultilevel"/>
    <w:lvl w:ilvl="0">
      <w:lvlJc w:val="left"/>
      <w:lvlText w:val="(%1)"/>
      <w:numFmt w:val="lowerLetter"/>
      <w:start w:val="4"/>
    </w:lvl>
  </w:abstractNum>
  <w:abstractNum w:abstractNumId="94">
    <w:nsid w:val="3F7F5DD9"/>
    <w:multiLevelType w:val="hybridMultilevel"/>
    <w:lvl w:ilvl="0">
      <w:lvlJc w:val="left"/>
      <w:lvlText w:val="%1."/>
      <w:numFmt w:val="decimal"/>
      <w:start w:val="9"/>
    </w:lvl>
    <w:lvl w:ilvl="1">
      <w:lvlJc w:val="left"/>
      <w:lvlText w:val="(%2)"/>
      <w:numFmt w:val="lowerLetter"/>
      <w:start w:val="1"/>
    </w:lvl>
  </w:abstractNum>
  <w:abstractNum w:abstractNumId="95">
    <w:nsid w:val="2AE05A34"/>
    <w:multiLevelType w:val="hybridMultilevel"/>
    <w:lvl w:ilvl="0">
      <w:lvlJc w:val="left"/>
      <w:lvlText w:val="%1"/>
      <w:numFmt w:val="decimal"/>
      <w:start w:val="1"/>
    </w:lvl>
    <w:lvl w:ilvl="1">
      <w:lvlJc w:val="left"/>
      <w:lvlText w:val="(%2)"/>
      <w:numFmt w:val="lowerLetter"/>
      <w:start w:val="2"/>
    </w:lvl>
  </w:abstractNum>
  <w:abstractNum w:abstractNumId="96">
    <w:nsid w:val="32794FF7"/>
    <w:multiLevelType w:val="hybridMultilevel"/>
    <w:lvl w:ilvl="0">
      <w:lvlJc w:val="left"/>
      <w:lvlText w:val="%1."/>
      <w:numFmt w:val="decimal"/>
      <w:start w:val="10"/>
    </w:lvl>
    <w:lvl w:ilvl="1">
      <w:lvlJc w:val="left"/>
      <w:lvlText w:val="%2"/>
      <w:numFmt w:val="lowerLetter"/>
      <w:start w:val="1"/>
    </w:lvl>
  </w:abstractNum>
  <w:abstractNum w:abstractNumId="97">
    <w:nsid w:val="5454945E"/>
    <w:multiLevelType w:val="hybridMultilevel"/>
    <w:lvl w:ilvl="0">
      <w:lvlJc w:val="left"/>
      <w:lvlText w:val="%1."/>
      <w:numFmt w:val="decimal"/>
      <w:start w:val="14"/>
    </w:lvl>
  </w:abstractNum>
  <w:abstractNum w:abstractNumId="98">
    <w:nsid w:val="4DEFDFA0"/>
    <w:multiLevelType w:val="hybridMultilevel"/>
    <w:lvl w:ilvl="0">
      <w:lvlJc w:val="left"/>
      <w:lvlText w:val="%1."/>
      <w:numFmt w:val="decimal"/>
      <w:start w:val="19"/>
    </w:lvl>
  </w:abstractNum>
  <w:abstractNum w:abstractNumId="99">
    <w:nsid w:val="2123D5F2"/>
    <w:multiLevelType w:val="hybridMultilevel"/>
    <w:lvl w:ilvl="0">
      <w:lvlJc w:val="left"/>
      <w:lvlText w:val="%1."/>
      <w:numFmt w:val="decimal"/>
      <w:start w:val="1"/>
    </w:lvl>
    <w:lvl w:ilvl="1">
      <w:lvlJc w:val="left"/>
      <w:lvlText w:val="(%2)"/>
      <w:numFmt w:val="lowerLetter"/>
      <w:start w:val="1"/>
    </w:lvl>
  </w:abstractNum>
  <w:abstractNum w:abstractNumId="100">
    <w:nsid w:val="135B8110"/>
    <w:multiLevelType w:val="hybridMultilevel"/>
    <w:lvl w:ilvl="0">
      <w:lvlJc w:val="left"/>
      <w:lvlText w:val="%1."/>
      <w:numFmt w:val="decimal"/>
      <w:start w:val="2"/>
    </w:lvl>
    <w:lvl w:ilvl="1">
      <w:lvlJc w:val="left"/>
      <w:lvlText w:val="(%2)"/>
      <w:numFmt w:val="lowerLetter"/>
      <w:start w:val="1"/>
    </w:lvl>
  </w:abstractNum>
  <w:abstractNum w:abstractNumId="101">
    <w:nsid w:val="94927A8"/>
    <w:multiLevelType w:val="hybridMultilevel"/>
    <w:lvl w:ilvl="0">
      <w:lvlJc w:val="left"/>
      <w:lvlText w:val="%1"/>
      <w:numFmt w:val="decimal"/>
      <w:start w:val="1"/>
    </w:lvl>
    <w:lvl w:ilvl="1">
      <w:lvlJc w:val="left"/>
      <w:lvlText w:val="(%2)"/>
      <w:numFmt w:val="lowerLetter"/>
      <w:start w:val="3"/>
    </w:lvl>
  </w:abstractNum>
  <w:abstractNum w:abstractNumId="102">
    <w:nsid w:val="DCDF8F6"/>
    <w:multiLevelType w:val="hybridMultilevel"/>
    <w:lvl w:ilvl="0">
      <w:lvlJc w:val="left"/>
      <w:lvlText w:val="%1."/>
      <w:numFmt w:val="decimal"/>
      <w:start w:val="3"/>
    </w:lvl>
    <w:lvl w:ilvl="1">
      <w:lvlJc w:val="left"/>
      <w:lvlText w:val="(%2)"/>
      <w:numFmt w:val="lowerLetter"/>
      <w:start w:val="1"/>
    </w:lvl>
  </w:abstractNum>
  <w:abstractNum w:abstractNumId="103">
    <w:nsid w:val="52D7B105"/>
    <w:multiLevelType w:val="hybridMultilevel"/>
    <w:lvl w:ilvl="0">
      <w:lvlJc w:val="left"/>
      <w:lvlText w:val="(%1)"/>
      <w:numFmt w:val="lowerLetter"/>
      <w:start w:val="3"/>
    </w:lvl>
    <w:lvl w:ilvl="1">
      <w:lvlJc w:val="left"/>
      <w:lvlText w:val="(%2)"/>
      <w:numFmt w:val="lowerRoman"/>
      <w:start w:val="1"/>
    </w:lvl>
  </w:abstractNum>
  <w:abstractNum w:abstractNumId="104">
    <w:nsid w:val="2E8A6394"/>
    <w:multiLevelType w:val="hybridMultilevel"/>
    <w:lvl w:ilvl="0">
      <w:lvlJc w:val="left"/>
      <w:lvlText w:val="%1"/>
      <w:numFmt w:val="lowerLetter"/>
      <w:start w:val="1"/>
    </w:lvl>
    <w:lvl w:ilvl="1">
      <w:lvlJc w:val="left"/>
      <w:lvlText w:val="(%2)"/>
      <w:numFmt w:val="lowerRoman"/>
      <w:start w:val="6"/>
    </w:lvl>
  </w:abstractNum>
  <w:abstractNum w:abstractNumId="105">
    <w:nsid w:val="24E60401"/>
    <w:multiLevelType w:val="hybridMultilevel"/>
    <w:lvl w:ilvl="0">
      <w:lvlJc w:val="left"/>
      <w:lvlText w:val="(%1)"/>
      <w:numFmt w:val="lowerLetter"/>
      <w:start w:val="4"/>
    </w:lvl>
    <w:lvl w:ilvl="1">
      <w:lvlJc w:val="left"/>
      <w:lvlText w:val="(%2)"/>
      <w:numFmt w:val="lowerRoman"/>
      <w:start w:val="1"/>
    </w:lvl>
  </w:abstractNum>
  <w:abstractNum w:abstractNumId="106">
    <w:nsid w:val="2A6AD9BE"/>
    <w:multiLevelType w:val="hybridMultilevel"/>
    <w:lvl w:ilvl="0">
      <w:lvlJc w:val="left"/>
      <w:lvlText w:val="(%1)"/>
      <w:numFmt w:val="lowerRoman"/>
      <w:start w:val="5"/>
    </w:lvl>
  </w:abstractNum>
  <w:abstractNum w:abstractNumId="107">
    <w:nsid w:val="BAAC1B4"/>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abstractNum>
  <w:abstractNum w:abstractNumId="108">
    <w:nsid w:val="36B2ACBC"/>
    <w:multiLevelType w:val="hybridMultilevel"/>
    <w:lvl w:ilvl="0">
      <w:lvlJc w:val="left"/>
      <w:lvlText w:val="%1"/>
      <w:numFmt w:val="decimal"/>
      <w:start w:val="1"/>
    </w:lvl>
    <w:lvl w:ilvl="1">
      <w:lvlJc w:val="left"/>
      <w:lvlText w:val="(%2)"/>
      <w:numFmt w:val="lowerLetter"/>
      <w:start w:val="2"/>
    </w:lvl>
  </w:abstractNum>
  <w:abstractNum w:abstractNumId="109">
    <w:nsid w:val="779D8544"/>
    <w:multiLevelType w:val="hybridMultilevel"/>
    <w:lvl w:ilvl="0">
      <w:lvlJc w:val="left"/>
      <w:lvlText w:val="%1."/>
      <w:numFmt w:val="decimal"/>
      <w:start w:val="5"/>
    </w:lvl>
    <w:lvl w:ilvl="1">
      <w:lvlJc w:val="left"/>
      <w:lvlText w:val="(%2)"/>
      <w:numFmt w:val="lowerLetter"/>
      <w:start w:val="1"/>
    </w:lvl>
  </w:abstractNum>
  <w:abstractNum w:abstractNumId="110">
    <w:nsid w:val="4AB26E78"/>
    <w:multiLevelType w:val="hybridMultilevel"/>
    <w:lvl w:ilvl="0">
      <w:lvlJc w:val="left"/>
      <w:lvlText w:val="%1"/>
      <w:numFmt w:val="upperLetter"/>
      <w:start w:val="1"/>
    </w:lvl>
    <w:lvl w:ilvl="1">
      <w:lvlJc w:val="left"/>
      <w:lvlText w:val="(%2)"/>
      <w:numFmt w:val="lowerLetter"/>
      <w:start w:val="2"/>
    </w:lvl>
  </w:abstractNum>
  <w:abstractNum w:abstractNumId="111">
    <w:nsid w:val="21FAA2FA"/>
    <w:multiLevelType w:val="hybridMultilevel"/>
    <w:lvl w:ilvl="0">
      <w:lvlJc w:val="left"/>
      <w:lvlText w:val="(%1)"/>
      <w:numFmt w:val="upperLetter"/>
      <w:start w:val="2"/>
    </w:lvl>
    <w:lvl w:ilvl="1">
      <w:lvlJc w:val="left"/>
      <w:lvlText w:val="%2"/>
      <w:numFmt w:val="lowerLetter"/>
      <w:start w:val="1"/>
    </w:lvl>
  </w:abstractNum>
  <w:abstractNum w:abstractNumId="112">
    <w:nsid w:val="5451CF4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13">
    <w:nsid w:val="6181EF69"/>
    <w:multiLevelType w:val="hybridMultilevel"/>
    <w:lvl w:ilvl="0">
      <w:lvlJc w:val="left"/>
      <w:lvlText w:val="(%1)"/>
      <w:numFmt w:val="lowerRoman"/>
      <w:start w:val="3"/>
    </w:lvl>
  </w:abstractNum>
  <w:abstractNum w:abstractNumId="114">
    <w:nsid w:val="3E6400E6"/>
    <w:multiLevelType w:val="hybridMultilevel"/>
    <w:lvl w:ilvl="0">
      <w:lvlJc w:val="left"/>
      <w:lvlText w:val="(%1)"/>
      <w:numFmt w:val="lowerLetter"/>
      <w:start w:val="2"/>
    </w:lvl>
  </w:abstractNum>
  <w:abstractNum w:abstractNumId="115">
    <w:nsid w:val="14217E23"/>
    <w:multiLevelType w:val="hybridMultilevel"/>
    <w:lvl w:ilvl="0">
      <w:lvlJc w:val="left"/>
      <w:lvlText w:val="%1"/>
      <w:numFmt w:val="decimal"/>
      <w:start w:val="1"/>
    </w:lvl>
    <w:lvl w:ilvl="1">
      <w:lvlJc w:val="left"/>
      <w:lvlText w:val="(%2)"/>
      <w:numFmt w:val="lowerRoman"/>
      <w:start w:val="1"/>
    </w:lvl>
  </w:abstractNum>
  <w:abstractNum w:abstractNumId="116">
    <w:nsid w:val="710757D0"/>
    <w:multiLevelType w:val="hybridMultilevel"/>
    <w:lvl w:ilvl="0">
      <w:lvlJc w:val="left"/>
      <w:lvlText w:val="(%1)"/>
      <w:numFmt w:val="decimal"/>
      <w:start w:val="4"/>
    </w:lvl>
    <w:lvl w:ilvl="1">
      <w:lvlJc w:val="left"/>
      <w:lvlText w:val="(%2)"/>
      <w:numFmt w:val="lowerRoman"/>
      <w:start w:val="2"/>
    </w:lvl>
  </w:abstractNum>
  <w:abstractNum w:abstractNumId="117">
    <w:nsid w:val="5015CD1A"/>
    <w:multiLevelType w:val="hybridMultilevel"/>
    <w:lvl w:ilvl="0">
      <w:lvlJc w:val="left"/>
      <w:lvlText w:val="%1"/>
      <w:numFmt w:val="lowerLetter"/>
      <w:start w:val="1"/>
    </w:lvl>
    <w:lvl w:ilvl="1">
      <w:lvlJc w:val="left"/>
      <w:lvlText w:val="(%2)"/>
      <w:numFmt w:val="lowerRoman"/>
      <w:start w:val="4"/>
    </w:lvl>
  </w:abstractNum>
  <w:abstractNum w:abstractNumId="118">
    <w:nsid w:val="424479DA"/>
    <w:multiLevelType w:val="hybridMultilevel"/>
    <w:lvl w:ilvl="0">
      <w:lvlJc w:val="left"/>
      <w:lvlText w:val="(%1)"/>
      <w:numFmt w:val="lowerLetter"/>
      <w:start w:val="5"/>
    </w:lvl>
    <w:lvl w:ilvl="1">
      <w:lvlJc w:val="left"/>
      <w:lvlText w:val="%2"/>
      <w:numFmt w:val="lowerRoman"/>
      <w:start w:val="1"/>
    </w:lvl>
  </w:abstractNum>
  <w:abstractNum w:abstractNumId="119">
    <w:nsid w:val="1A9A9E69"/>
    <w:multiLevelType w:val="hybridMultilevel"/>
    <w:lvl w:ilvl="0">
      <w:lvlJc w:val="left"/>
      <w:lvlText w:val="%1."/>
      <w:numFmt w:val="decimal"/>
      <w:start w:val="7"/>
    </w:lvl>
    <w:lvl w:ilvl="1">
      <w:lvlJc w:val="left"/>
      <w:lvlText w:val="(%2)"/>
      <w:numFmt w:val="lowerLetter"/>
      <w:start w:val="1"/>
    </w:lvl>
  </w:abstractNum>
  <w:abstractNum w:abstractNumId="120">
    <w:nsid w:val="475E256A"/>
    <w:multiLevelType w:val="hybridMultilevel"/>
    <w:lvl w:ilvl="0">
      <w:lvlJc w:val="left"/>
      <w:lvlText w:val="(%1)"/>
      <w:numFmt w:val="lowerLetter"/>
      <w:start w:val="2"/>
    </w:lvl>
  </w:abstractNum>
  <w:abstractNum w:abstractNumId="121">
    <w:nsid w:val="368DB37E"/>
    <w:multiLevelType w:val="hybridMultilevel"/>
    <w:lvl w:ilvl="0">
      <w:lvlJc w:val="left"/>
      <w:lvlText w:val="%1"/>
      <w:numFmt w:val="decimal"/>
      <w:start w:val="1"/>
    </w:lvl>
    <w:lvl w:ilvl="1">
      <w:lvlJc w:val="left"/>
      <w:lvlText w:val="(%2)"/>
      <w:numFmt w:val="lowerLetter"/>
      <w:start w:val="5"/>
    </w:lvl>
  </w:abstractNum>
  <w:abstractNum w:abstractNumId="122">
    <w:nsid w:val="6A3B714C"/>
    <w:multiLevelType w:val="hybridMultilevel"/>
    <w:lvl w:ilvl="0">
      <w:lvlJc w:val="left"/>
      <w:lvlText w:val="%1."/>
      <w:numFmt w:val="decimal"/>
      <w:start w:val="8"/>
    </w:lvl>
    <w:lvl w:ilvl="1">
      <w:lvlJc w:val="left"/>
      <w:lvlText w:val="(%2)"/>
      <w:numFmt w:val="lowerLetter"/>
      <w:start w:val="1"/>
    </w:lvl>
  </w:abstractNum>
  <w:abstractNum w:abstractNumId="123">
    <w:nsid w:val="327B517E"/>
    <w:multiLevelType w:val="hybridMultilevel"/>
    <w:lvl w:ilvl="0">
      <w:lvlJc w:val="left"/>
      <w:lvlText w:val="(%1)"/>
      <w:numFmt w:val="lowerLetter"/>
      <w:start w:val="4"/>
    </w:lvl>
  </w:abstractNum>
  <w:abstractNum w:abstractNumId="124">
    <w:nsid w:val="1F461B51"/>
    <w:multiLevelType w:val="hybridMultilevel"/>
    <w:lvl w:ilvl="0">
      <w:lvlJc w:val="left"/>
      <w:lvlText w:val="%1."/>
      <w:numFmt w:val="decimal"/>
      <w:start w:val="9"/>
    </w:lvl>
    <w:lvl w:ilvl="1">
      <w:lvlJc w:val="left"/>
      <w:lvlText w:val="(%2)"/>
      <w:numFmt w:val="lowerLetter"/>
      <w:start w:val="1"/>
    </w:lvl>
  </w:abstractNum>
  <w:abstractNum w:abstractNumId="125">
    <w:nsid w:val="29BACF25"/>
    <w:multiLevelType w:val="hybridMultilevel"/>
    <w:lvl w:ilvl="0">
      <w:lvlJc w:val="left"/>
      <w:lvlText w:val="%1"/>
      <w:numFmt w:val="decimal"/>
      <w:start w:val="1"/>
    </w:lvl>
    <w:lvl w:ilvl="1">
      <w:lvlJc w:val="left"/>
      <w:lvlText w:val="(%2)"/>
      <w:numFmt w:val="lowerLetter"/>
      <w:start w:val="2"/>
    </w:lvl>
  </w:abstractNum>
  <w:abstractNum w:abstractNumId="126">
    <w:nsid w:val="5D5BABB3"/>
    <w:multiLevelType w:val="hybridMultilevel"/>
    <w:lvl w:ilvl="0">
      <w:lvlJc w:val="left"/>
      <w:lvlText w:val="%1."/>
      <w:numFmt w:val="decimal"/>
      <w:start w:val="10"/>
    </w:lvl>
    <w:lvl w:ilvl="1">
      <w:lvlJc w:val="left"/>
      <w:lvlText w:val="%2"/>
      <w:numFmt w:val="lowerLetter"/>
      <w:start w:val="1"/>
    </w:lvl>
  </w:abstractNum>
  <w:abstractNum w:abstractNumId="127">
    <w:nsid w:val="51BF6B48"/>
    <w:multiLevelType w:val="hybridMultilevel"/>
    <w:lvl w:ilvl="0">
      <w:lvlJc w:val="left"/>
      <w:lvlText w:val="%1."/>
      <w:numFmt w:val="decimal"/>
      <w:start w:val="14"/>
    </w:lvl>
  </w:abstractNum>
  <w:abstractNum w:abstractNumId="128">
    <w:nsid w:val="7E0F6384"/>
    <w:multiLevelType w:val="hybridMultilevel"/>
    <w:lvl w:ilvl="0">
      <w:lvlJc w:val="left"/>
      <w:lvlText w:val="%1."/>
      <w:numFmt w:val="decimal"/>
      <w:start w:val="19"/>
    </w:lvl>
  </w:abstractNum>
  <w:abstractNum w:abstractNumId="129">
    <w:nsid w:val="2B4B8B53"/>
    <w:multiLevelType w:val="hybridMultilevel"/>
    <w:lvl w:ilvl="0">
      <w:lvlJc w:val="left"/>
      <w:lvlText w:val="%1."/>
      <w:numFmt w:val="decimal"/>
      <w:start w:val="1"/>
    </w:lvl>
    <w:lvl w:ilvl="1">
      <w:lvlJc w:val="left"/>
      <w:lvlText w:val="(%2)"/>
      <w:numFmt w:val="lowerLetter"/>
      <w:start w:val="1"/>
    </w:lvl>
  </w:abstractNum>
  <w:abstractNum w:abstractNumId="130">
    <w:nsid w:val="72E3413A"/>
    <w:multiLevelType w:val="hybridMultilevel"/>
    <w:lvl w:ilvl="0">
      <w:lvlJc w:val="left"/>
      <w:lvlText w:val="%1."/>
      <w:numFmt w:val="decimal"/>
      <w:start w:val="2"/>
    </w:lvl>
    <w:lvl w:ilvl="1">
      <w:lvlJc w:val="left"/>
      <w:lvlText w:val="(%2)"/>
      <w:numFmt w:val="lowerLetter"/>
      <w:start w:val="1"/>
    </w:lvl>
  </w:abstractNum>
  <w:abstractNum w:abstractNumId="131">
    <w:nsid w:val="116AE494"/>
    <w:multiLevelType w:val="hybridMultilevel"/>
    <w:lvl w:ilvl="0">
      <w:lvlJc w:val="left"/>
      <w:lvlText w:val="%1"/>
      <w:numFmt w:val="decimal"/>
      <w:start w:val="1"/>
    </w:lvl>
    <w:lvl w:ilvl="1">
      <w:lvlJc w:val="left"/>
      <w:lvlText w:val="(%2)"/>
      <w:numFmt w:val="lowerLetter"/>
      <w:start w:val="3"/>
    </w:lvl>
  </w:abstractNum>
  <w:abstractNum w:abstractNumId="132">
    <w:nsid w:val="3494B2FB"/>
    <w:multiLevelType w:val="hybridMultilevel"/>
    <w:lvl w:ilvl="0">
      <w:lvlJc w:val="left"/>
      <w:lvlText w:val="%1."/>
      <w:numFmt w:val="decimal"/>
      <w:start w:val="3"/>
    </w:lvl>
    <w:lvl w:ilvl="1">
      <w:lvlJc w:val="left"/>
      <w:lvlText w:val="(%2)"/>
      <w:numFmt w:val="lowerLetter"/>
      <w:start w:val="1"/>
    </w:lvl>
  </w:abstractNum>
  <w:abstractNum w:abstractNumId="133">
    <w:nsid w:val="B13A31"/>
    <w:multiLevelType w:val="hybridMultilevel"/>
    <w:lvl w:ilvl="0">
      <w:lvlJc w:val="left"/>
      <w:lvlText w:val="(%1)"/>
      <w:numFmt w:val="lowerLetter"/>
      <w:start w:val="3"/>
    </w:lvl>
    <w:lvl w:ilvl="1">
      <w:lvlJc w:val="left"/>
      <w:lvlText w:val="(%2)"/>
      <w:numFmt w:val="lowerRoman"/>
      <w:start w:val="1"/>
    </w:lvl>
  </w:abstractNum>
  <w:abstractNum w:abstractNumId="134">
    <w:nsid w:val="64429599"/>
    <w:multiLevelType w:val="hybridMultilevel"/>
    <w:lvl w:ilvl="0">
      <w:lvlJc w:val="left"/>
      <w:lvlText w:val="%1"/>
      <w:numFmt w:val="lowerLetter"/>
      <w:start w:val="1"/>
    </w:lvl>
    <w:lvl w:ilvl="1">
      <w:lvlJc w:val="left"/>
      <w:lvlText w:val="(%2)"/>
      <w:numFmt w:val="lowerRoman"/>
      <w:start w:val="6"/>
    </w:lvl>
  </w:abstractNum>
  <w:abstractNum w:abstractNumId="135">
    <w:nsid w:val="631F1690"/>
    <w:multiLevelType w:val="hybridMultilevel"/>
    <w:lvl w:ilvl="0">
      <w:lvlJc w:val="left"/>
      <w:lvlText w:val="(%1)"/>
      <w:numFmt w:val="lowerLetter"/>
      <w:start w:val="4"/>
    </w:lvl>
    <w:lvl w:ilvl="1">
      <w:lvlJc w:val="left"/>
      <w:lvlText w:val="(%2)"/>
      <w:numFmt w:val="lowerRoman"/>
      <w:start w:val="1"/>
    </w:lvl>
  </w:abstractNum>
  <w:abstractNum w:abstractNumId="136">
    <w:nsid w:val="25973E32"/>
    <w:multiLevelType w:val="hybridMultilevel"/>
    <w:lvl w:ilvl="0">
      <w:lvlJc w:val="left"/>
      <w:lvlText w:val="(%1)"/>
      <w:numFmt w:val="lowerRoman"/>
      <w:start w:val="5"/>
    </w:lvl>
  </w:abstractNum>
  <w:abstractNum w:abstractNumId="137">
    <w:nsid w:val="EAD6F57"/>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abstractNum>
  <w:abstractNum w:abstractNumId="138">
    <w:nsid w:val="6EC9D844"/>
    <w:multiLevelType w:val="hybridMultilevel"/>
    <w:lvl w:ilvl="0">
      <w:lvlJc w:val="left"/>
      <w:lvlText w:val="%1"/>
      <w:numFmt w:val="decimal"/>
      <w:start w:val="1"/>
    </w:lvl>
    <w:lvl w:ilvl="1">
      <w:lvlJc w:val="left"/>
      <w:lvlText w:val="(%2)"/>
      <w:numFmt w:val="lowerLetter"/>
      <w:start w:val="2"/>
    </w:lvl>
  </w:abstractNum>
  <w:abstractNum w:abstractNumId="139">
    <w:nsid w:val="5C49EAEE"/>
    <w:multiLevelType w:val="hybridMultilevel"/>
    <w:lvl w:ilvl="0">
      <w:lvlJc w:val="left"/>
      <w:lvlText w:val="%1."/>
      <w:numFmt w:val="decimal"/>
      <w:start w:val="5"/>
    </w:lvl>
    <w:lvl w:ilvl="1">
      <w:lvlJc w:val="left"/>
      <w:lvlText w:val="(%2)"/>
      <w:numFmt w:val="lowerLetter"/>
      <w:start w:val="1"/>
    </w:lvl>
  </w:abstractNum>
  <w:abstractNum w:abstractNumId="140">
    <w:nsid w:val="64AF49B"/>
    <w:multiLevelType w:val="hybridMultilevel"/>
    <w:lvl w:ilvl="0">
      <w:lvlJc w:val="left"/>
      <w:lvlText w:val="%1"/>
      <w:numFmt w:val="upperLetter"/>
      <w:start w:val="1"/>
    </w:lvl>
    <w:lvl w:ilvl="1">
      <w:lvlJc w:val="left"/>
      <w:lvlText w:val="(%2)"/>
      <w:numFmt w:val="lowerLetter"/>
      <w:start w:val="2"/>
    </w:lvl>
  </w:abstractNum>
  <w:abstractNum w:abstractNumId="141">
    <w:nsid w:val="397C46BC"/>
    <w:multiLevelType w:val="hybridMultilevel"/>
    <w:lvl w:ilvl="0">
      <w:lvlJc w:val="left"/>
      <w:lvlText w:val="(%1)"/>
      <w:numFmt w:val="upperLetter"/>
      <w:start w:val="2"/>
    </w:lvl>
    <w:lvl w:ilvl="1">
      <w:lvlJc w:val="left"/>
      <w:lvlText w:val="%2"/>
      <w:numFmt w:val="lowerLetter"/>
      <w:start w:val="1"/>
    </w:lvl>
  </w:abstractNum>
  <w:abstractNum w:abstractNumId="142">
    <w:nsid w:val="7E448DE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43">
    <w:nsid w:val="5A9CC3E5"/>
    <w:multiLevelType w:val="hybridMultilevel"/>
    <w:lvl w:ilvl="0">
      <w:lvlJc w:val="left"/>
      <w:lvlText w:val="(%1)"/>
      <w:numFmt w:val="lowerRoman"/>
      <w:start w:val="3"/>
    </w:lvl>
  </w:abstractNum>
  <w:abstractNum w:abstractNumId="144">
    <w:nsid w:val="1AFE3625"/>
    <w:multiLevelType w:val="hybridMultilevel"/>
    <w:lvl w:ilvl="0">
      <w:lvlJc w:val="left"/>
      <w:lvlText w:val="(%1)"/>
      <w:numFmt w:val="lowerLetter"/>
      <w:start w:val="2"/>
    </w:lvl>
  </w:abstractNum>
  <w:abstractNum w:abstractNumId="145">
    <w:nsid w:val="3CA88ECF"/>
    <w:multiLevelType w:val="hybridMultilevel"/>
    <w:lvl w:ilvl="0">
      <w:lvlJc w:val="left"/>
      <w:lvlText w:val="%1"/>
      <w:numFmt w:val="decimal"/>
      <w:start w:val="1"/>
    </w:lvl>
    <w:lvl w:ilvl="1">
      <w:lvlJc w:val="left"/>
      <w:lvlText w:val="(%2)"/>
      <w:numFmt w:val="lowerRoman"/>
      <w:start w:val="1"/>
    </w:lvl>
  </w:abstractNum>
  <w:abstractNum w:abstractNumId="146">
    <w:nsid w:val="6EBE4208"/>
    <w:multiLevelType w:val="hybridMultilevel"/>
    <w:lvl w:ilvl="0">
      <w:lvlJc w:val="left"/>
      <w:lvlText w:val="(%1)"/>
      <w:numFmt w:val="decimal"/>
      <w:start w:val="4"/>
    </w:lvl>
    <w:lvl w:ilvl="1">
      <w:lvlJc w:val="left"/>
      <w:lvlText w:val="(%2)"/>
      <w:numFmt w:val="lowerRoman"/>
      <w:start w:val="2"/>
    </w:lvl>
  </w:abstractNum>
  <w:abstractNum w:abstractNumId="147">
    <w:nsid w:val="C058DF5"/>
    <w:multiLevelType w:val="hybridMultilevel"/>
    <w:lvl w:ilvl="0">
      <w:lvlJc w:val="left"/>
      <w:lvlText w:val="%1"/>
      <w:numFmt w:val="lowerLetter"/>
      <w:start w:val="1"/>
    </w:lvl>
    <w:lvl w:ilvl="1">
      <w:lvlJc w:val="left"/>
      <w:lvlText w:val="(%2)"/>
      <w:numFmt w:val="lowerRoman"/>
      <w:start w:val="4"/>
    </w:lvl>
  </w:abstractNum>
  <w:abstractNum w:abstractNumId="148">
    <w:nsid w:val="CBE5BE9"/>
    <w:multiLevelType w:val="hybridMultilevel"/>
    <w:lvl w:ilvl="0">
      <w:lvlJc w:val="left"/>
      <w:lvlText w:val="(%1)"/>
      <w:numFmt w:val="lowerLetter"/>
      <w:start w:val="5"/>
    </w:lvl>
    <w:lvl w:ilvl="1">
      <w:lvlJc w:val="left"/>
      <w:lvlText w:val="%2"/>
      <w:numFmt w:val="lowerRoman"/>
      <w:start w:val="1"/>
    </w:lvl>
  </w:abstractNum>
  <w:abstractNum w:abstractNumId="149">
    <w:nsid w:val="3102BBE2"/>
    <w:multiLevelType w:val="hybridMultilevel"/>
    <w:lvl w:ilvl="0">
      <w:lvlJc w:val="left"/>
      <w:lvlText w:val="%1."/>
      <w:numFmt w:val="decimal"/>
      <w:start w:val="7"/>
    </w:lvl>
    <w:lvl w:ilvl="1">
      <w:lvlJc w:val="left"/>
      <w:lvlText w:val="(%2)"/>
      <w:numFmt w:val="lowerLetter"/>
      <w:start w:val="1"/>
    </w:lvl>
  </w:abstractNum>
  <w:abstractNum w:abstractNumId="150">
    <w:nsid w:val="26A02C5E"/>
    <w:multiLevelType w:val="hybridMultilevel"/>
    <w:lvl w:ilvl="0">
      <w:lvlJc w:val="left"/>
      <w:lvlText w:val="(%1)"/>
      <w:numFmt w:val="lowerLetter"/>
      <w:start w:val="2"/>
    </w:lvl>
  </w:abstractNum>
  <w:abstractNum w:abstractNumId="151">
    <w:nsid w:val="541C8153"/>
    <w:multiLevelType w:val="hybridMultilevel"/>
    <w:lvl w:ilvl="0">
      <w:lvlJc w:val="left"/>
      <w:lvlText w:val="%1"/>
      <w:numFmt w:val="decimal"/>
      <w:start w:val="1"/>
    </w:lvl>
    <w:lvl w:ilvl="1">
      <w:lvlJc w:val="left"/>
      <w:lvlText w:val="(%2)"/>
      <w:numFmt w:val="lowerLetter"/>
      <w:start w:val="5"/>
    </w:lvl>
  </w:abstractNum>
  <w:abstractNum w:abstractNumId="152">
    <w:nsid w:val="67906F60"/>
    <w:multiLevelType w:val="hybridMultilevel"/>
    <w:lvl w:ilvl="0">
      <w:lvlJc w:val="left"/>
      <w:lvlText w:val="%1."/>
      <w:numFmt w:val="decimal"/>
      <w:start w:val="8"/>
    </w:lvl>
    <w:lvl w:ilvl="1">
      <w:lvlJc w:val="left"/>
      <w:lvlText w:val="(%2)"/>
      <w:numFmt w:val="lowerLetter"/>
      <w:start w:val="1"/>
    </w:lvl>
  </w:abstractNum>
  <w:abstractNum w:abstractNumId="153">
    <w:nsid w:val="10DB9DAA"/>
    <w:multiLevelType w:val="hybridMultilevel"/>
    <w:lvl w:ilvl="0">
      <w:lvlJc w:val="left"/>
      <w:lvlText w:val="(%1)"/>
      <w:numFmt w:val="lowerLetter"/>
      <w:start w:val="4"/>
    </w:lvl>
  </w:abstractNum>
  <w:abstractNum w:abstractNumId="154">
    <w:nsid w:val="697D2D2"/>
    <w:multiLevelType w:val="hybridMultilevel"/>
    <w:lvl w:ilvl="0">
      <w:lvlJc w:val="left"/>
      <w:lvlText w:val="%1."/>
      <w:numFmt w:val="decimal"/>
      <w:start w:val="9"/>
    </w:lvl>
    <w:lvl w:ilvl="1">
      <w:lvlJc w:val="left"/>
      <w:lvlText w:val="(%2)"/>
      <w:numFmt w:val="lowerLetter"/>
      <w:start w:val="1"/>
    </w:lvl>
  </w:abstractNum>
  <w:abstractNum w:abstractNumId="155">
    <w:nsid w:val="6D68AB2"/>
    <w:multiLevelType w:val="hybridMultilevel"/>
    <w:lvl w:ilvl="0">
      <w:lvlJc w:val="left"/>
      <w:lvlText w:val="%1"/>
      <w:numFmt w:val="decimal"/>
      <w:start w:val="1"/>
    </w:lvl>
    <w:lvl w:ilvl="1">
      <w:lvlJc w:val="left"/>
      <w:lvlText w:val="(%2)"/>
      <w:numFmt w:val="lowerLetter"/>
      <w:start w:val="2"/>
    </w:lvl>
  </w:abstractNum>
  <w:abstractNum w:abstractNumId="156">
    <w:nsid w:val="3A966CD0"/>
    <w:multiLevelType w:val="hybridMultilevel"/>
    <w:lvl w:ilvl="0">
      <w:lvlJc w:val="left"/>
      <w:lvlText w:val="%1."/>
      <w:numFmt w:val="decimal"/>
      <w:start w:val="10"/>
    </w:lvl>
    <w:lvl w:ilvl="1">
      <w:lvlJc w:val="left"/>
      <w:lvlText w:val="%2"/>
      <w:numFmt w:val="lowerLetter"/>
      <w:start w:val="1"/>
    </w:lvl>
  </w:abstractNum>
  <w:abstractNum w:abstractNumId="157">
    <w:nsid w:val="63F37E85"/>
    <w:multiLevelType w:val="hybridMultilevel"/>
    <w:lvl w:ilvl="0">
      <w:lvlJc w:val="left"/>
      <w:lvlText w:val="%1."/>
      <w:numFmt w:val="decimal"/>
      <w:start w:val="14"/>
    </w:lvl>
  </w:abstractNum>
  <w:abstractNum w:abstractNumId="158">
    <w:nsid w:val="5895F5FA"/>
    <w:multiLevelType w:val="hybridMultilevel"/>
    <w:lvl w:ilvl="0">
      <w:lvlJc w:val="left"/>
      <w:lvlText w:val="%1."/>
      <w:numFmt w:val="decimal"/>
      <w:start w:val="19"/>
    </w:lvl>
  </w:abstractNum>
  <w:abstractNum w:abstractNumId="159">
    <w:nsid w:val="38A5D054"/>
    <w:multiLevelType w:val="hybridMultilevel"/>
    <w:lvl w:ilvl="0">
      <w:lvlJc w:val="left"/>
      <w:lvlText w:val="%1."/>
      <w:numFmt w:val="decimal"/>
      <w:start w:val="1"/>
    </w:lvl>
    <w:lvl w:ilvl="1">
      <w:lvlJc w:val="left"/>
      <w:lvlText w:val="(%2)"/>
      <w:numFmt w:val="lowerLetter"/>
      <w:start w:val="1"/>
    </w:lvl>
  </w:abstractNum>
  <w:abstractNum w:abstractNumId="160">
    <w:nsid w:val="F3F09D8"/>
    <w:multiLevelType w:val="hybridMultilevel"/>
    <w:lvl w:ilvl="0">
      <w:lvlJc w:val="left"/>
      <w:lvlText w:val="%1."/>
      <w:numFmt w:val="decimal"/>
      <w:start w:val="2"/>
    </w:lvl>
    <w:lvl w:ilvl="1">
      <w:lvlJc w:val="left"/>
      <w:lvlText w:val="(%2)"/>
      <w:numFmt w:val="lowerLetter"/>
      <w:start w:val="1"/>
    </w:lvl>
  </w:abstractNum>
  <w:abstractNum w:abstractNumId="161">
    <w:nsid w:val="4B793735"/>
    <w:multiLevelType w:val="hybridMultilevel"/>
    <w:lvl w:ilvl="0">
      <w:lvlJc w:val="left"/>
      <w:lvlText w:val="%1"/>
      <w:numFmt w:val="decimal"/>
      <w:start w:val="1"/>
    </w:lvl>
    <w:lvl w:ilvl="1">
      <w:lvlJc w:val="left"/>
      <w:lvlText w:val="(%2)"/>
      <w:numFmt w:val="lowerLetter"/>
      <w:start w:val="3"/>
    </w:lvl>
  </w:abstractNum>
  <w:abstractNum w:abstractNumId="162">
    <w:nsid w:val="4A10B4E8"/>
    <w:multiLevelType w:val="hybridMultilevel"/>
    <w:lvl w:ilvl="0">
      <w:lvlJc w:val="left"/>
      <w:lvlText w:val="%1."/>
      <w:numFmt w:val="decimal"/>
      <w:start w:val="3"/>
    </w:lvl>
    <w:lvl w:ilvl="1">
      <w:lvlJc w:val="left"/>
      <w:lvlText w:val="(%2)"/>
      <w:numFmt w:val="lowerLetter"/>
      <w:start w:val="1"/>
    </w:lvl>
  </w:abstractNum>
  <w:abstractNum w:abstractNumId="163">
    <w:nsid w:val="43D3BCD4"/>
    <w:multiLevelType w:val="hybridMultilevel"/>
    <w:lvl w:ilvl="0">
      <w:lvlJc w:val="left"/>
      <w:lvlText w:val="(%1)"/>
      <w:numFmt w:val="lowerLetter"/>
      <w:start w:val="3"/>
    </w:lvl>
    <w:lvl w:ilvl="1">
      <w:lvlJc w:val="left"/>
      <w:lvlText w:val="(%2)"/>
      <w:numFmt w:val="lowerRoman"/>
      <w:start w:val="1"/>
    </w:lvl>
  </w:abstractNum>
  <w:abstractNum w:abstractNumId="164">
    <w:nsid w:val="4C2A7166"/>
    <w:multiLevelType w:val="hybridMultilevel"/>
    <w:lvl w:ilvl="0">
      <w:lvlJc w:val="left"/>
      <w:lvlText w:val="%1"/>
      <w:numFmt w:val="lowerLetter"/>
      <w:start w:val="1"/>
    </w:lvl>
    <w:lvl w:ilvl="1">
      <w:lvlJc w:val="left"/>
      <w:lvlText w:val="(%2)"/>
      <w:numFmt w:val="lowerRoman"/>
      <w:start w:val="6"/>
    </w:lvl>
  </w:abstractNum>
  <w:abstractNum w:abstractNumId="165">
    <w:nsid w:val="2E534A82"/>
    <w:multiLevelType w:val="hybridMultilevel"/>
    <w:lvl w:ilvl="0">
      <w:lvlJc w:val="left"/>
      <w:lvlText w:val="(%1)"/>
      <w:numFmt w:val="lowerLetter"/>
      <w:start w:val="4"/>
    </w:lvl>
    <w:lvl w:ilvl="1">
      <w:lvlJc w:val="left"/>
      <w:lvlText w:val="(%2)"/>
      <w:numFmt w:val="lowerRoman"/>
      <w:start w:val="1"/>
    </w:lvl>
  </w:abstractNum>
  <w:abstractNum w:abstractNumId="166">
    <w:nsid w:val="26F2D364"/>
    <w:multiLevelType w:val="hybridMultilevel"/>
    <w:lvl w:ilvl="0">
      <w:lvlJc w:val="left"/>
      <w:lvlText w:val="(%1)"/>
      <w:numFmt w:val="lowerRoman"/>
      <w:start w:val="5"/>
    </w:lvl>
  </w:abstractNum>
  <w:abstractNum w:abstractNumId="167">
    <w:nsid w:val="71C1AF98"/>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abstractNum>
  <w:abstractNum w:abstractNumId="168">
    <w:nsid w:val="3D00B9D9"/>
    <w:multiLevelType w:val="hybridMultilevel"/>
    <w:lvl w:ilvl="0">
      <w:lvlJc w:val="left"/>
      <w:lvlText w:val="%1"/>
      <w:numFmt w:val="decimal"/>
      <w:start w:val="1"/>
    </w:lvl>
    <w:lvl w:ilvl="1">
      <w:lvlJc w:val="left"/>
      <w:lvlText w:val="(%2)"/>
      <w:numFmt w:val="lowerLetter"/>
      <w:start w:val="2"/>
    </w:lvl>
  </w:abstractNum>
  <w:abstractNum w:abstractNumId="169">
    <w:nsid w:val="15BCABA8"/>
    <w:multiLevelType w:val="hybridMultilevel"/>
    <w:lvl w:ilvl="0">
      <w:lvlJc w:val="left"/>
      <w:lvlText w:val="%1."/>
      <w:numFmt w:val="decimal"/>
      <w:start w:val="5"/>
    </w:lvl>
    <w:lvl w:ilvl="1">
      <w:lvlJc w:val="left"/>
      <w:lvlText w:val="(%2)"/>
      <w:numFmt w:val="lowerLetter"/>
      <w:start w:val="1"/>
    </w:lvl>
  </w:abstractNum>
  <w:abstractNum w:abstractNumId="170">
    <w:nsid w:val="4E0B9A87"/>
    <w:multiLevelType w:val="hybridMultilevel"/>
    <w:lvl w:ilvl="0">
      <w:lvlJc w:val="left"/>
      <w:lvlText w:val="%1"/>
      <w:numFmt w:val="upperLetter"/>
      <w:start w:val="1"/>
    </w:lvl>
    <w:lvl w:ilvl="1">
      <w:lvlJc w:val="left"/>
      <w:lvlText w:val="(%2)"/>
      <w:numFmt w:val="lowerLetter"/>
      <w:start w:val="2"/>
    </w:lvl>
  </w:abstractNum>
  <w:abstractNum w:abstractNumId="171">
    <w:nsid w:val="434BAE75"/>
    <w:multiLevelType w:val="hybridMultilevel"/>
    <w:lvl w:ilvl="0">
      <w:lvlJc w:val="left"/>
      <w:lvlText w:val="(%1)"/>
      <w:numFmt w:val="upperLetter"/>
      <w:start w:val="2"/>
    </w:lvl>
    <w:lvl w:ilvl="1">
      <w:lvlJc w:val="left"/>
      <w:lvlText w:val="%2"/>
      <w:numFmt w:val="lowerLetter"/>
      <w:start w:val="1"/>
    </w:lvl>
  </w:abstractNum>
  <w:abstractNum w:abstractNumId="172">
    <w:nsid w:val="4F38F26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73">
    <w:nsid w:val="4C502870"/>
    <w:multiLevelType w:val="hybridMultilevel"/>
    <w:lvl w:ilvl="0">
      <w:lvlJc w:val="left"/>
      <w:lvlText w:val="(%1)"/>
      <w:numFmt w:val="lowerRoman"/>
      <w:start w:val="3"/>
    </w:lvl>
  </w:abstractNum>
  <w:abstractNum w:abstractNumId="174">
    <w:nsid w:val="1DE8725A"/>
    <w:multiLevelType w:val="hybridMultilevel"/>
    <w:lvl w:ilvl="0">
      <w:lvlJc w:val="left"/>
      <w:lvlText w:val="(%1)"/>
      <w:numFmt w:val="lowerLetter"/>
      <w:start w:val="2"/>
    </w:lvl>
  </w:abstractNum>
  <w:abstractNum w:abstractNumId="175">
    <w:nsid w:val="6A37288A"/>
    <w:multiLevelType w:val="hybridMultilevel"/>
    <w:lvl w:ilvl="0">
      <w:lvlJc w:val="left"/>
      <w:lvlText w:val="%1"/>
      <w:numFmt w:val="decimal"/>
      <w:start w:val="1"/>
    </w:lvl>
    <w:lvl w:ilvl="1">
      <w:lvlJc w:val="left"/>
      <w:lvlText w:val="(%2)"/>
      <w:numFmt w:val="lowerRoman"/>
      <w:start w:val="1"/>
    </w:lvl>
  </w:abstractNum>
  <w:abstractNum w:abstractNumId="176">
    <w:nsid w:val="8F8B73F"/>
    <w:multiLevelType w:val="hybridMultilevel"/>
    <w:lvl w:ilvl="0">
      <w:lvlJc w:val="left"/>
      <w:lvlText w:val="(%1)"/>
      <w:numFmt w:val="decimal"/>
      <w:start w:val="4"/>
    </w:lvl>
    <w:lvl w:ilvl="1">
      <w:lvlJc w:val="left"/>
      <w:lvlText w:val="(%2)"/>
      <w:numFmt w:val="lowerRoman"/>
      <w:start w:val="2"/>
    </w:lvl>
  </w:abstractNum>
  <w:abstractNum w:abstractNumId="177">
    <w:nsid w:val="CA6B462"/>
    <w:multiLevelType w:val="hybridMultilevel"/>
    <w:lvl w:ilvl="0">
      <w:lvlJc w:val="left"/>
      <w:lvlText w:val="%1"/>
      <w:numFmt w:val="lowerLetter"/>
      <w:start w:val="1"/>
    </w:lvl>
    <w:lvl w:ilvl="1">
      <w:lvlJc w:val="left"/>
      <w:lvlText w:val="(%2)"/>
      <w:numFmt w:val="lowerRoman"/>
      <w:start w:val="4"/>
    </w:lvl>
  </w:abstractNum>
  <w:abstractNum w:abstractNumId="178">
    <w:nsid w:val="763CB680"/>
    <w:multiLevelType w:val="hybridMultilevel"/>
    <w:lvl w:ilvl="0">
      <w:lvlJc w:val="left"/>
      <w:lvlText w:val="(%1)"/>
      <w:numFmt w:val="lowerLetter"/>
      <w:start w:val="5"/>
    </w:lvl>
    <w:lvl w:ilvl="1">
      <w:lvlJc w:val="left"/>
      <w:lvlText w:val="%2"/>
      <w:numFmt w:val="lowerRoman"/>
      <w:start w:val="1"/>
    </w:lvl>
  </w:abstractNum>
  <w:abstractNum w:abstractNumId="179">
    <w:nsid w:val="15B71329"/>
    <w:multiLevelType w:val="hybridMultilevel"/>
    <w:lvl w:ilvl="0">
      <w:lvlJc w:val="left"/>
      <w:lvlText w:val="%1."/>
      <w:numFmt w:val="decimal"/>
      <w:start w:val="7"/>
    </w:lvl>
    <w:lvl w:ilvl="1">
      <w:lvlJc w:val="left"/>
      <w:lvlText w:val="(%2)"/>
      <w:numFmt w:val="lowerLetter"/>
      <w:start w:val="1"/>
    </w:lvl>
  </w:abstractNum>
  <w:abstractNum w:abstractNumId="180">
    <w:nsid w:val="3DA97044"/>
    <w:multiLevelType w:val="hybridMultilevel"/>
    <w:lvl w:ilvl="0">
      <w:lvlJc w:val="left"/>
      <w:lvlText w:val="(%1)"/>
      <w:numFmt w:val="lowerLetter"/>
      <w:start w:val="2"/>
    </w:lvl>
  </w:abstractNum>
  <w:abstractNum w:abstractNumId="181">
    <w:nsid w:val="1CDCE2DE"/>
    <w:multiLevelType w:val="hybridMultilevel"/>
    <w:lvl w:ilvl="0">
      <w:lvlJc w:val="left"/>
      <w:lvlText w:val="%1"/>
      <w:numFmt w:val="decimal"/>
      <w:start w:val="1"/>
    </w:lvl>
    <w:lvl w:ilvl="1">
      <w:lvlJc w:val="left"/>
      <w:lvlText w:val="(%2)"/>
      <w:numFmt w:val="lowerLetter"/>
      <w:start w:val="5"/>
    </w:lvl>
  </w:abstractNum>
  <w:abstractNum w:abstractNumId="182">
    <w:nsid w:val="69D3947C"/>
    <w:multiLevelType w:val="hybridMultilevel"/>
    <w:lvl w:ilvl="0">
      <w:lvlJc w:val="left"/>
      <w:lvlText w:val="%1."/>
      <w:numFmt w:val="decimal"/>
      <w:start w:val="8"/>
    </w:lvl>
    <w:lvl w:ilvl="1">
      <w:lvlJc w:val="left"/>
      <w:lvlText w:val="(%2)"/>
      <w:numFmt w:val="lowerLetter"/>
      <w:start w:val="1"/>
    </w:lvl>
  </w:abstractNum>
  <w:abstractNum w:abstractNumId="183">
    <w:nsid w:val="2539DFA5"/>
    <w:multiLevelType w:val="hybridMultilevel"/>
    <w:lvl w:ilvl="0">
      <w:lvlJc w:val="left"/>
      <w:lvlText w:val="(%1)"/>
      <w:numFmt w:val="lowerLetter"/>
      <w:start w:val="4"/>
    </w:lvl>
  </w:abstractNum>
  <w:abstractNum w:abstractNumId="184">
    <w:nsid w:val="2DB88089"/>
    <w:multiLevelType w:val="hybridMultilevel"/>
    <w:lvl w:ilvl="0">
      <w:lvlJc w:val="left"/>
      <w:lvlText w:val="%1."/>
      <w:numFmt w:val="decimal"/>
      <w:start w:val="9"/>
    </w:lvl>
    <w:lvl w:ilvl="1">
      <w:lvlJc w:val="left"/>
      <w:lvlText w:val="(%2)"/>
      <w:numFmt w:val="lowerLetter"/>
      <w:start w:val="1"/>
    </w:lvl>
  </w:abstractNum>
  <w:abstractNum w:abstractNumId="185">
    <w:nsid w:val="706B674E"/>
    <w:multiLevelType w:val="hybridMultilevel"/>
    <w:lvl w:ilvl="0">
      <w:lvlJc w:val="left"/>
      <w:lvlText w:val="%1"/>
      <w:numFmt w:val="decimal"/>
      <w:start w:val="1"/>
    </w:lvl>
    <w:lvl w:ilvl="1">
      <w:lvlJc w:val="left"/>
      <w:lvlText w:val="(%2)"/>
      <w:numFmt w:val="lowerLetter"/>
      <w:start w:val="2"/>
    </w:lvl>
  </w:abstractNum>
  <w:abstractNum w:abstractNumId="186">
    <w:nsid w:val="2C106A57"/>
    <w:multiLevelType w:val="hybridMultilevel"/>
    <w:lvl w:ilvl="0">
      <w:lvlJc w:val="left"/>
      <w:lvlText w:val="%1."/>
      <w:numFmt w:val="decimal"/>
      <w:start w:val="10"/>
    </w:lvl>
    <w:lvl w:ilvl="1">
      <w:lvlJc w:val="left"/>
      <w:lvlText w:val="%2"/>
      <w:numFmt w:val="lowerLetter"/>
      <w:start w:val="1"/>
    </w:lvl>
  </w:abstractNum>
  <w:abstractNum w:abstractNumId="187">
    <w:nsid w:val="684EED59"/>
    <w:multiLevelType w:val="hybridMultilevel"/>
    <w:lvl w:ilvl="0">
      <w:lvlJc w:val="left"/>
      <w:lvlText w:val="%1."/>
      <w:numFmt w:val="decimal"/>
      <w:start w:val="14"/>
    </w:lvl>
  </w:abstractNum>
  <w:abstractNum w:abstractNumId="188">
    <w:nsid w:val="545EE5D3"/>
    <w:multiLevelType w:val="hybridMultilevel"/>
    <w:lvl w:ilvl="0">
      <w:lvlJc w:val="left"/>
      <w:lvlText w:val="%1."/>
      <w:numFmt w:val="decimal"/>
      <w:start w:val="19"/>
    </w:lvl>
  </w:abstractNum>
  <w:abstractNum w:abstractNumId="189">
    <w:nsid w:val="4A66051"/>
    <w:multiLevelType w:val="hybridMultilevel"/>
    <w:lvl w:ilvl="0">
      <w:lvlJc w:val="left"/>
      <w:lvlText w:val="%1."/>
      <w:numFmt w:val="decimal"/>
      <w:start w:val="1"/>
    </w:lvl>
  </w:abstractNum>
  <w:abstractNum w:abstractNumId="190">
    <w:nsid w:val="20F4BDAD"/>
    <w:multiLevelType w:val="hybridMultilevel"/>
    <w:lvl w:ilvl="0">
      <w:lvlJc w:val="left"/>
      <w:lvlText w:val="%1."/>
      <w:numFmt w:val="decimal"/>
      <w:start w:val="2"/>
    </w:lvl>
  </w:abstractNum>
  <w:abstractNum w:abstractNumId="191">
    <w:nsid w:val="639DEFAC"/>
    <w:multiLevelType w:val="hybridMultilevel"/>
    <w:lvl w:ilvl="0">
      <w:lvlJc w:val="left"/>
      <w:lvlText w:val="%1."/>
      <w:numFmt w:val="decimal"/>
      <w:start w:val="4"/>
    </w:lvl>
  </w:abstractNum>
  <w:abstractNum w:abstractNumId="192">
    <w:nsid w:val="501F9786"/>
    <w:multiLevelType w:val="hybridMultilevel"/>
    <w:lvl w:ilvl="0">
      <w:lvlJc w:val="left"/>
      <w:lvlText w:val="(%1)"/>
      <w:numFmt w:val="lowerLetter"/>
      <w:start w:val="1"/>
    </w:lvl>
  </w:abstractNum>
  <w:abstractNum w:abstractNumId="193">
    <w:nsid w:val="6B057295"/>
    <w:multiLevelType w:val="hybridMultilevel"/>
    <w:lvl w:ilvl="0">
      <w:lvlJc w:val="left"/>
      <w:lvlText w:val="%1."/>
      <w:numFmt w:val="decimal"/>
      <w:start w:val="5"/>
    </w:lvl>
  </w:abstractNum>
  <w:abstractNum w:abstractNumId="194">
    <w:nsid w:val="2771AC80"/>
    <w:multiLevelType w:val="hybridMultilevel"/>
    <w:lvl w:ilvl="0">
      <w:lvlJc w:val="left"/>
      <w:lvlText w:val="(%1)"/>
      <w:numFmt w:val="lowerLetter"/>
      <w:start w:val="1"/>
    </w:lvl>
  </w:abstractNum>
  <w:abstractNum w:abstractNumId="195">
    <w:nsid w:val="1C4A08EC"/>
    <w:multiLevelType w:val="hybridMultilevel"/>
    <w:lvl w:ilvl="0">
      <w:lvlJc w:val="left"/>
      <w:lvlText w:val="(%1)"/>
      <w:numFmt w:val="lowerLetter"/>
      <w:start w:val="3"/>
    </w:lvl>
  </w:abstractNum>
  <w:abstractNum w:abstractNumId="196">
    <w:nsid w:val="1958BD17"/>
    <w:multiLevelType w:val="hybridMultilevel"/>
    <w:lvl w:ilvl="0">
      <w:lvlJc w:val="left"/>
      <w:lvlText w:val="%1."/>
      <w:numFmt w:val="decimal"/>
      <w:start w:val="6"/>
    </w:lvl>
  </w:abstractNum>
  <w:abstractNum w:abstractNumId="197">
    <w:nsid w:val="4E647FE4"/>
    <w:multiLevelType w:val="hybridMultilevel"/>
    <w:lvl w:ilvl="0">
      <w:lvlJc w:val="left"/>
      <w:lvlText w:val="(%1)"/>
      <w:numFmt w:val="lowerLetter"/>
      <w:start w:val="1"/>
    </w:lvl>
  </w:abstractNum>
  <w:abstractNum w:abstractNumId="198">
    <w:nsid w:val="E0BB885"/>
    <w:multiLevelType w:val="hybridMultilevel"/>
    <w:lvl w:ilvl="0">
      <w:lvlJc w:val="left"/>
      <w:lvlText w:val="(%1)"/>
      <w:numFmt w:val="lowerLetter"/>
      <w:start w:val="2"/>
    </w:lvl>
  </w:abstractNum>
  <w:abstractNum w:abstractNumId="199">
    <w:nsid w:val="565976F1"/>
    <w:multiLevelType w:val="hybridMultilevel"/>
    <w:lvl w:ilvl="0">
      <w:lvlJc w:val="left"/>
      <w:lvlText w:val="(%1)"/>
      <w:numFmt w:val="lowerLetter"/>
      <w:start w:val="9"/>
    </w:lvl>
  </w:abstractNum>
  <w:abstractNum w:abstractNumId="200">
    <w:nsid w:val="64212B8C"/>
    <w:multiLevelType w:val="hybridMultilevel"/>
    <w:lvl w:ilvl="0">
      <w:lvlJc w:val="left"/>
      <w:lvlText w:val="(%1)"/>
      <w:numFmt w:val="lowerLetter"/>
      <w:start w:val="13"/>
    </w:lvl>
  </w:abstractNum>
  <w:abstractNum w:abstractNumId="201">
    <w:nsid w:val="5C17530C"/>
    <w:multiLevelType w:val="hybridMultilevel"/>
    <w:lvl w:ilvl="0">
      <w:lvlJc w:val="left"/>
      <w:lvlText w:val="(%1)"/>
      <w:numFmt w:val="lowerLetter"/>
      <w:start w:val="18"/>
    </w:lvl>
  </w:abstractNum>
  <w:abstractNum w:abstractNumId="202">
    <w:nsid w:val="19A52566"/>
    <w:multiLevelType w:val="hybridMultilevel"/>
    <w:lvl w:ilvl="0">
      <w:lvlJc w:val="left"/>
      <w:lvlText w:val="(%1)"/>
      <w:numFmt w:val="lowerLetter"/>
      <w:start w:val="25"/>
    </w:lvl>
  </w:abstractNum>
  <w:abstractNum w:abstractNumId="203">
    <w:nsid w:val="335A1DF1"/>
    <w:multiLevelType w:val="hybridMultilevel"/>
    <w:lvl w:ilvl="0">
      <w:lvlJc w:val="left"/>
      <w:lvlText w:val="(%1)"/>
      <w:numFmt w:val="lowerLetter"/>
      <w:start w:val="27"/>
    </w:lvl>
  </w:abstractNum>
  <w:abstractNum w:abstractNumId="204">
    <w:nsid w:val="28677B7C"/>
    <w:multiLevelType w:val="hybridMultilevel"/>
    <w:lvl w:ilvl="0">
      <w:lvlJc w:val="left"/>
      <w:lvlText w:val="(%1)"/>
      <w:numFmt w:val="lowerLetter"/>
      <w:start w:val="29"/>
    </w:lvl>
  </w:abstractNum>
  <w:abstractNum w:abstractNumId="205">
    <w:nsid w:val="378D97C0"/>
    <w:multiLevelType w:val="hybridMultilevel"/>
    <w:lvl w:ilvl="0">
      <w:lvlJc w:val="left"/>
      <w:lvlText w:val="(%1)"/>
      <w:numFmt w:val="lowerRoman"/>
      <w:start w:val="2"/>
    </w:lvl>
  </w:abstractNum>
  <w:abstractNum w:abstractNumId="206">
    <w:nsid w:val="1D91467C"/>
    <w:multiLevelType w:val="hybridMultilevel"/>
    <w:lvl w:ilvl="0">
      <w:lvlJc w:val="left"/>
      <w:lvlText w:val="%1"/>
      <w:numFmt w:val="lowerLetter"/>
      <w:start w:val="1"/>
    </w:lvl>
    <w:lvl w:ilvl="1">
      <w:lvlJc w:val="left"/>
      <w:lvlText w:val="(%2)"/>
      <w:numFmt w:val="lowerLetter"/>
      <w:start w:val="61"/>
    </w:lvl>
  </w:abstractNum>
  <w:abstractNum w:abstractNumId="207">
    <w:nsid w:val="316032BB"/>
    <w:multiLevelType w:val="hybridMultilevel"/>
    <w:lvl w:ilvl="0">
      <w:lvlJc w:val="left"/>
      <w:lvlText w:val="(%1)"/>
      <w:numFmt w:val="lowerLetter"/>
      <w:start w:val="33"/>
    </w:lvl>
    <w:lvl w:ilvl="1">
      <w:lvlJc w:val="left"/>
      <w:lvlText w:val="%2"/>
      <w:numFmt w:val="lowerLetter"/>
      <w:start w:val="1"/>
    </w:lvl>
  </w:abstractNum>
  <w:abstractNum w:abstractNumId="208">
    <w:nsid w:val="44344C22"/>
    <w:multiLevelType w:val="hybridMultilevel"/>
    <w:lvl w:ilvl="0">
      <w:lvlJc w:val="left"/>
      <w:lvlText w:val="(%1)"/>
      <w:numFmt w:val="lowerLetter"/>
      <w:start w:val="35"/>
    </w:lvl>
  </w:abstractNum>
  <w:abstractNum w:abstractNumId="209">
    <w:nsid w:val="13CDFCFC"/>
    <w:multiLevelType w:val="hybridMultilevel"/>
    <w:lvl w:ilvl="0">
      <w:lvlJc w:val="left"/>
      <w:lvlText w:val="(%1)"/>
      <w:numFmt w:val="lowerLetter"/>
      <w:start w:val="40"/>
    </w:lvl>
  </w:abstractNum>
  <w:abstractNum w:abstractNumId="210">
    <w:nsid w:val="471745E4"/>
    <w:multiLevelType w:val="hybridMultilevel"/>
    <w:lvl w:ilvl="0">
      <w:lvlJc w:val="left"/>
      <w:lvlText w:val="(%1)"/>
      <w:numFmt w:val="lowerLetter"/>
      <w:start w:val="44"/>
    </w:lvl>
  </w:abstractNum>
  <w:abstractNum w:abstractNumId="211">
    <w:nsid w:val="1DDBC66"/>
    <w:multiLevelType w:val="hybridMultilevel"/>
    <w:lvl w:ilvl="0">
      <w:lvlJc w:val="left"/>
      <w:lvlText w:val="%1."/>
      <w:numFmt w:val="decimal"/>
      <w:start w:val="7"/>
    </w:lvl>
  </w:abstractNum>
  <w:abstractNum w:abstractNumId="212">
    <w:nsid w:val="30AADFDA"/>
    <w:multiLevelType w:val="hybridMultilevel"/>
    <w:lvl w:ilvl="0">
      <w:lvlJc w:val="left"/>
      <w:lvlText w:val="(%1)"/>
      <w:numFmt w:val="lowerLetter"/>
      <w:start w:val="1"/>
    </w:lvl>
  </w:abstractNum>
  <w:abstractNum w:abstractNumId="213">
    <w:nsid w:val="30EADA61"/>
    <w:multiLevelType w:val="hybridMultilevel"/>
    <w:lvl w:ilvl="0">
      <w:lvlJc w:val="left"/>
      <w:lvlText w:val="(%1)"/>
      <w:numFmt w:val="lowerLetter"/>
      <w:start w:val="4"/>
    </w:lvl>
  </w:abstractNum>
  <w:abstractNum w:abstractNumId="214">
    <w:nsid w:val="27179C0B"/>
    <w:multiLevelType w:val="hybridMultilevel"/>
    <w:lvl w:ilvl="0">
      <w:lvlJc w:val="left"/>
      <w:lvlText w:val="(%1)"/>
      <w:numFmt w:val="lowerLetter"/>
      <w:start w:val="9"/>
    </w:lvl>
    <w:lvl w:ilvl="1">
      <w:lvlJc w:val="left"/>
      <w:lvlText w:val="(%2)"/>
      <w:numFmt w:val="lowerRoman"/>
      <w:start w:val="1"/>
    </w:lvl>
  </w:abstractNum>
  <w:abstractNum w:abstractNumId="215">
    <w:nsid w:val="5E636063"/>
    <w:multiLevelType w:val="hybridMultilevel"/>
    <w:lvl w:ilvl="0">
      <w:lvlJc w:val="left"/>
      <w:lvlText w:val="(%1)"/>
      <w:numFmt w:val="lowerLetter"/>
      <w:start w:val="13"/>
    </w:lvl>
  </w:abstractNum>
  <w:abstractNum w:abstractNumId="216">
    <w:nsid w:val="215641AF"/>
    <w:multiLevelType w:val="hybridMultilevel"/>
    <w:lvl w:ilvl="0">
      <w:lvlJc w:val="left"/>
      <w:lvlText w:val="(%1)"/>
      <w:numFmt w:val="lowerLetter"/>
      <w:start w:val="17"/>
    </w:lvl>
  </w:abstractNum>
  <w:abstractNum w:abstractNumId="217">
    <w:nsid w:val="53280662"/>
    <w:multiLevelType w:val="hybridMultilevel"/>
    <w:lvl w:ilvl="0">
      <w:lvlJc w:val="left"/>
      <w:lvlText w:val="(%1)"/>
      <w:numFmt w:val="lowerLetter"/>
      <w:start w:val="23"/>
    </w:lvl>
  </w:abstractNum>
  <w:abstractNum w:abstractNumId="218">
    <w:nsid w:val="46B24DBC"/>
    <w:multiLevelType w:val="hybridMultilevel"/>
    <w:lvl w:ilvl="0">
      <w:lvlJc w:val="left"/>
      <w:lvlText w:val="%1."/>
      <w:numFmt w:val="decimal"/>
      <w:start w:val="8"/>
    </w:lvl>
    <w:lvl w:ilvl="1">
      <w:lvlJc w:val="left"/>
      <w:lvlText w:val="(%2)"/>
      <w:numFmt w:val="lowerRoman"/>
      <w:start w:val="7"/>
    </w:lvl>
  </w:abstractNum>
  <w:abstractNum w:abstractNumId="219">
    <w:nsid w:val="75B52783"/>
    <w:multiLevelType w:val="hybridMultilevel"/>
    <w:lvl w:ilvl="0">
      <w:lvlJc w:val="left"/>
      <w:lvlText w:val="%1"/>
      <w:numFmt w:val="decimal"/>
      <w:start w:val="1"/>
    </w:lvl>
    <w:lvl w:ilvl="1">
      <w:lvlJc w:val="left"/>
      <w:lvlText w:val="(%2)"/>
      <w:numFmt w:val="lowerRoman"/>
      <w:start w:val="9"/>
    </w:lvl>
  </w:abstractNum>
  <w:abstractNum w:abstractNumId="220">
    <w:nsid w:val="57CE66B4"/>
    <w:multiLevelType w:val="hybridMultilevel"/>
    <w:lvl w:ilvl="0">
      <w:lvlJc w:val="left"/>
      <w:lvlText w:val="%1."/>
      <w:numFmt w:val="decimal"/>
      <w:start w:val="9"/>
    </w:lvl>
  </w:abstractNum>
  <w:abstractNum w:abstractNumId="221">
    <w:nsid w:val="67A70B69"/>
    <w:multiLevelType w:val="hybridMultilevel"/>
    <w:lvl w:ilvl="0">
      <w:lvlJc w:val="left"/>
      <w:lvlText w:val="(%1)"/>
      <w:numFmt w:val="lowerLetter"/>
      <w:start w:val="1"/>
    </w:lvl>
  </w:abstractNum>
  <w:abstractNum w:abstractNumId="222">
    <w:nsid w:val="5953172F"/>
    <w:multiLevelType w:val="hybridMultilevel"/>
    <w:lvl w:ilvl="0">
      <w:lvlJc w:val="left"/>
      <w:lvlText w:val="(%1)"/>
      <w:numFmt w:val="lowerLetter"/>
      <w:start w:val="8"/>
    </w:lvl>
  </w:abstractNum>
  <w:abstractNum w:abstractNumId="223">
    <w:nsid w:val="27EDFE3A"/>
    <w:multiLevelType w:val="hybridMultilevel"/>
    <w:lvl w:ilvl="0">
      <w:lvlJc w:val="left"/>
      <w:lvlText w:val="(%1)"/>
      <w:numFmt w:val="lowerLetter"/>
      <w:start w:val="1"/>
    </w:lvl>
    <w:lvl w:ilvl="1">
      <w:lvlJc w:val="left"/>
      <w:lvlText w:val="(%2)"/>
      <w:numFmt w:val="lowerRoman"/>
      <w:start w:val="1"/>
    </w:lvl>
  </w:abstractNum>
  <w:abstractNum w:abstractNumId="224">
    <w:nsid w:val="52AC7DFF"/>
    <w:multiLevelType w:val="hybridMultilevel"/>
    <w:lvl w:ilvl="0">
      <w:lvlJc w:val="left"/>
      <w:lvlText w:val="(%1)"/>
      <w:numFmt w:val="lowerLetter"/>
      <w:start w:val="2"/>
    </w:lvl>
  </w:abstractNum>
  <w:abstractNum w:abstractNumId="225">
    <w:nsid w:val="C4C3AF"/>
    <w:multiLevelType w:val="hybridMultilevel"/>
    <w:lvl w:ilvl="0">
      <w:lvlJc w:val="left"/>
      <w:lvlText w:val="(%1)"/>
      <w:numFmt w:val="lowerLetter"/>
      <w:start w:val="4"/>
    </w:lvl>
  </w:abstractNum>
  <w:abstractNum w:abstractNumId="226">
    <w:nsid w:val="44380727"/>
    <w:multiLevelType w:val="hybridMultilevel"/>
    <w:lvl w:ilvl="0">
      <w:lvlJc w:val="left"/>
      <w:lvlText w:val="%1."/>
      <w:numFmt w:val="decimal"/>
      <w:start w:val="11"/>
    </w:lvl>
  </w:abstractNum>
  <w:abstractNum w:abstractNumId="227">
    <w:nsid w:val="6C053B16"/>
    <w:multiLevelType w:val="hybridMultilevel"/>
    <w:lvl w:ilvl="0">
      <w:lvlJc w:val="left"/>
      <w:lvlText w:val="(%1)"/>
      <w:numFmt w:val="lowerLetter"/>
      <w:start w:val="1"/>
    </w:lvl>
  </w:abstractNum>
  <w:abstractNum w:abstractNumId="228">
    <w:nsid w:val="4F294393"/>
    <w:multiLevelType w:val="hybridMultilevel"/>
    <w:lvl w:ilvl="0">
      <w:lvlJc w:val="left"/>
      <w:lvlText w:val="(%1)"/>
      <w:numFmt w:val="lowerLetter"/>
      <w:start w:val="5"/>
    </w:lvl>
  </w:abstractNum>
  <w:abstractNum w:abstractNumId="229">
    <w:nsid w:val="5243BFAC"/>
    <w:multiLevelType w:val="hybridMultilevel"/>
    <w:lvl w:ilvl="0">
      <w:lvlJc w:val="left"/>
      <w:lvlText w:val="%1."/>
      <w:numFmt w:val="decimal"/>
      <w:start w:val="13"/>
    </w:lvl>
  </w:abstractNum>
  <w:abstractNum w:abstractNumId="230">
    <w:nsid w:val="425EB207"/>
    <w:multiLevelType w:val="hybridMultilevel"/>
    <w:lvl w:ilvl="0">
      <w:lvlJc w:val="left"/>
      <w:lvlText w:val="%1."/>
      <w:numFmt w:val="decimal"/>
      <w:start w:val="14"/>
    </w:lvl>
  </w:abstractNum>
  <w:abstractNum w:abstractNumId="231">
    <w:nsid w:val="334A6F1F"/>
    <w:multiLevelType w:val="hybridMultilevel"/>
    <w:lvl w:ilvl="0">
      <w:lvlJc w:val="left"/>
      <w:lvlText w:val="%1."/>
      <w:numFmt w:val="decimal"/>
      <w:start w:val="20"/>
    </w:lvl>
  </w:abstractNum>
  <w:abstractNum w:abstractNumId="232">
    <w:nsid w:val="2E5B12B8"/>
    <w:multiLevelType w:val="hybridMultilevel"/>
    <w:lvl w:ilvl="0">
      <w:lvlJc w:val="left"/>
      <w:lvlText w:val="(%1)"/>
      <w:numFmt w:val="lowerLetter"/>
      <w:start w:val="1"/>
    </w:lvl>
  </w:abstractNum>
  <w:abstractNum w:abstractNumId="233">
    <w:nsid w:val="5C03D76D"/>
    <w:multiLevelType w:val="hybridMultilevel"/>
    <w:lvl w:ilvl="0">
      <w:lvlJc w:val="left"/>
      <w:lvlText w:val="%1."/>
      <w:numFmt w:val="decimal"/>
      <w:start w:val="22"/>
    </w:lvl>
  </w:abstractNum>
  <w:abstractNum w:abstractNumId="234">
    <w:nsid w:val="66A48D11"/>
    <w:multiLevelType w:val="hybridMultilevel"/>
    <w:lvl w:ilvl="0">
      <w:lvlJc w:val="left"/>
      <w:lvlText w:val="(%1)"/>
      <w:numFmt w:val="lowerLetter"/>
      <w:start w:val="1"/>
    </w:lvl>
  </w:abstractNum>
  <w:abstractNum w:abstractNumId="235">
    <w:nsid w:val="56C28E34"/>
    <w:multiLevelType w:val="hybridMultilevel"/>
    <w:lvl w:ilvl="0">
      <w:lvlJc w:val="left"/>
      <w:lvlText w:val="%1."/>
      <w:numFmt w:val="decimal"/>
      <w:start w:val="23"/>
    </w:lvl>
  </w:abstractNum>
  <w:abstractNum w:abstractNumId="236">
    <w:nsid w:val="13916F2D"/>
    <w:multiLevelType w:val="hybridMultilevel"/>
    <w:lvl w:ilvl="0">
      <w:lvlJc w:val="left"/>
      <w:lvlText w:val="(%1)"/>
      <w:numFmt w:val="lowerRoman"/>
      <w:start w:val="1"/>
    </w:lvl>
  </w:abstractNum>
  <w:abstractNum w:abstractNumId="237">
    <w:nsid w:val="435D38D"/>
    <w:multiLevelType w:val="hybridMultilevel"/>
    <w:lvl w:ilvl="0">
      <w:lvlJc w:val="left"/>
      <w:lvlText w:val="%1."/>
      <w:numFmt w:val="decimal"/>
      <w:start w:val="1"/>
    </w:lvl>
    <w:lvl w:ilvl="1">
      <w:lvlJc w:val="left"/>
      <w:lvlText w:val="%2."/>
      <w:numFmt w:val="lowerLetter"/>
      <w:start w:val="1"/>
    </w:lvl>
  </w:abstractNum>
  <w:abstractNum w:abstractNumId="238">
    <w:nsid w:val="822C0EF"/>
    <w:multiLevelType w:val="hybridMultilevel"/>
    <w:lvl w:ilvl="0">
      <w:lvlJc w:val="left"/>
      <w:lvlText w:val="%1."/>
      <w:numFmt w:val="decimal"/>
      <w:start w:val="1"/>
    </w:lvl>
    <w:lvl w:ilvl="1">
      <w:lvlJc w:val="left"/>
      <w:lvlText w:val="%2."/>
      <w:numFmt w:val="lowerLetter"/>
      <w:start w:val="1"/>
    </w:lvl>
  </w:abstractNum>
  <w:abstractNum w:abstractNumId="239">
    <w:nsid w:val="57C5BB4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8" Type="http://schemas.openxmlformats.org/officeDocument/2006/relationships/image" Target="media/image276.png"/><Relationship Id="rId289" Type="http://schemas.openxmlformats.org/officeDocument/2006/relationships/image" Target="media/image277.png"/><Relationship Id="rId290" Type="http://schemas.openxmlformats.org/officeDocument/2006/relationships/image" Target="media/image278.png"/><Relationship Id="rId291" Type="http://schemas.openxmlformats.org/officeDocument/2006/relationships/image" Target="media/image279.png"/><Relationship Id="rId292" Type="http://schemas.openxmlformats.org/officeDocument/2006/relationships/image" Target="media/image280.png"/><Relationship Id="rId293" Type="http://schemas.openxmlformats.org/officeDocument/2006/relationships/image" Target="media/image281.png"/><Relationship Id="rId294" Type="http://schemas.openxmlformats.org/officeDocument/2006/relationships/image" Target="media/image282.png"/><Relationship Id="rId295" Type="http://schemas.openxmlformats.org/officeDocument/2006/relationships/image" Target="media/image283.png"/><Relationship Id="rId296" Type="http://schemas.openxmlformats.org/officeDocument/2006/relationships/image" Target="media/image284.png"/><Relationship Id="rId297" Type="http://schemas.openxmlformats.org/officeDocument/2006/relationships/image" Target="media/image285.png"/><Relationship Id="rId298" Type="http://schemas.openxmlformats.org/officeDocument/2006/relationships/image" Target="media/image286.png"/><Relationship Id="rId299" Type="http://schemas.openxmlformats.org/officeDocument/2006/relationships/image" Target="media/image287.png"/><Relationship Id="rId300" Type="http://schemas.openxmlformats.org/officeDocument/2006/relationships/image" Target="media/image288.png"/><Relationship Id="rId301" Type="http://schemas.openxmlformats.org/officeDocument/2006/relationships/image" Target="media/image289.png"/><Relationship Id="rId302" Type="http://schemas.openxmlformats.org/officeDocument/2006/relationships/image" Target="media/image290.png"/><Relationship Id="rId303" Type="http://schemas.openxmlformats.org/officeDocument/2006/relationships/image" Target="media/image291.png"/><Relationship Id="rId304" Type="http://schemas.openxmlformats.org/officeDocument/2006/relationships/image" Target="media/image292.png"/><Relationship Id="rId305" Type="http://schemas.openxmlformats.org/officeDocument/2006/relationships/image" Target="media/image293.png"/><Relationship Id="rId306" Type="http://schemas.openxmlformats.org/officeDocument/2006/relationships/image" Target="media/image294.png"/><Relationship Id="rId307" Type="http://schemas.openxmlformats.org/officeDocument/2006/relationships/image" Target="media/image295.png"/><Relationship Id="rId308" Type="http://schemas.openxmlformats.org/officeDocument/2006/relationships/image" Target="media/image296.png"/><Relationship Id="rId309" Type="http://schemas.openxmlformats.org/officeDocument/2006/relationships/image" Target="media/image297.png"/><Relationship Id="rId310" Type="http://schemas.openxmlformats.org/officeDocument/2006/relationships/image" Target="media/image298.png"/><Relationship Id="rId311" Type="http://schemas.openxmlformats.org/officeDocument/2006/relationships/image" Target="media/image299.png"/><Relationship Id="rId312" Type="http://schemas.openxmlformats.org/officeDocument/2006/relationships/image" Target="media/image300.png"/><Relationship Id="rId313" Type="http://schemas.openxmlformats.org/officeDocument/2006/relationships/image" Target="media/image301.png"/><Relationship Id="rId314" Type="http://schemas.openxmlformats.org/officeDocument/2006/relationships/image" Target="media/image302.png"/><Relationship Id="rId315" Type="http://schemas.openxmlformats.org/officeDocument/2006/relationships/image" Target="media/image303.png"/><Relationship Id="rId316" Type="http://schemas.openxmlformats.org/officeDocument/2006/relationships/image" Target="media/image304.png"/><Relationship Id="rId317" Type="http://schemas.openxmlformats.org/officeDocument/2006/relationships/image" Target="media/image305.png"/><Relationship Id="rId318" Type="http://schemas.openxmlformats.org/officeDocument/2006/relationships/image" Target="media/image306.png"/><Relationship Id="rId319" Type="http://schemas.openxmlformats.org/officeDocument/2006/relationships/image" Target="media/image307.png"/><Relationship Id="rId320" Type="http://schemas.openxmlformats.org/officeDocument/2006/relationships/image" Target="media/image308.png"/><Relationship Id="rId321" Type="http://schemas.openxmlformats.org/officeDocument/2006/relationships/image" Target="media/image309.png"/><Relationship Id="rId322" Type="http://schemas.openxmlformats.org/officeDocument/2006/relationships/image" Target="media/image310.png"/><Relationship Id="rId323" Type="http://schemas.openxmlformats.org/officeDocument/2006/relationships/image" Target="media/image311.png"/><Relationship Id="rId324" Type="http://schemas.openxmlformats.org/officeDocument/2006/relationships/image" Target="media/image312.png"/><Relationship Id="rId325" Type="http://schemas.openxmlformats.org/officeDocument/2006/relationships/image" Target="media/image313.png"/><Relationship Id="rId326" Type="http://schemas.openxmlformats.org/officeDocument/2006/relationships/image" Target="media/image314.png"/><Relationship Id="rId327" Type="http://schemas.openxmlformats.org/officeDocument/2006/relationships/image" Target="media/image315.png"/><Relationship Id="rId328" Type="http://schemas.openxmlformats.org/officeDocument/2006/relationships/image" Target="media/image316.png"/><Relationship Id="rId329" Type="http://schemas.openxmlformats.org/officeDocument/2006/relationships/image" Target="media/image317.png"/><Relationship Id="rId330" Type="http://schemas.openxmlformats.org/officeDocument/2006/relationships/image" Target="media/image318.png"/><Relationship Id="rId331" Type="http://schemas.openxmlformats.org/officeDocument/2006/relationships/image" Target="media/image319.png"/><Relationship Id="rId332" Type="http://schemas.openxmlformats.org/officeDocument/2006/relationships/image" Target="media/image320.png"/><Relationship Id="rId333" Type="http://schemas.openxmlformats.org/officeDocument/2006/relationships/image" Target="media/image321.png"/><Relationship Id="rId334" Type="http://schemas.openxmlformats.org/officeDocument/2006/relationships/image" Target="media/image322.png"/><Relationship Id="rId335" Type="http://schemas.openxmlformats.org/officeDocument/2006/relationships/image" Target="media/image323.png"/><Relationship Id="rId336" Type="http://schemas.openxmlformats.org/officeDocument/2006/relationships/image" Target="media/image324.png"/><Relationship Id="rId337" Type="http://schemas.openxmlformats.org/officeDocument/2006/relationships/image" Target="media/image325.png"/><Relationship Id="rId338" Type="http://schemas.openxmlformats.org/officeDocument/2006/relationships/image" Target="media/image326.png"/><Relationship Id="rId339" Type="http://schemas.openxmlformats.org/officeDocument/2006/relationships/image" Target="media/image327.png"/><Relationship Id="rId340" Type="http://schemas.openxmlformats.org/officeDocument/2006/relationships/image" Target="media/image328.png"/><Relationship Id="rId341" Type="http://schemas.openxmlformats.org/officeDocument/2006/relationships/image" Target="media/image329.png"/><Relationship Id="rId342" Type="http://schemas.openxmlformats.org/officeDocument/2006/relationships/image" Target="media/image330.png"/><Relationship Id="rId343" Type="http://schemas.openxmlformats.org/officeDocument/2006/relationships/image" Target="media/image331.png"/><Relationship Id="rId344" Type="http://schemas.openxmlformats.org/officeDocument/2006/relationships/image" Target="media/image332.png"/><Relationship Id="rId345" Type="http://schemas.openxmlformats.org/officeDocument/2006/relationships/image" Target="media/image333.png"/><Relationship Id="rId346" Type="http://schemas.openxmlformats.org/officeDocument/2006/relationships/image" Target="media/image334.png"/><Relationship Id="rId347" Type="http://schemas.openxmlformats.org/officeDocument/2006/relationships/image" Target="media/image335.png"/><Relationship Id="rId348" Type="http://schemas.openxmlformats.org/officeDocument/2006/relationships/image" Target="media/image336.png"/><Relationship Id="rId349" Type="http://schemas.openxmlformats.org/officeDocument/2006/relationships/image" Target="media/image337.png"/><Relationship Id="rId350" Type="http://schemas.openxmlformats.org/officeDocument/2006/relationships/image" Target="media/image338.png"/><Relationship Id="rId351" Type="http://schemas.openxmlformats.org/officeDocument/2006/relationships/image" Target="media/image339.png"/><Relationship Id="rId352" Type="http://schemas.openxmlformats.org/officeDocument/2006/relationships/image" Target="media/image340.png"/><Relationship Id="rId353" Type="http://schemas.openxmlformats.org/officeDocument/2006/relationships/image" Target="media/image341.png"/><Relationship Id="rId354" Type="http://schemas.openxmlformats.org/officeDocument/2006/relationships/image" Target="media/image342.png"/><Relationship Id="rId355" Type="http://schemas.openxmlformats.org/officeDocument/2006/relationships/image" Target="media/image343.png"/><Relationship Id="rId356" Type="http://schemas.openxmlformats.org/officeDocument/2006/relationships/image" Target="media/image344.png"/><Relationship Id="rId357" Type="http://schemas.openxmlformats.org/officeDocument/2006/relationships/image" Target="media/image345.png"/><Relationship Id="rId358" Type="http://schemas.openxmlformats.org/officeDocument/2006/relationships/image" Target="media/image346.png"/><Relationship Id="rId359" Type="http://schemas.openxmlformats.org/officeDocument/2006/relationships/image" Target="media/image347.png"/><Relationship Id="rId360" Type="http://schemas.openxmlformats.org/officeDocument/2006/relationships/image" Target="media/image348.png"/><Relationship Id="rId361" Type="http://schemas.openxmlformats.org/officeDocument/2006/relationships/image" Target="media/image349.png"/><Relationship Id="rId362" Type="http://schemas.openxmlformats.org/officeDocument/2006/relationships/image" Target="media/image350.png"/><Relationship Id="rId363" Type="http://schemas.openxmlformats.org/officeDocument/2006/relationships/image" Target="media/image351.png"/><Relationship Id="rId364" Type="http://schemas.openxmlformats.org/officeDocument/2006/relationships/image" Target="media/image352.png"/><Relationship Id="rId365" Type="http://schemas.openxmlformats.org/officeDocument/2006/relationships/image" Target="media/image353.png"/><Relationship Id="rId366" Type="http://schemas.openxmlformats.org/officeDocument/2006/relationships/image" Target="media/image354.png"/><Relationship Id="rId367" Type="http://schemas.openxmlformats.org/officeDocument/2006/relationships/image" Target="media/image355.png"/><Relationship Id="rId368" Type="http://schemas.openxmlformats.org/officeDocument/2006/relationships/image" Target="media/image356.png"/><Relationship Id="rId369" Type="http://schemas.openxmlformats.org/officeDocument/2006/relationships/image" Target="media/image357.png"/><Relationship Id="rId370" Type="http://schemas.openxmlformats.org/officeDocument/2006/relationships/image" Target="media/image358.png"/><Relationship Id="rId371" Type="http://schemas.openxmlformats.org/officeDocument/2006/relationships/image" Target="media/image359.png"/><Relationship Id="rId372" Type="http://schemas.openxmlformats.org/officeDocument/2006/relationships/image" Target="media/image360.png"/><Relationship Id="rId373" Type="http://schemas.openxmlformats.org/officeDocument/2006/relationships/image" Target="media/image361.png"/><Relationship Id="rId374" Type="http://schemas.openxmlformats.org/officeDocument/2006/relationships/image" Target="media/image362.png"/><Relationship Id="rId375" Type="http://schemas.openxmlformats.org/officeDocument/2006/relationships/image" Target="media/image363.png"/><Relationship Id="rId376" Type="http://schemas.openxmlformats.org/officeDocument/2006/relationships/image" Target="media/image364.png"/><Relationship Id="rId377" Type="http://schemas.openxmlformats.org/officeDocument/2006/relationships/image" Target="media/image365.png"/><Relationship Id="rId378" Type="http://schemas.openxmlformats.org/officeDocument/2006/relationships/image" Target="media/image366.png"/><Relationship Id="rId379" Type="http://schemas.openxmlformats.org/officeDocument/2006/relationships/image" Target="media/image367.png"/><Relationship Id="rId380" Type="http://schemas.openxmlformats.org/officeDocument/2006/relationships/image" Target="media/image368.png"/><Relationship Id="rId381" Type="http://schemas.openxmlformats.org/officeDocument/2006/relationships/image" Target="media/image369.png"/><Relationship Id="rId382" Type="http://schemas.openxmlformats.org/officeDocument/2006/relationships/image" Target="media/image370.png"/><Relationship Id="rId383" Type="http://schemas.openxmlformats.org/officeDocument/2006/relationships/image" Target="media/image371.png"/><Relationship Id="rId384" Type="http://schemas.openxmlformats.org/officeDocument/2006/relationships/image" Target="media/image372.png"/><Relationship Id="rId385" Type="http://schemas.openxmlformats.org/officeDocument/2006/relationships/image" Target="media/image373.png"/><Relationship Id="rId386" Type="http://schemas.openxmlformats.org/officeDocument/2006/relationships/image" Target="media/image374.png"/><Relationship Id="rId387" Type="http://schemas.openxmlformats.org/officeDocument/2006/relationships/image" Target="media/image375.png"/><Relationship Id="rId388" Type="http://schemas.openxmlformats.org/officeDocument/2006/relationships/image" Target="media/image376.png"/><Relationship Id="rId389" Type="http://schemas.openxmlformats.org/officeDocument/2006/relationships/image" Target="media/image377.png"/><Relationship Id="rId390" Type="http://schemas.openxmlformats.org/officeDocument/2006/relationships/image" Target="media/image378.png"/><Relationship Id="rId391" Type="http://schemas.openxmlformats.org/officeDocument/2006/relationships/image" Target="media/image379.png"/><Relationship Id="rId392" Type="http://schemas.openxmlformats.org/officeDocument/2006/relationships/image" Target="media/image380.png"/><Relationship Id="rId393" Type="http://schemas.openxmlformats.org/officeDocument/2006/relationships/image" Target="media/image381.png"/><Relationship Id="rId394" Type="http://schemas.openxmlformats.org/officeDocument/2006/relationships/image" Target="media/image382.png"/><Relationship Id="rId395" Type="http://schemas.openxmlformats.org/officeDocument/2006/relationships/image" Target="media/image383.png"/><Relationship Id="rId396" Type="http://schemas.openxmlformats.org/officeDocument/2006/relationships/image" Target="media/image384.png"/><Relationship Id="rId397" Type="http://schemas.openxmlformats.org/officeDocument/2006/relationships/image" Target="media/image385.png"/><Relationship Id="rId398" Type="http://schemas.openxmlformats.org/officeDocument/2006/relationships/image" Target="media/image386.png"/><Relationship Id="rId399" Type="http://schemas.openxmlformats.org/officeDocument/2006/relationships/image" Target="media/image387.png"/><Relationship Id="rId400" Type="http://schemas.openxmlformats.org/officeDocument/2006/relationships/image" Target="media/image388.png"/><Relationship Id="rId401" Type="http://schemas.openxmlformats.org/officeDocument/2006/relationships/image" Target="media/image389.png"/><Relationship Id="rId402" Type="http://schemas.openxmlformats.org/officeDocument/2006/relationships/image" Target="media/image390.png"/><Relationship Id="rId403" Type="http://schemas.openxmlformats.org/officeDocument/2006/relationships/image" Target="media/image391.png"/><Relationship Id="rId404" Type="http://schemas.openxmlformats.org/officeDocument/2006/relationships/image" Target="media/image392.png"/><Relationship Id="rId405" Type="http://schemas.openxmlformats.org/officeDocument/2006/relationships/image" Target="media/image393.png"/><Relationship Id="rId406" Type="http://schemas.openxmlformats.org/officeDocument/2006/relationships/image" Target="media/image394.png"/><Relationship Id="rId407" Type="http://schemas.openxmlformats.org/officeDocument/2006/relationships/image" Target="media/image395.png"/><Relationship Id="rId408" Type="http://schemas.openxmlformats.org/officeDocument/2006/relationships/image" Target="media/image396.png"/><Relationship Id="rId409" Type="http://schemas.openxmlformats.org/officeDocument/2006/relationships/image" Target="media/image397.png"/><Relationship Id="rId410" Type="http://schemas.openxmlformats.org/officeDocument/2006/relationships/image" Target="media/image398.png"/><Relationship Id="rId411" Type="http://schemas.openxmlformats.org/officeDocument/2006/relationships/image" Target="media/image399.png"/><Relationship Id="rId412" Type="http://schemas.openxmlformats.org/officeDocument/2006/relationships/image" Target="media/image400.png"/><Relationship Id="rId413" Type="http://schemas.openxmlformats.org/officeDocument/2006/relationships/image" Target="media/image401.png"/><Relationship Id="rId414" Type="http://schemas.openxmlformats.org/officeDocument/2006/relationships/image" Target="media/image402.png"/><Relationship Id="rId415" Type="http://schemas.openxmlformats.org/officeDocument/2006/relationships/image" Target="media/image403.png"/><Relationship Id="rId416" Type="http://schemas.openxmlformats.org/officeDocument/2006/relationships/image" Target="media/image404.png"/><Relationship Id="rId417" Type="http://schemas.openxmlformats.org/officeDocument/2006/relationships/image" Target="media/image405.png"/><Relationship Id="rId418" Type="http://schemas.openxmlformats.org/officeDocument/2006/relationships/image" Target="media/image406.png"/><Relationship Id="rId419" Type="http://schemas.openxmlformats.org/officeDocument/2006/relationships/image" Target="media/image407.png"/><Relationship Id="rId420" Type="http://schemas.openxmlformats.org/officeDocument/2006/relationships/image" Target="media/image408.png"/><Relationship Id="rId421" Type="http://schemas.openxmlformats.org/officeDocument/2006/relationships/image" Target="media/image409.png"/><Relationship Id="rId422" Type="http://schemas.openxmlformats.org/officeDocument/2006/relationships/image" Target="media/image410.png"/><Relationship Id="rId423" Type="http://schemas.openxmlformats.org/officeDocument/2006/relationships/image" Target="media/image411.png"/><Relationship Id="rId424" Type="http://schemas.openxmlformats.org/officeDocument/2006/relationships/image" Target="media/image412.png"/><Relationship Id="rId425" Type="http://schemas.openxmlformats.org/officeDocument/2006/relationships/image" Target="media/image413.png"/><Relationship Id="rId426" Type="http://schemas.openxmlformats.org/officeDocument/2006/relationships/image" Target="media/image414.png"/><Relationship Id="rId427" Type="http://schemas.openxmlformats.org/officeDocument/2006/relationships/image" Target="media/image415.png"/><Relationship Id="rId428" Type="http://schemas.openxmlformats.org/officeDocument/2006/relationships/image" Target="media/image416.png"/><Relationship Id="rId429" Type="http://schemas.openxmlformats.org/officeDocument/2006/relationships/image" Target="media/image417.png"/><Relationship Id="rId430" Type="http://schemas.openxmlformats.org/officeDocument/2006/relationships/image" Target="media/image418.png"/><Relationship Id="rId431" Type="http://schemas.openxmlformats.org/officeDocument/2006/relationships/image" Target="media/image419.png"/><Relationship Id="rId432" Type="http://schemas.openxmlformats.org/officeDocument/2006/relationships/image" Target="media/image420.png"/><Relationship Id="rId433" Type="http://schemas.openxmlformats.org/officeDocument/2006/relationships/image" Target="media/image421.png"/><Relationship Id="rId434" Type="http://schemas.openxmlformats.org/officeDocument/2006/relationships/image" Target="media/image422.png"/><Relationship Id="rId435" Type="http://schemas.openxmlformats.org/officeDocument/2006/relationships/image" Target="media/image423.png"/><Relationship Id="rId436" Type="http://schemas.openxmlformats.org/officeDocument/2006/relationships/image" Target="media/image424.png"/><Relationship Id="rId437" Type="http://schemas.openxmlformats.org/officeDocument/2006/relationships/image" Target="media/image425.png"/><Relationship Id="rId438" Type="http://schemas.openxmlformats.org/officeDocument/2006/relationships/image" Target="media/image426.png"/><Relationship Id="rId439" Type="http://schemas.openxmlformats.org/officeDocument/2006/relationships/image" Target="media/image427.png"/><Relationship Id="rId440" Type="http://schemas.openxmlformats.org/officeDocument/2006/relationships/image" Target="media/image428.png"/><Relationship Id="rId441" Type="http://schemas.openxmlformats.org/officeDocument/2006/relationships/image" Target="media/image429.png"/><Relationship Id="rId442" Type="http://schemas.openxmlformats.org/officeDocument/2006/relationships/image" Target="media/image430.png"/><Relationship Id="rId443" Type="http://schemas.openxmlformats.org/officeDocument/2006/relationships/image" Target="media/image431.png"/><Relationship Id="rId444" Type="http://schemas.openxmlformats.org/officeDocument/2006/relationships/image" Target="media/image432.png"/><Relationship Id="rId445" Type="http://schemas.openxmlformats.org/officeDocument/2006/relationships/image" Target="media/image433.png"/><Relationship Id="rId446" Type="http://schemas.openxmlformats.org/officeDocument/2006/relationships/image" Target="media/image434.png"/><Relationship Id="rId447" Type="http://schemas.openxmlformats.org/officeDocument/2006/relationships/image" Target="media/image435.png"/><Relationship Id="rId448" Type="http://schemas.openxmlformats.org/officeDocument/2006/relationships/image" Target="media/image436.png"/><Relationship Id="rId449" Type="http://schemas.openxmlformats.org/officeDocument/2006/relationships/image" Target="media/image437.png"/><Relationship Id="rId450" Type="http://schemas.openxmlformats.org/officeDocument/2006/relationships/image" Target="media/image438.png"/><Relationship Id="rId451" Type="http://schemas.openxmlformats.org/officeDocument/2006/relationships/image" Target="media/image439.png"/><Relationship Id="rId452" Type="http://schemas.openxmlformats.org/officeDocument/2006/relationships/image" Target="media/image440.png"/><Relationship Id="rId453" Type="http://schemas.openxmlformats.org/officeDocument/2006/relationships/image" Target="media/image441.png"/><Relationship Id="rId283" Type="http://schemas.openxmlformats.org/officeDocument/2006/relationships/hyperlink" Target="https://www.sec.gov/Archives/edgar/data/1816736/000114036122032239/ny20005172x1_s4.htm#tANNEXA" TargetMode="External"/><Relationship Id="rId284" Type="http://schemas.openxmlformats.org/officeDocument/2006/relationships/hyperlink" Target="https://www.sec.gov/Archives/edgar/data/1816736/000121390021008478/ea135023ex3-1_gemini.htm" TargetMode="External"/><Relationship Id="rId285" Type="http://schemas.openxmlformats.org/officeDocument/2006/relationships/hyperlink" Target="https://www.sec.gov/Archives/edgar/data/1816736/000114036122047453/brhc10045896_ex3-1.htm" TargetMode="External"/><Relationship Id="rId286" Type="http://schemas.openxmlformats.org/officeDocument/2006/relationships/hyperlink" Target="https://www.sec.gov/Archives/edgar/data/1816736/000114036122047453/brhc10045896_ex3-2.htm" TargetMode="External"/><Relationship Id="rId287" Type="http://schemas.openxmlformats.org/officeDocument/2006/relationships/hyperlink" Target="https://www.sec.gov/Archives/edgar/data/1816736/000121390021002636/fs42021a5_fsdevelopment.htm#T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2026-11-05T07:45:58Z</dcterms:created>
  <dcterms:modified xsi:type="dcterms:W3CDTF">2026-11-05T07:45:58Z</dcterms:modified>
</cp:coreProperties>
</file>