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09,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9, 2025, the Board of Directors (the “Board”) of Disc Medicine, Inc. (the “Company”), upon the recommendation of the Nominating and Corporate Governance Committee of the Board, elected Nadim Ahmed as a director, effective as of July 14, 2025 (the “Effective Date”). Mr. Ahmed has been designated as a class I director to serve in accordance with the Company’s Amended and Restated By-Laws until the Company’s 2027 Annual Meeting of Stockholders and thereafter until his successor has been duly elected and qualified or until his earlier death, removal or resignation.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currently no arrangements or understandings between Mr. Ahmed and any other person pursuant to which Mr. Ahmed was selected as a director.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transactions in which Mr. Ahmed has an interest requiring disclosure under Item 404(a) of Regulation S-K.</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accordance with the Company’s amended and restated non-employee director compensation policy (the “Policy”), Mr. Ahmed will receive (i) annual cash compensation of $40,000 ($10,000 per quarter) for his service as a director and (ii) reimbursement for reasonable out-of-pocket expenses incurred in attending meetings of the Board or any committee thereof. In addition, in accordance with the Policy, the Board has granted Mr. Ahmed, effective on the Effective Date, a non-statutory stock option to purchase 20,000 shares of the Company’s common stock, which stock option will have an exercise price equal to the closing price of the Company’s common stock on the Nasdaq Global Market on the Effective Date and will vest over three years, with one-third vesting on the first anniversary of the Effective Date and the remainder vesting in substantially equal monthly installments over the following two years; provided, however, that all vesting ceases if Mr. Ahmed resigns from the Board or otherwise ceases to serve as a director, unless the Board determines that the circumstances warrant continuation of vesting.</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his election to the Board, Mr. Ahmed will enter into an indemnification agreement (the “Indemnification Agreement”) with the Company. The Indemnification Agreement is substantially identical to the form of indemnification agreement that the Company has entered into with its other directors and provides that the Company will indemnify Mr. Ahmed for some expenses, including attorneys’ fees, judgments, fines and settlement amounts incurred by him in any action or proceeding arising out of his service as one of the Company’s directors.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qualified in its entirety by the full text of the form of indemnification agreement by and between the Company and each of its directors, which is incorporated herein by reference to Exhibit 10.3 to the Company's Current Report on Form 8-K, filed with the Securities and Exchange Commission on December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14, 2025</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2025-07-14T07:41:44Z</dcterms:created>
  <dcterms:modified xsi:type="dcterms:W3CDTF">2025-07-14T07:41:44Z</dcterms:modified>
</cp:coreProperties>
</file>