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August 11, 2020.</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Exact name of registrant as specified in its charter</w:t>
      </w:r>
      <w:r>
        <w:rPr>
          <w:rFonts w:ascii="Arial" w:cs="Arial" w:eastAsia="Arial" w:hAnsi="Arial"/>
          <w:sz w:val="18"/>
          <w:szCs w:val="18"/>
          <w:b w:val="1"/>
          <w:bCs w:val="1"/>
          <w:color w:val="auto"/>
        </w:rPr>
        <w:t>)</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Borders>
              <w:top w:val="single" w:sz="8" w:color="auto"/>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3"/>
              </w:rPr>
              <w:t>Delaware</w:t>
            </w:r>
          </w:p>
        </w:tc>
        <w:tc>
          <w:tcPr>
            <w:tcW w:w="2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6770</w:t>
            </w:r>
          </w:p>
        </w:tc>
        <w:tc>
          <w:tcPr>
            <w:tcW w:w="4220" w:type="dxa"/>
            <w:vAlign w:val="bottom"/>
            <w:tcBorders>
              <w:top w:val="single" w:sz="8" w:color="auto"/>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1"/>
              </w:rPr>
              <w:t>85-1612845</w:t>
            </w:r>
          </w:p>
        </w:tc>
        <w:tc>
          <w:tcPr>
            <w:tcW w:w="0" w:type="dxa"/>
            <w:vAlign w:val="bottom"/>
          </w:tcPr>
          <w:p>
            <w:pPr>
              <w:spacing w:after="0"/>
              <w:rPr>
                <w:sz w:val="1"/>
                <w:szCs w:val="1"/>
                <w:color w:val="auto"/>
              </w:rPr>
            </w:pPr>
          </w:p>
        </w:tc>
      </w:tr>
      <w:tr>
        <w:trPr>
          <w:trHeight w:val="191"/>
        </w:trPr>
        <w:tc>
          <w:tcPr>
            <w:tcW w:w="4040" w:type="dxa"/>
            <w:vAlign w:val="bottom"/>
          </w:tcPr>
          <w:p>
            <w:pPr>
              <w:jc w:val="center"/>
              <w:ind w:right="370"/>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29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(Primary Standard Industrial</w:t>
            </w:r>
          </w:p>
        </w:tc>
        <w:tc>
          <w:tcPr>
            <w:tcW w:w="4220" w:type="dxa"/>
            <w:vAlign w:val="bottom"/>
          </w:tcPr>
          <w:p>
            <w:pPr>
              <w:jc w:val="center"/>
              <w:ind w:left="270"/>
              <w:spacing w:after="0" w:line="191" w:lineRule="exact"/>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04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incorporation or organization)</w:t>
            </w:r>
          </w:p>
        </w:tc>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0"/>
              </w:rPr>
              <w:t>Classification Code Number)</w:t>
            </w:r>
          </w:p>
        </w:tc>
        <w:tc>
          <w:tcPr>
            <w:tcW w:w="422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Identification Number)</w:t>
            </w:r>
          </w:p>
        </w:tc>
        <w:tc>
          <w:tcPr>
            <w:tcW w:w="0" w:type="dxa"/>
            <w:vAlign w:val="bottom"/>
          </w:tcPr>
          <w:p>
            <w:pPr>
              <w:spacing w:after="0"/>
              <w:rPr>
                <w:sz w:val="1"/>
                <w:szCs w:val="1"/>
                <w:color w:val="auto"/>
              </w:rPr>
            </w:pPr>
          </w:p>
        </w:tc>
      </w:tr>
      <w:tr>
        <w:trPr>
          <w:trHeight w:val="306"/>
        </w:trPr>
        <w:tc>
          <w:tcPr>
            <w:tcW w:w="4040" w:type="dxa"/>
            <w:vAlign w:val="bottom"/>
          </w:tcPr>
          <w:p>
            <w:pPr>
              <w:spacing w:after="0"/>
              <w:rPr>
                <w:sz w:val="24"/>
                <w:szCs w:val="24"/>
                <w:color w:val="auto"/>
              </w:rPr>
            </w:pPr>
          </w:p>
        </w:tc>
        <w:tc>
          <w:tcPr>
            <w:tcW w:w="298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600 Montgomery Street, Suite 4500</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9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San Francisco, California 94111</w:t>
            </w: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98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(415) 877-4887</w:t>
            </w: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298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___________________________</w:t>
            </w: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040" w:type="dxa"/>
            <w:vAlign w:val="bottom"/>
          </w:tcPr>
          <w:p>
            <w:pPr>
              <w:spacing w:after="0"/>
              <w:rPr>
                <w:sz w:val="21"/>
                <w:szCs w:val="21"/>
                <w:color w:val="auto"/>
              </w:rPr>
            </w:pPr>
          </w:p>
        </w:tc>
        <w:tc>
          <w:tcPr>
            <w:tcW w:w="298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Jim Tananbaum</w:t>
            </w: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98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Chief Executive Officer</w:t>
            </w: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98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600 Montgomery Street, Suite 4500</w:t>
            </w: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9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San Francisco, California 94111</w:t>
            </w: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98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(415) 877-4887</w:t>
            </w: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(Name, address, including zip code, and telephone number, including area code, of agent for service)</w:t>
            </w: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298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___________________________</w:t>
            </w:r>
          </w:p>
        </w:tc>
        <w:tc>
          <w:tcPr>
            <w:tcW w:w="4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40" w:type="dxa"/>
            <w:vAlign w:val="bottom"/>
            <w:vMerge w:val="restart"/>
          </w:tcPr>
          <w:p>
            <w:pPr>
              <w:jc w:val="center"/>
              <w:ind w:left="1290"/>
              <w:spacing w:after="0"/>
              <w:rPr>
                <w:sz w:val="20"/>
                <w:szCs w:val="20"/>
                <w:color w:val="auto"/>
              </w:rPr>
            </w:pPr>
            <w:r>
              <w:rPr>
                <w:rFonts w:ascii="Arial" w:cs="Arial" w:eastAsia="Arial" w:hAnsi="Arial"/>
                <w:sz w:val="18"/>
                <w:szCs w:val="18"/>
                <w:b w:val="1"/>
                <w:bCs w:val="1"/>
                <w:color w:val="auto"/>
                <w:w w:val="91"/>
              </w:rPr>
              <w:t>Joel L. Rubinstein</w:t>
            </w:r>
          </w:p>
        </w:tc>
        <w:tc>
          <w:tcPr>
            <w:tcW w:w="2980" w:type="dxa"/>
            <w:vAlign w:val="bottom"/>
          </w:tcPr>
          <w:p>
            <w:pPr>
              <w:jc w:val="center"/>
              <w:ind w:left="110"/>
              <w:spacing w:after="0"/>
              <w:rPr>
                <w:sz w:val="20"/>
                <w:szCs w:val="20"/>
                <w:color w:val="auto"/>
              </w:rPr>
            </w:pPr>
            <w:r>
              <w:rPr>
                <w:rFonts w:ascii="Arial" w:cs="Arial" w:eastAsia="Arial" w:hAnsi="Arial"/>
                <w:sz w:val="18"/>
                <w:szCs w:val="18"/>
                <w:b w:val="1"/>
                <w:bCs w:val="1"/>
                <w:i w:val="1"/>
                <w:iCs w:val="1"/>
                <w:color w:val="auto"/>
                <w:w w:val="84"/>
              </w:rPr>
              <w:t>Copies to:</w:t>
            </w:r>
          </w:p>
        </w:tc>
        <w:tc>
          <w:tcPr>
            <w:tcW w:w="4220" w:type="dxa"/>
            <w:vAlign w:val="bottom"/>
            <w:vMerge w:val="restart"/>
          </w:tcPr>
          <w:p>
            <w:pPr>
              <w:jc w:val="center"/>
              <w:ind w:right="1410"/>
              <w:spacing w:after="0"/>
              <w:rPr>
                <w:sz w:val="20"/>
                <w:szCs w:val="20"/>
                <w:color w:val="auto"/>
              </w:rPr>
            </w:pPr>
            <w:r>
              <w:rPr>
                <w:rFonts w:ascii="Arial" w:cs="Arial" w:eastAsia="Arial" w:hAnsi="Arial"/>
                <w:sz w:val="18"/>
                <w:szCs w:val="18"/>
                <w:b w:val="1"/>
                <w:bCs w:val="1"/>
                <w:color w:val="auto"/>
                <w:w w:val="89"/>
              </w:rPr>
              <w:t>Gregg A. Noel</w:t>
            </w:r>
          </w:p>
        </w:tc>
        <w:tc>
          <w:tcPr>
            <w:tcW w:w="0" w:type="dxa"/>
            <w:vAlign w:val="bottom"/>
          </w:tcPr>
          <w:p>
            <w:pPr>
              <w:spacing w:after="0"/>
              <w:rPr>
                <w:sz w:val="1"/>
                <w:szCs w:val="1"/>
                <w:color w:val="auto"/>
              </w:rPr>
            </w:pPr>
          </w:p>
        </w:tc>
      </w:tr>
      <w:tr>
        <w:trPr>
          <w:trHeight w:val="198"/>
        </w:trPr>
        <w:tc>
          <w:tcPr>
            <w:tcW w:w="4040" w:type="dxa"/>
            <w:vAlign w:val="bottom"/>
            <w:vMerge w:val="continue"/>
          </w:tcPr>
          <w:p>
            <w:pPr>
              <w:spacing w:after="0"/>
              <w:rPr>
                <w:sz w:val="17"/>
                <w:szCs w:val="17"/>
                <w:color w:val="auto"/>
              </w:rPr>
            </w:pPr>
          </w:p>
        </w:tc>
        <w:tc>
          <w:tcPr>
            <w:tcW w:w="2980" w:type="dxa"/>
            <w:vAlign w:val="bottom"/>
          </w:tcPr>
          <w:p>
            <w:pPr>
              <w:spacing w:after="0"/>
              <w:rPr>
                <w:sz w:val="17"/>
                <w:szCs w:val="17"/>
                <w:color w:val="auto"/>
              </w:rPr>
            </w:pPr>
          </w:p>
        </w:tc>
        <w:tc>
          <w:tcPr>
            <w:tcW w:w="4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Colin J. Diamond</w:t>
            </w:r>
          </w:p>
        </w:tc>
        <w:tc>
          <w:tcPr>
            <w:tcW w:w="2980" w:type="dxa"/>
            <w:vAlign w:val="bottom"/>
          </w:tcPr>
          <w:p>
            <w:pPr>
              <w:spacing w:after="0"/>
              <w:rPr>
                <w:sz w:val="18"/>
                <w:szCs w:val="18"/>
                <w:color w:val="auto"/>
              </w:rPr>
            </w:pPr>
          </w:p>
        </w:tc>
        <w:tc>
          <w:tcPr>
            <w:tcW w:w="42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Michael J. Mies</w:t>
            </w:r>
          </w:p>
        </w:tc>
        <w:tc>
          <w:tcPr>
            <w:tcW w:w="0" w:type="dxa"/>
            <w:vAlign w:val="bottom"/>
          </w:tcPr>
          <w:p>
            <w:pPr>
              <w:spacing w:after="0"/>
              <w:rPr>
                <w:sz w:val="1"/>
                <w:szCs w:val="1"/>
                <w:color w:val="auto"/>
              </w:rPr>
            </w:pPr>
          </w:p>
        </w:tc>
      </w:tr>
      <w:tr>
        <w:trPr>
          <w:trHeight w:val="216"/>
        </w:trPr>
        <w:tc>
          <w:tcPr>
            <w:tcW w:w="4040" w:type="dxa"/>
            <w:vAlign w:val="bottom"/>
          </w:tcPr>
          <w:p>
            <w:pPr>
              <w:jc w:val="center"/>
              <w:ind w:left="1290"/>
              <w:spacing w:after="0"/>
              <w:rPr>
                <w:sz w:val="20"/>
                <w:szCs w:val="20"/>
                <w:color w:val="auto"/>
              </w:rPr>
            </w:pPr>
            <w:r>
              <w:rPr>
                <w:rFonts w:ascii="Arial" w:cs="Arial" w:eastAsia="Arial" w:hAnsi="Arial"/>
                <w:sz w:val="18"/>
                <w:szCs w:val="18"/>
                <w:b w:val="1"/>
                <w:bCs w:val="1"/>
                <w:color w:val="auto"/>
                <w:w w:val="88"/>
              </w:rPr>
              <w:t>Daniel E. Nussen</w:t>
            </w:r>
          </w:p>
        </w:tc>
        <w:tc>
          <w:tcPr>
            <w:tcW w:w="720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w w:val="93"/>
              </w:rPr>
              <w:t>Skadden, Arps, Slate, Meagher &amp; Flom LLP</w:t>
            </w:r>
          </w:p>
        </w:tc>
        <w:tc>
          <w:tcPr>
            <w:tcW w:w="0" w:type="dxa"/>
            <w:vAlign w:val="bottom"/>
          </w:tcPr>
          <w:p>
            <w:pPr>
              <w:spacing w:after="0"/>
              <w:rPr>
                <w:sz w:val="1"/>
                <w:szCs w:val="1"/>
                <w:color w:val="auto"/>
              </w:rPr>
            </w:pPr>
          </w:p>
        </w:tc>
      </w:tr>
      <w:tr>
        <w:trPr>
          <w:trHeight w:val="216"/>
        </w:trPr>
        <w:tc>
          <w:tcPr>
            <w:tcW w:w="4040" w:type="dxa"/>
            <w:vAlign w:val="bottom"/>
          </w:tcPr>
          <w:p>
            <w:pPr>
              <w:jc w:val="center"/>
              <w:ind w:left="1290"/>
              <w:spacing w:after="0"/>
              <w:rPr>
                <w:sz w:val="20"/>
                <w:szCs w:val="20"/>
                <w:color w:val="auto"/>
              </w:rPr>
            </w:pPr>
            <w:r>
              <w:rPr>
                <w:rFonts w:ascii="Arial" w:cs="Arial" w:eastAsia="Arial" w:hAnsi="Arial"/>
                <w:sz w:val="18"/>
                <w:szCs w:val="18"/>
                <w:b w:val="1"/>
                <w:bCs w:val="1"/>
                <w:color w:val="auto"/>
                <w:w w:val="94"/>
              </w:rPr>
              <w:t>White &amp; Case LLP</w:t>
            </w:r>
          </w:p>
        </w:tc>
        <w:tc>
          <w:tcPr>
            <w:tcW w:w="2980" w:type="dxa"/>
            <w:vAlign w:val="bottom"/>
          </w:tcPr>
          <w:p>
            <w:pPr>
              <w:spacing w:after="0"/>
              <w:rPr>
                <w:sz w:val="18"/>
                <w:szCs w:val="18"/>
                <w:color w:val="auto"/>
              </w:rPr>
            </w:pPr>
          </w:p>
        </w:tc>
        <w:tc>
          <w:tcPr>
            <w:tcW w:w="4220" w:type="dxa"/>
            <w:vAlign w:val="bottom"/>
          </w:tcPr>
          <w:p>
            <w:pPr>
              <w:jc w:val="center"/>
              <w:ind w:right="1410"/>
              <w:spacing w:after="0"/>
              <w:rPr>
                <w:sz w:val="20"/>
                <w:szCs w:val="20"/>
                <w:color w:val="auto"/>
              </w:rPr>
            </w:pPr>
            <w:r>
              <w:rPr>
                <w:rFonts w:ascii="Arial" w:cs="Arial" w:eastAsia="Arial" w:hAnsi="Arial"/>
                <w:sz w:val="18"/>
                <w:szCs w:val="18"/>
                <w:b w:val="1"/>
                <w:bCs w:val="1"/>
                <w:color w:val="auto"/>
                <w:w w:val="89"/>
              </w:rPr>
              <w:t>525 University Avenue, Suite 1400</w:t>
            </w:r>
          </w:p>
        </w:tc>
        <w:tc>
          <w:tcPr>
            <w:tcW w:w="0" w:type="dxa"/>
            <w:vAlign w:val="bottom"/>
          </w:tcPr>
          <w:p>
            <w:pPr>
              <w:spacing w:after="0"/>
              <w:rPr>
                <w:sz w:val="1"/>
                <w:szCs w:val="1"/>
                <w:color w:val="auto"/>
              </w:rPr>
            </w:pPr>
          </w:p>
        </w:tc>
      </w:tr>
      <w:tr>
        <w:trPr>
          <w:trHeight w:val="216"/>
        </w:trPr>
        <w:tc>
          <w:tcPr>
            <w:tcW w:w="4040" w:type="dxa"/>
            <w:vAlign w:val="bottom"/>
          </w:tcPr>
          <w:p>
            <w:pPr>
              <w:jc w:val="center"/>
              <w:ind w:left="1290"/>
              <w:spacing w:after="0"/>
              <w:rPr>
                <w:sz w:val="20"/>
                <w:szCs w:val="20"/>
                <w:color w:val="auto"/>
              </w:rPr>
            </w:pPr>
            <w:r>
              <w:rPr>
                <w:rFonts w:ascii="Arial" w:cs="Arial" w:eastAsia="Arial" w:hAnsi="Arial"/>
                <w:sz w:val="18"/>
                <w:szCs w:val="18"/>
                <w:b w:val="1"/>
                <w:bCs w:val="1"/>
                <w:color w:val="auto"/>
                <w:w w:val="88"/>
              </w:rPr>
              <w:t>1221 Avenue of the Americas</w:t>
            </w:r>
          </w:p>
        </w:tc>
        <w:tc>
          <w:tcPr>
            <w:tcW w:w="2980" w:type="dxa"/>
            <w:vAlign w:val="bottom"/>
          </w:tcPr>
          <w:p>
            <w:pPr>
              <w:spacing w:after="0"/>
              <w:rPr>
                <w:sz w:val="18"/>
                <w:szCs w:val="18"/>
                <w:color w:val="auto"/>
              </w:rPr>
            </w:pPr>
          </w:p>
        </w:tc>
        <w:tc>
          <w:tcPr>
            <w:tcW w:w="42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Palo Alto, California 94301</w:t>
            </w:r>
          </w:p>
        </w:tc>
        <w:tc>
          <w:tcPr>
            <w:tcW w:w="0" w:type="dxa"/>
            <w:vAlign w:val="bottom"/>
          </w:tcPr>
          <w:p>
            <w:pPr>
              <w:spacing w:after="0"/>
              <w:rPr>
                <w:sz w:val="1"/>
                <w:szCs w:val="1"/>
                <w:color w:val="auto"/>
              </w:rPr>
            </w:pPr>
          </w:p>
        </w:tc>
      </w:tr>
      <w:tr>
        <w:trPr>
          <w:trHeight w:val="216"/>
        </w:trPr>
        <w:tc>
          <w:tcPr>
            <w:tcW w:w="404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New York, New York 10020</w:t>
            </w:r>
          </w:p>
        </w:tc>
        <w:tc>
          <w:tcPr>
            <w:tcW w:w="2980" w:type="dxa"/>
            <w:vAlign w:val="bottom"/>
          </w:tcPr>
          <w:p>
            <w:pPr>
              <w:spacing w:after="0"/>
              <w:rPr>
                <w:sz w:val="18"/>
                <w:szCs w:val="18"/>
                <w:color w:val="auto"/>
              </w:rPr>
            </w:pPr>
          </w:p>
        </w:tc>
        <w:tc>
          <w:tcPr>
            <w:tcW w:w="422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Tel: (650) 470-4500</w:t>
            </w:r>
          </w:p>
        </w:tc>
        <w:tc>
          <w:tcPr>
            <w:tcW w:w="0" w:type="dxa"/>
            <w:vAlign w:val="bottom"/>
          </w:tcPr>
          <w:p>
            <w:pPr>
              <w:spacing w:after="0"/>
              <w:rPr>
                <w:sz w:val="1"/>
                <w:szCs w:val="1"/>
                <w:color w:val="auto"/>
              </w:rPr>
            </w:pPr>
          </w:p>
        </w:tc>
      </w:tr>
      <w:tr>
        <w:trPr>
          <w:trHeight w:val="234"/>
        </w:trPr>
        <w:tc>
          <w:tcPr>
            <w:tcW w:w="404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Tel: (212) 819-8200</w:t>
            </w:r>
          </w:p>
        </w:tc>
        <w:tc>
          <w:tcPr>
            <w:tcW w:w="29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298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___________________________</w:t>
            </w:r>
          </w:p>
        </w:tc>
        <w:tc>
          <w:tcPr>
            <w:tcW w:w="4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As soon as practicable after the effective date of this registration statement.</w:t>
      </w:r>
    </w:p>
    <w:p>
      <w:pPr>
        <w:spacing w:after="0" w:line="79"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0" w:lineRule="exact"/>
        <w:rPr>
          <w:sz w:val="24"/>
          <w:szCs w:val="24"/>
          <w:color w:val="auto"/>
        </w:rPr>
      </w:pPr>
    </w:p>
    <w:p>
      <w:pPr>
        <w:ind w:right="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r>
        <w:rPr>
          <w:rFonts w:ascii="Arial" w:cs="Arial" w:eastAsia="Arial" w:hAnsi="Arial"/>
          <w:sz w:val="17"/>
          <w:szCs w:val="17"/>
          <w:color w:val="auto"/>
        </w:rPr>
        <w:t xml:space="preserve"> (File No. 333-240098)</w:t>
      </w:r>
    </w:p>
    <w:p>
      <w:pPr>
        <w:spacing w:after="0" w:line="20"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p>
    <w:p>
      <w:pPr>
        <w:ind w:right="34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74"/>
        </w:trPr>
        <w:tc>
          <w:tcPr>
            <w:tcW w:w="1840" w:type="dxa"/>
            <w:vAlign w:val="bottom"/>
          </w:tcPr>
          <w:p>
            <w:pPr>
              <w:spacing w:after="0" w:line="174" w:lineRule="exact"/>
              <w:rPr>
                <w:sz w:val="20"/>
                <w:szCs w:val="20"/>
                <w:color w:val="auto"/>
              </w:rPr>
            </w:pPr>
            <w:r>
              <w:rPr>
                <w:rFonts w:ascii="Arial" w:cs="Arial" w:eastAsia="Arial" w:hAnsi="Arial"/>
                <w:sz w:val="18"/>
                <w:szCs w:val="18"/>
                <w:color w:val="auto"/>
              </w:rPr>
              <w:t>Large accelerated filer</w:t>
            </w:r>
          </w:p>
        </w:tc>
        <w:tc>
          <w:tcPr>
            <w:tcW w:w="2140" w:type="dxa"/>
            <w:vAlign w:val="bottom"/>
          </w:tcPr>
          <w:p>
            <w:pPr>
              <w:ind w:left="200"/>
              <w:spacing w:after="0" w:line="174"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780"/>
              <w:spacing w:after="0" w:line="174" w:lineRule="exact"/>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74"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78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00" w:type="dxa"/>
            <w:vAlign w:val="bottom"/>
          </w:tcPr>
          <w:p>
            <w:pPr>
              <w:ind w:left="178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CALCULATION OF REGISTRATION FEE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6"/>
              </w:rPr>
              <w:t>Proposed</w:t>
            </w: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86"/>
              </w:rPr>
              <w:t>Proposed</w:t>
            </w: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216"/>
        </w:trPr>
        <w:tc>
          <w:tcPr>
            <w:tcW w:w="4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Maximum</w:t>
            </w:r>
          </w:p>
        </w:tc>
        <w:tc>
          <w:tcPr>
            <w:tcW w:w="18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Maximum</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1"/>
        </w:trPr>
        <w:tc>
          <w:tcPr>
            <w:tcW w:w="48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Amount Being</w:t>
            </w:r>
          </w:p>
        </w:tc>
        <w:tc>
          <w:tcPr>
            <w:tcW w:w="260" w:type="dxa"/>
            <w:vAlign w:val="bottom"/>
          </w:tcPr>
          <w:p>
            <w:pPr>
              <w:spacing w:after="0"/>
              <w:rPr>
                <w:sz w:val="19"/>
                <w:szCs w:val="19"/>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Offering Price</w:t>
            </w:r>
          </w:p>
        </w:tc>
        <w:tc>
          <w:tcPr>
            <w:tcW w:w="180" w:type="dxa"/>
            <w:vAlign w:val="bottom"/>
          </w:tcPr>
          <w:p>
            <w:pPr>
              <w:spacing w:after="0"/>
              <w:rPr>
                <w:sz w:val="19"/>
                <w:szCs w:val="19"/>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Aggregate</w:t>
            </w:r>
          </w:p>
        </w:tc>
        <w:tc>
          <w:tcPr>
            <w:tcW w:w="260" w:type="dxa"/>
            <w:vAlign w:val="bottom"/>
          </w:tcPr>
          <w:p>
            <w:pPr>
              <w:spacing w:after="0"/>
              <w:rPr>
                <w:sz w:val="19"/>
                <w:szCs w:val="19"/>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Amount of</w:t>
            </w:r>
          </w:p>
        </w:tc>
      </w:tr>
      <w:tr>
        <w:trPr>
          <w:trHeight w:val="270"/>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Each Class of Security Being Registered</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70"/>
              <w:spacing w:after="0" w:line="270" w:lineRule="exact"/>
              <w:rPr>
                <w:sz w:val="20"/>
                <w:szCs w:val="20"/>
                <w:color w:val="auto"/>
              </w:rPr>
            </w:pPr>
            <w:r>
              <w:rPr>
                <w:rFonts w:ascii="Arial" w:cs="Arial" w:eastAsia="Arial" w:hAnsi="Arial"/>
                <w:sz w:val="18"/>
                <w:szCs w:val="18"/>
                <w:b w:val="1"/>
                <w:bCs w:val="1"/>
                <w:color w:val="auto"/>
                <w:w w:val="87"/>
              </w:rPr>
              <w:t>per Security</w:t>
            </w:r>
            <w:r>
              <w:rPr>
                <w:rFonts w:ascii="Arial" w:cs="Arial" w:eastAsia="Arial" w:hAnsi="Arial"/>
                <w:sz w:val="29"/>
                <w:szCs w:val="29"/>
                <w:b w:val="1"/>
                <w:bCs w:val="1"/>
                <w:color w:val="auto"/>
                <w:w w:val="87"/>
                <w:vertAlign w:val="superscript"/>
              </w:rPr>
              <w:t>(1)</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90"/>
              <w:spacing w:after="0" w:line="270" w:lineRule="exact"/>
              <w:rPr>
                <w:sz w:val="20"/>
                <w:szCs w:val="20"/>
                <w:color w:val="auto"/>
              </w:rPr>
            </w:pPr>
            <w:r>
              <w:rPr>
                <w:rFonts w:ascii="Arial" w:cs="Arial" w:eastAsia="Arial" w:hAnsi="Arial"/>
                <w:sz w:val="18"/>
                <w:szCs w:val="18"/>
                <w:b w:val="1"/>
                <w:bCs w:val="1"/>
                <w:color w:val="auto"/>
                <w:w w:val="89"/>
              </w:rPr>
              <w:t>Offering Price</w:t>
            </w:r>
            <w:r>
              <w:rPr>
                <w:rFonts w:ascii="Arial" w:cs="Arial" w:eastAsia="Arial" w:hAnsi="Arial"/>
                <w:sz w:val="29"/>
                <w:szCs w:val="29"/>
                <w:b w:val="1"/>
                <w:bCs w:val="1"/>
                <w:color w:val="auto"/>
                <w:w w:val="89"/>
                <w:vertAlign w:val="superscript"/>
              </w:rPr>
              <w:t>(1)</w:t>
            </w:r>
          </w:p>
        </w:tc>
        <w:tc>
          <w:tcPr>
            <w:tcW w:w="1600" w:type="dxa"/>
            <w:vAlign w:val="bottom"/>
            <w:tcBorders>
              <w:bottom w:val="single" w:sz="8" w:color="auto"/>
            </w:tcBorders>
            <w:gridSpan w:val="2"/>
          </w:tcPr>
          <w:p>
            <w:pPr>
              <w:jc w:val="center"/>
              <w:spacing w:after="0" w:line="270" w:lineRule="exact"/>
              <w:rPr>
                <w:sz w:val="20"/>
                <w:szCs w:val="20"/>
                <w:color w:val="auto"/>
              </w:rPr>
            </w:pPr>
            <w:r>
              <w:rPr>
                <w:rFonts w:ascii="Arial" w:cs="Arial" w:eastAsia="Arial" w:hAnsi="Arial"/>
                <w:sz w:val="18"/>
                <w:szCs w:val="18"/>
                <w:b w:val="1"/>
                <w:bCs w:val="1"/>
                <w:color w:val="auto"/>
                <w:w w:val="87"/>
              </w:rPr>
              <w:t>Registration Fee</w:t>
            </w:r>
            <w:r>
              <w:rPr>
                <w:rFonts w:ascii="Arial" w:cs="Arial" w:eastAsia="Arial" w:hAnsi="Arial"/>
                <w:sz w:val="29"/>
                <w:szCs w:val="29"/>
                <w:b w:val="1"/>
                <w:bCs w:val="1"/>
                <w:color w:val="auto"/>
                <w:w w:val="87"/>
                <w:vertAlign w:val="superscript"/>
              </w:rPr>
              <w:t>(4)</w:t>
            </w:r>
          </w:p>
        </w:tc>
      </w:tr>
      <w:tr>
        <w:trPr>
          <w:trHeight w:val="222"/>
        </w:trPr>
        <w:tc>
          <w:tcPr>
            <w:tcW w:w="4840" w:type="dxa"/>
            <w:vAlign w:val="bottom"/>
            <w:shd w:val="clear" w:color="auto" w:fill="CCEEFF"/>
          </w:tcPr>
          <w:p>
            <w:pPr>
              <w:spacing w:after="0" w:line="222" w:lineRule="exact"/>
              <w:rPr>
                <w:sz w:val="20"/>
                <w:szCs w:val="20"/>
                <w:color w:val="auto"/>
              </w:rPr>
            </w:pPr>
            <w:r>
              <w:rPr>
                <w:rFonts w:ascii="Arial" w:cs="Arial" w:eastAsia="Arial" w:hAnsi="Arial"/>
                <w:sz w:val="16"/>
                <w:szCs w:val="16"/>
                <w:color w:val="auto"/>
              </w:rPr>
              <w:t>Shares of Class A common stock, par value $0.0001 per share</w:t>
            </w:r>
            <w:r>
              <w:rPr>
                <w:rFonts w:ascii="Arial" w:cs="Arial" w:eastAsia="Arial" w:hAnsi="Arial"/>
                <w:sz w:val="25"/>
                <w:szCs w:val="25"/>
                <w:color w:val="auto"/>
                <w:vertAlign w:val="superscript"/>
              </w:rPr>
              <w:t>(2)</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575,000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840" w:type="dxa"/>
            <w:vAlign w:val="bottom"/>
            <w:shd w:val="clear" w:color="auto" w:fill="CCEEFF"/>
          </w:tcPr>
          <w:p>
            <w:pPr>
              <w:jc w:val="right"/>
              <w:ind w:right="4398"/>
              <w:spacing w:after="0"/>
              <w:rPr>
                <w:sz w:val="20"/>
                <w:szCs w:val="20"/>
                <w:color w:val="auto"/>
              </w:rPr>
            </w:pPr>
            <w:r>
              <w:rPr>
                <w:rFonts w:ascii="Arial" w:cs="Arial" w:eastAsia="Arial" w:hAnsi="Arial"/>
                <w:sz w:val="15"/>
                <w:szCs w:val="15"/>
                <w:color w:val="auto"/>
              </w:rPr>
              <w:t>(3)</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Shares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5,750,000</w:t>
            </w:r>
          </w:p>
        </w:tc>
        <w:tc>
          <w:tcPr>
            <w:tcW w:w="26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747.00</w:t>
            </w:r>
          </w:p>
        </w:tc>
      </w:tr>
    </w:tbl>
    <w:p>
      <w:pPr>
        <w:spacing w:after="0" w:line="20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____________</w:t>
      </w:r>
    </w:p>
    <w:p>
      <w:pPr>
        <w:spacing w:after="0" w:line="185" w:lineRule="exact"/>
        <w:rPr>
          <w:sz w:val="20"/>
          <w:szCs w:val="20"/>
          <w:color w:val="auto"/>
        </w:rPr>
      </w:pPr>
    </w:p>
    <w:p>
      <w:pPr>
        <w:ind w:left="440" w:right="560" w:hanging="432"/>
        <w:spacing w:after="0" w:line="258" w:lineRule="auto"/>
        <w:tabs>
          <w:tab w:leader="none" w:pos="533"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under the Securities Act of 1933, as amended (the “Securities Act”).</w:t>
      </w:r>
    </w:p>
    <w:p>
      <w:pPr>
        <w:spacing w:after="0" w:line="1" w:lineRule="exact"/>
        <w:rPr>
          <w:rFonts w:ascii="Arial" w:cs="Arial" w:eastAsia="Arial" w:hAnsi="Arial"/>
          <w:sz w:val="18"/>
          <w:szCs w:val="18"/>
          <w:color w:val="auto"/>
        </w:rPr>
      </w:pPr>
    </w:p>
    <w:p>
      <w:pPr>
        <w:ind w:left="440" w:right="120" w:hanging="432"/>
        <w:spacing w:after="0" w:line="250" w:lineRule="auto"/>
        <w:tabs>
          <w:tab w:leader="none" w:pos="533"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75,000 shares of Class A common stock, which may be issued upon exercise of a 45-day option granted to the underwriters to cover over-allotments, if any.</w:t>
      </w:r>
    </w:p>
    <w:p>
      <w:pPr>
        <w:ind w:left="440" w:right="100" w:hanging="432"/>
        <w:spacing w:after="0" w:line="250" w:lineRule="auto"/>
        <w:tabs>
          <w:tab w:leader="none" w:pos="533"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there are also being registered an indeterminable number of additional securities as may be issued to prevent dilution resulting from stock splits, stock dividends or similar transactions.</w:t>
      </w:r>
    </w:p>
    <w:p>
      <w:pPr>
        <w:ind w:left="440" w:right="120" w:hanging="432"/>
        <w:spacing w:after="0" w:line="295" w:lineRule="auto"/>
        <w:tabs>
          <w:tab w:leader="none" w:pos="52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previously registered securities having a proposed maximum aggregate offering price of $115,000,000 on its Registration Statement on Form S-1, as amended (File No. 333-240098), which was declared effective by the U.S. Securities and Exchange Commission on August 11, 2020. In accordance with Rule 462(b) under the Securities Act, an additional number of securities having a proposed maximum offering price of $5,750,000 is hereby registered, which includes securities issuable upon the exercise of the underwriters’ over-allotment option.</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158"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The Registration Statement shall become effective upon filing with the Securities and Exchange Commission in accordance with Rule 462(b)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Registration Statement on Form S-1 is being filed with respect to the registration of 575,000 additional shares of Class A common stock, $0.0001 par value per share, of FS Development Corp., a Delaware corporation (the “Registrant”), pursuant to Rule 462(b) under the Securities Act of 1933, as amended, and General Instruction V to Form S-1, including 75,000 shares that may be purchased by the underwriters to cover over-allotments, if any. This Registration Statement relates to the Registrant’s Registration Statement on Form S-1, as amended (File No. 333-240098) (the “Prior Registration Statement”), initially filed by the Registrant on July 24, 2020 and declared effective by the U.S. Securities and Exchange Commission (the “Commission”) on August 11, 2020. The required opinions of counsel and related consent and accountant’s consent are attached hereto and filed herewith. Pursuant to Rule 462(b), the contents of the Prior Registration Statement, including the exhibits thereto, are incorporated by reference into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62" w:lineRule="exact"/>
        <w:rPr>
          <w:sz w:val="20"/>
          <w:szCs w:val="20"/>
          <w:color w:val="auto"/>
        </w:rPr>
      </w:pPr>
    </w:p>
    <w:p>
      <w:pPr>
        <w:ind w:right="260" w:firstLine="8"/>
        <w:spacing w:after="0" w:line="342" w:lineRule="auto"/>
        <w:tabs>
          <w:tab w:leader="none" w:pos="244"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Exhibits</w:t>
      </w:r>
      <w:r>
        <w:rPr>
          <w:rFonts w:ascii="Arial" w:cs="Arial" w:eastAsia="Arial" w:hAnsi="Arial"/>
          <w:sz w:val="16"/>
          <w:szCs w:val="16"/>
          <w:color w:val="auto"/>
        </w:rPr>
        <w:t>. All exhibits filed with or incorporated by reference in the Registration Statement on Form S-1, as amended (SEC File No. 333-240098), are</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by reference into, and shall be deemed a part of, this Registration Statement, and the following exhibits are being filed herewith:</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3980"/>
              <w:spacing w:after="0"/>
              <w:rPr>
                <w:sz w:val="20"/>
                <w:szCs w:val="20"/>
                <w:color w:val="auto"/>
              </w:rPr>
            </w:pPr>
            <w:r>
              <w:rPr>
                <w:rFonts w:ascii="Arial" w:cs="Arial" w:eastAsia="Arial" w:hAnsi="Arial"/>
                <w:sz w:val="18"/>
                <w:szCs w:val="18"/>
                <w:b w:val="1"/>
                <w:bCs w:val="1"/>
                <w:color w:val="auto"/>
              </w:rPr>
              <w:t>EXHIBIT INDEX</w:t>
            </w:r>
          </w:p>
        </w:tc>
      </w:tr>
      <w:tr>
        <w:trPr>
          <w:trHeight w:val="210"/>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300" w:type="dxa"/>
            <w:vAlign w:val="bottom"/>
            <w:tcBorders>
              <w:bottom w:val="single" w:sz="8" w:color="auto"/>
            </w:tcBorders>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09"/>
        </w:trPr>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5.1</w:t>
            </w:r>
          </w:p>
        </w:tc>
        <w:tc>
          <w:tcPr>
            <w:tcW w:w="10300" w:type="dxa"/>
            <w:vAlign w:val="bottom"/>
            <w:shd w:val="clear" w:color="auto" w:fill="CCEEFF"/>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Opinion of White &amp; Case LLP.</w:t>
              </w:r>
            </w:hyperlink>
          </w:p>
        </w:tc>
      </w:tr>
      <w:tr>
        <w:trPr>
          <w:trHeight w:val="216"/>
        </w:trPr>
        <w:tc>
          <w:tcPr>
            <w:tcW w:w="94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300" w:type="dxa"/>
            <w:vAlign w:val="bottom"/>
          </w:tcPr>
          <w:p>
            <w:pPr>
              <w:ind w:left="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Consent of WithumSmith+Brown, PC.</w:t>
              </w:r>
            </w:hyperlink>
          </w:p>
        </w:tc>
      </w:tr>
      <w:tr>
        <w:trPr>
          <w:trHeight w:val="216"/>
        </w:trPr>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23.2</w:t>
            </w:r>
          </w:p>
        </w:tc>
        <w:tc>
          <w:tcPr>
            <w:tcW w:w="10300" w:type="dxa"/>
            <w:vAlign w:val="bottom"/>
            <w:shd w:val="clear" w:color="auto" w:fill="CCEEFF"/>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Consent of White &amp; Case LLP (included on Exhibit 5.1).</w:t>
              </w:r>
            </w:hyperlink>
          </w:p>
        </w:tc>
      </w:tr>
    </w:tbl>
    <w:p>
      <w:pPr>
        <w:ind w:left="1020" w:hanging="650"/>
        <w:spacing w:after="0"/>
        <w:tabs>
          <w:tab w:leader="none" w:pos="1020" w:val="left"/>
        </w:tabs>
        <w:numPr>
          <w:ilvl w:val="0"/>
          <w:numId w:val="3"/>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Power of Attorney (included on signature page to the Registrant’s Prior Registration Statement filed on July 24,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60"/>
        <w:spacing w:after="0" w:line="289"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San Francisco, CA, on the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2020.</w:t>
      </w:r>
    </w:p>
    <w:p>
      <w:pPr>
        <w:spacing w:after="0" w:line="34"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631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Dennis Ryan</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Financial Officer</w:t>
      </w:r>
    </w:p>
    <w:p>
      <w:pPr>
        <w:spacing w:after="0" w:line="278"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tbl>
      <w:tblPr>
        <w:tblLayout w:type="fixed"/>
        <w:tblInd w:w="0" w:type="dxa"/>
        <w:tblCellMar>
          <w:top w:w="0" w:type="dxa"/>
          <w:left w:w="0" w:type="dxa"/>
          <w:bottom w:w="0" w:type="dxa"/>
          <w:right w:w="0" w:type="dxa"/>
        </w:tblCellMar>
      </w:tblPr>
      <w:tr>
        <w:trPr>
          <w:trHeight w:val="190"/>
        </w:trPr>
        <w:tc>
          <w:tcPr>
            <w:tcW w:w="920" w:type="dxa"/>
            <w:vAlign w:val="bottom"/>
            <w:tcBorders>
              <w:top w:val="single" w:sz="8" w:color="auto"/>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rPr>
              <w:t>Name</w:t>
            </w:r>
          </w:p>
        </w:tc>
        <w:tc>
          <w:tcPr>
            <w:tcW w:w="2360" w:type="dxa"/>
            <w:vAlign w:val="bottom"/>
            <w:tcBorders>
              <w:top w:val="single" w:sz="8" w:color="auto"/>
              <w:bottom w:val="single" w:sz="8" w:color="auto"/>
            </w:tcBorders>
          </w:tcPr>
          <w:p>
            <w:pPr>
              <w:spacing w:after="0"/>
              <w:rPr>
                <w:sz w:val="16"/>
                <w:szCs w:val="16"/>
                <w:color w:val="auto"/>
              </w:rPr>
            </w:pPr>
          </w:p>
        </w:tc>
        <w:tc>
          <w:tcPr>
            <w:tcW w:w="2580" w:type="dxa"/>
            <w:vAlign w:val="bottom"/>
            <w:tcBorders>
              <w:top w:val="single" w:sz="8" w:color="auto"/>
              <w:bottom w:val="single" w:sz="8" w:color="auto"/>
            </w:tcBorders>
          </w:tcPr>
          <w:p>
            <w:pPr>
              <w:spacing w:after="0"/>
              <w:rPr>
                <w:sz w:val="16"/>
                <w:szCs w:val="16"/>
                <w:color w:val="auto"/>
              </w:rPr>
            </w:pPr>
          </w:p>
        </w:tc>
        <w:tc>
          <w:tcPr>
            <w:tcW w:w="2380" w:type="dxa"/>
            <w:vAlign w:val="bottom"/>
            <w:tcBorders>
              <w:top w:val="single" w:sz="8" w:color="auto"/>
              <w:bottom w:val="single" w:sz="8" w:color="auto"/>
            </w:tcBorders>
          </w:tcPr>
          <w:p>
            <w:pPr>
              <w:ind w:left="80"/>
              <w:spacing w:after="0" w:line="190" w:lineRule="exact"/>
              <w:rPr>
                <w:sz w:val="20"/>
                <w:szCs w:val="20"/>
                <w:color w:val="auto"/>
              </w:rPr>
            </w:pPr>
            <w:r>
              <w:rPr>
                <w:rFonts w:ascii="Arial" w:cs="Arial" w:eastAsia="Arial" w:hAnsi="Arial"/>
                <w:sz w:val="18"/>
                <w:szCs w:val="18"/>
                <w:b w:val="1"/>
                <w:bCs w:val="1"/>
                <w:color w:val="auto"/>
              </w:rPr>
              <w:t>Position</w:t>
            </w:r>
          </w:p>
        </w:tc>
        <w:tc>
          <w:tcPr>
            <w:tcW w:w="3000" w:type="dxa"/>
            <w:vAlign w:val="bottom"/>
            <w:tcBorders>
              <w:top w:val="single" w:sz="8" w:color="auto"/>
              <w:bottom w:val="single" w:sz="8" w:color="auto"/>
            </w:tcBorders>
          </w:tcPr>
          <w:p>
            <w:pPr>
              <w:jc w:val="center"/>
              <w:ind w:left="910"/>
              <w:spacing w:after="0" w:line="190" w:lineRule="exact"/>
              <w:rPr>
                <w:sz w:val="20"/>
                <w:szCs w:val="20"/>
                <w:color w:val="auto"/>
              </w:rPr>
            </w:pPr>
            <w:r>
              <w:rPr>
                <w:rFonts w:ascii="Arial" w:cs="Arial" w:eastAsia="Arial" w:hAnsi="Arial"/>
                <w:sz w:val="18"/>
                <w:szCs w:val="18"/>
                <w:b w:val="1"/>
                <w:bCs w:val="1"/>
                <w:color w:val="auto"/>
                <w:w w:val="92"/>
              </w:rPr>
              <w:t>Date</w:t>
            </w:r>
          </w:p>
        </w:tc>
      </w:tr>
      <w:tr>
        <w:trPr>
          <w:trHeight w:val="209"/>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spacing w:after="0"/>
              <w:rPr>
                <w:sz w:val="18"/>
                <w:szCs w:val="18"/>
                <w:color w:val="auto"/>
              </w:rPr>
            </w:pPr>
          </w:p>
        </w:tc>
        <w:tc>
          <w:tcPr>
            <w:tcW w:w="4960" w:type="dxa"/>
            <w:vAlign w:val="bottom"/>
            <w:gridSpan w:val="2"/>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3000" w:type="dxa"/>
            <w:vAlign w:val="bottom"/>
          </w:tcPr>
          <w:p>
            <w:pPr>
              <w:jc w:val="center"/>
              <w:ind w:left="890"/>
              <w:spacing w:after="0"/>
              <w:rPr>
                <w:sz w:val="20"/>
                <w:szCs w:val="20"/>
                <w:color w:val="auto"/>
              </w:rPr>
            </w:pPr>
            <w:r>
              <w:rPr>
                <w:rFonts w:ascii="Arial" w:cs="Arial" w:eastAsia="Arial" w:hAnsi="Arial"/>
                <w:sz w:val="18"/>
                <w:szCs w:val="18"/>
                <w:color w:val="auto"/>
                <w:w w:val="89"/>
              </w:rPr>
              <w:t>August 11, 2020</w:t>
            </w:r>
          </w:p>
        </w:tc>
      </w:tr>
      <w:tr>
        <w:trPr>
          <w:trHeight w:val="224"/>
        </w:trPr>
        <w:tc>
          <w:tcPr>
            <w:tcW w:w="3280" w:type="dxa"/>
            <w:vAlign w:val="bottom"/>
            <w:gridSpan w:val="2"/>
          </w:tcPr>
          <w:p>
            <w:pPr>
              <w:spacing w:after="0"/>
              <w:rPr>
                <w:sz w:val="20"/>
                <w:szCs w:val="20"/>
                <w:color w:val="auto"/>
              </w:rPr>
            </w:pPr>
            <w:r>
              <w:rPr>
                <w:rFonts w:ascii="Arial" w:cs="Arial" w:eastAsia="Arial" w:hAnsi="Arial"/>
                <w:sz w:val="18"/>
                <w:szCs w:val="18"/>
                <w:color w:val="auto"/>
              </w:rPr>
              <w:t>Jim Tananbaum</w:t>
            </w:r>
          </w:p>
        </w:tc>
        <w:tc>
          <w:tcPr>
            <w:tcW w:w="4960" w:type="dxa"/>
            <w:vAlign w:val="bottom"/>
            <w:gridSpan w:val="2"/>
          </w:tcPr>
          <w:p>
            <w:pPr>
              <w:ind w:left="120"/>
              <w:spacing w:after="0"/>
              <w:rPr>
                <w:sz w:val="20"/>
                <w:szCs w:val="20"/>
                <w:color w:val="auto"/>
              </w:rPr>
            </w:pPr>
            <w:r>
              <w:rPr>
                <w:rFonts w:ascii="Arial" w:cs="Arial" w:eastAsia="Arial" w:hAnsi="Arial"/>
                <w:sz w:val="18"/>
                <w:szCs w:val="18"/>
                <w:color w:val="auto"/>
              </w:rPr>
              <w:t>(Principal Executive Officer)</w:t>
            </w:r>
          </w:p>
        </w:tc>
        <w:tc>
          <w:tcPr>
            <w:tcW w:w="3000" w:type="dxa"/>
            <w:vAlign w:val="bottom"/>
          </w:tcPr>
          <w:p>
            <w:pPr>
              <w:spacing w:after="0"/>
              <w:rPr>
                <w:sz w:val="19"/>
                <w:szCs w:val="19"/>
                <w:color w:val="auto"/>
              </w:rPr>
            </w:pPr>
          </w:p>
        </w:tc>
      </w:tr>
      <w:tr>
        <w:trPr>
          <w:trHeight w:val="418"/>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Dennis Ryan</w:t>
            </w:r>
          </w:p>
        </w:tc>
        <w:tc>
          <w:tcPr>
            <w:tcW w:w="496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c>
          <w:tcPr>
            <w:tcW w:w="3000" w:type="dxa"/>
            <w:vAlign w:val="bottom"/>
          </w:tcPr>
          <w:p>
            <w:pPr>
              <w:jc w:val="center"/>
              <w:ind w:left="890"/>
              <w:spacing w:after="0"/>
              <w:rPr>
                <w:sz w:val="20"/>
                <w:szCs w:val="20"/>
                <w:color w:val="auto"/>
              </w:rPr>
            </w:pPr>
            <w:r>
              <w:rPr>
                <w:rFonts w:ascii="Arial" w:cs="Arial" w:eastAsia="Arial" w:hAnsi="Arial"/>
                <w:sz w:val="18"/>
                <w:szCs w:val="18"/>
                <w:color w:val="auto"/>
                <w:w w:val="89"/>
              </w:rPr>
              <w:t>August 11, 2020</w:t>
            </w:r>
          </w:p>
        </w:tc>
      </w:tr>
      <w:tr>
        <w:trPr>
          <w:trHeight w:val="224"/>
        </w:trPr>
        <w:tc>
          <w:tcPr>
            <w:tcW w:w="3280" w:type="dxa"/>
            <w:vAlign w:val="bottom"/>
            <w:gridSpan w:val="2"/>
          </w:tcPr>
          <w:p>
            <w:pPr>
              <w:spacing w:after="0"/>
              <w:rPr>
                <w:sz w:val="20"/>
                <w:szCs w:val="20"/>
                <w:color w:val="auto"/>
              </w:rPr>
            </w:pPr>
            <w:r>
              <w:rPr>
                <w:rFonts w:ascii="Arial" w:cs="Arial" w:eastAsia="Arial" w:hAnsi="Arial"/>
                <w:sz w:val="18"/>
                <w:szCs w:val="18"/>
                <w:color w:val="auto"/>
              </w:rPr>
              <w:t>Dennis Ryan</w:t>
            </w:r>
          </w:p>
        </w:tc>
        <w:tc>
          <w:tcPr>
            <w:tcW w:w="4960" w:type="dxa"/>
            <w:vAlign w:val="bottom"/>
            <w:gridSpan w:val="2"/>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3000" w:type="dxa"/>
            <w:vAlign w:val="bottom"/>
          </w:tcPr>
          <w:p>
            <w:pPr>
              <w:spacing w:after="0"/>
              <w:rPr>
                <w:sz w:val="19"/>
                <w:szCs w:val="19"/>
                <w:color w:val="auto"/>
              </w:rPr>
            </w:pPr>
          </w:p>
        </w:tc>
      </w:tr>
      <w:tr>
        <w:trPr>
          <w:trHeight w:val="418"/>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spacing w:after="0"/>
              <w:rPr>
                <w:sz w:val="24"/>
                <w:szCs w:val="24"/>
                <w:color w:val="auto"/>
              </w:rPr>
            </w:pPr>
          </w:p>
        </w:tc>
        <w:tc>
          <w:tcPr>
            <w:tcW w:w="4960" w:type="dxa"/>
            <w:vAlign w:val="bottom"/>
            <w:gridSpan w:val="2"/>
          </w:tcPr>
          <w:p>
            <w:pPr>
              <w:ind w:left="120"/>
              <w:spacing w:after="0"/>
              <w:rPr>
                <w:sz w:val="20"/>
                <w:szCs w:val="20"/>
                <w:color w:val="auto"/>
              </w:rPr>
            </w:pPr>
            <w:r>
              <w:rPr>
                <w:rFonts w:ascii="Arial" w:cs="Arial" w:eastAsia="Arial" w:hAnsi="Arial"/>
                <w:sz w:val="18"/>
                <w:szCs w:val="18"/>
                <w:color w:val="auto"/>
              </w:rPr>
              <w:t>Vice President and Director</w:t>
            </w:r>
          </w:p>
        </w:tc>
        <w:tc>
          <w:tcPr>
            <w:tcW w:w="3000" w:type="dxa"/>
            <w:vAlign w:val="bottom"/>
          </w:tcPr>
          <w:p>
            <w:pPr>
              <w:jc w:val="center"/>
              <w:ind w:left="890"/>
              <w:spacing w:after="0"/>
              <w:rPr>
                <w:sz w:val="20"/>
                <w:szCs w:val="20"/>
                <w:color w:val="auto"/>
              </w:rPr>
            </w:pPr>
            <w:r>
              <w:rPr>
                <w:rFonts w:ascii="Arial" w:cs="Arial" w:eastAsia="Arial" w:hAnsi="Arial"/>
                <w:sz w:val="18"/>
                <w:szCs w:val="18"/>
                <w:color w:val="auto"/>
                <w:w w:val="89"/>
              </w:rPr>
              <w:t>August 11, 2020</w:t>
            </w:r>
          </w:p>
        </w:tc>
      </w:tr>
      <w:tr>
        <w:trPr>
          <w:trHeight w:val="224"/>
        </w:trPr>
        <w:tc>
          <w:tcPr>
            <w:tcW w:w="3280" w:type="dxa"/>
            <w:vAlign w:val="bottom"/>
            <w:gridSpan w:val="2"/>
          </w:tcPr>
          <w:p>
            <w:pPr>
              <w:spacing w:after="0"/>
              <w:rPr>
                <w:sz w:val="20"/>
                <w:szCs w:val="20"/>
                <w:color w:val="auto"/>
              </w:rPr>
            </w:pPr>
            <w:r>
              <w:rPr>
                <w:rFonts w:ascii="Arial" w:cs="Arial" w:eastAsia="Arial" w:hAnsi="Arial"/>
                <w:sz w:val="18"/>
                <w:szCs w:val="18"/>
                <w:color w:val="auto"/>
              </w:rPr>
              <w:t>Michael Rome</w:t>
            </w:r>
          </w:p>
        </w:tc>
        <w:tc>
          <w:tcPr>
            <w:tcW w:w="2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8"/>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spacing w:after="0"/>
              <w:rPr>
                <w:sz w:val="24"/>
                <w:szCs w:val="24"/>
                <w:color w:val="auto"/>
              </w:rPr>
            </w:pPr>
          </w:p>
        </w:tc>
        <w:tc>
          <w:tcPr>
            <w:tcW w:w="4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000" w:type="dxa"/>
            <w:vAlign w:val="bottom"/>
          </w:tcPr>
          <w:p>
            <w:pPr>
              <w:jc w:val="center"/>
              <w:ind w:left="890"/>
              <w:spacing w:after="0"/>
              <w:rPr>
                <w:sz w:val="20"/>
                <w:szCs w:val="20"/>
                <w:color w:val="auto"/>
              </w:rPr>
            </w:pPr>
            <w:r>
              <w:rPr>
                <w:rFonts w:ascii="Arial" w:cs="Arial" w:eastAsia="Arial" w:hAnsi="Arial"/>
                <w:sz w:val="18"/>
                <w:szCs w:val="18"/>
                <w:color w:val="auto"/>
                <w:w w:val="89"/>
              </w:rPr>
              <w:t>August 11, 2020</w:t>
            </w:r>
          </w:p>
        </w:tc>
      </w:tr>
      <w:tr>
        <w:trPr>
          <w:trHeight w:val="224"/>
        </w:trPr>
        <w:tc>
          <w:tcPr>
            <w:tcW w:w="3280" w:type="dxa"/>
            <w:vAlign w:val="bottom"/>
            <w:gridSpan w:val="2"/>
          </w:tcPr>
          <w:p>
            <w:pPr>
              <w:spacing w:after="0"/>
              <w:rPr>
                <w:sz w:val="20"/>
                <w:szCs w:val="20"/>
                <w:color w:val="auto"/>
              </w:rPr>
            </w:pPr>
            <w:r>
              <w:rPr>
                <w:rFonts w:ascii="Arial" w:cs="Arial" w:eastAsia="Arial" w:hAnsi="Arial"/>
                <w:sz w:val="18"/>
                <w:szCs w:val="18"/>
                <w:color w:val="auto"/>
              </w:rPr>
              <w:t>Vikram Bajaj</w:t>
            </w:r>
          </w:p>
        </w:tc>
        <w:tc>
          <w:tcPr>
            <w:tcW w:w="2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Ryan</w:t>
            </w:r>
          </w:p>
        </w:tc>
        <w:tc>
          <w:tcPr>
            <w:tcW w:w="2580" w:type="dxa"/>
            <w:vAlign w:val="bottom"/>
            <w:tcBorders>
              <w:bottom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2360" w:type="dxa"/>
            <w:vAlign w:val="bottom"/>
          </w:tcPr>
          <w:p>
            <w:pPr>
              <w:spacing w:after="0" w:line="195" w:lineRule="exact"/>
              <w:rPr>
                <w:sz w:val="20"/>
                <w:szCs w:val="20"/>
                <w:color w:val="auto"/>
              </w:rPr>
            </w:pPr>
            <w:r>
              <w:rPr>
                <w:rFonts w:ascii="Arial" w:cs="Arial" w:eastAsia="Arial" w:hAnsi="Arial"/>
                <w:sz w:val="18"/>
                <w:szCs w:val="18"/>
                <w:color w:val="auto"/>
              </w:rPr>
              <w:t>Dennis Ryan</w:t>
            </w:r>
          </w:p>
        </w:tc>
        <w:tc>
          <w:tcPr>
            <w:tcW w:w="2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00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Attorney-in-Fact</w:t>
            </w:r>
          </w:p>
        </w:tc>
        <w:tc>
          <w:tcPr>
            <w:tcW w:w="2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182"/>
        </w:trPr>
        <w:tc>
          <w:tcPr>
            <w:tcW w:w="9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79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154305</wp:posOffset>
            </wp:positionV>
            <wp:extent cx="132842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84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August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-121920</wp:posOffset>
            </wp:positionV>
            <wp:extent cx="1329055" cy="9512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9055" cy="95123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2560"/>
        <w:spacing w:after="0" w:line="269" w:lineRule="auto"/>
        <w:rPr>
          <w:sz w:val="20"/>
          <w:szCs w:val="20"/>
          <w:color w:val="auto"/>
        </w:rPr>
      </w:pPr>
      <w:r>
        <w:rPr>
          <w:rFonts w:ascii="Arial" w:cs="Arial" w:eastAsia="Arial" w:hAnsi="Arial"/>
          <w:sz w:val="17"/>
          <w:szCs w:val="17"/>
          <w:color w:val="auto"/>
        </w:rPr>
        <w:t>We have acted as New York counsel to FS Development Corp., a corporation organized under the laws of Delaware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by the Company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pursuant to Rule 462(b) under the Securities Act of 1933, as amended (the “</w:t>
      </w:r>
      <w:r>
        <w:rPr>
          <w:rFonts w:ascii="Arial" w:cs="Arial" w:eastAsia="Arial" w:hAnsi="Arial"/>
          <w:sz w:val="17"/>
          <w:szCs w:val="17"/>
          <w:u w:val="single" w:color="auto"/>
          <w:color w:val="auto"/>
        </w:rPr>
        <w:t>Securities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of a registration statement on Form S-1 (File No. 333-240098) (the “</w:t>
      </w:r>
      <w:r>
        <w:rPr>
          <w:rFonts w:ascii="Arial" w:cs="Arial" w:eastAsia="Arial" w:hAnsi="Arial"/>
          <w:sz w:val="17"/>
          <w:szCs w:val="17"/>
          <w:u w:val="single" w:color="auto"/>
          <w:color w:val="auto"/>
        </w:rPr>
        <w:t>Rule 462(b) Registration Statement</w:t>
      </w:r>
      <w:r>
        <w:rPr>
          <w:rFonts w:ascii="Arial" w:cs="Arial" w:eastAsia="Arial" w:hAnsi="Arial"/>
          <w:sz w:val="17"/>
          <w:szCs w:val="17"/>
          <w:color w:val="auto"/>
        </w:rPr>
        <w:t>”) relating to the registration under the Securities Act of the offer and sale by the Company of 575,000 shares of the Company’s Class A common stock, par value $0.0001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including up to 75,000 shares of Common Stock which may be purchased from the Company upon the exercise of the over-allotment option to purchase additional shares as set forth in the Underwriting Agreement (as defined below). The 462(b) Registration Statement relates to the Company’s Registration Statement on Form S-1, as amended (File No. 333-240098)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initially filed by the Company on July 24, 2020 and declared effective by the Commission on August 11, 2020.</w:t>
      </w:r>
    </w:p>
    <w:p>
      <w:pPr>
        <w:spacing w:after="0" w:line="74" w:lineRule="exact"/>
        <w:rPr>
          <w:sz w:val="20"/>
          <w:szCs w:val="20"/>
          <w:color w:val="auto"/>
        </w:rPr>
      </w:pPr>
    </w:p>
    <w:p>
      <w:pPr>
        <w:jc w:val="both"/>
        <w:ind w:right="2580"/>
        <w:spacing w:after="0" w:line="257" w:lineRule="auto"/>
        <w:rPr>
          <w:sz w:val="20"/>
          <w:szCs w:val="20"/>
          <w:color w:val="auto"/>
        </w:rPr>
      </w:pPr>
      <w:r>
        <w:rPr>
          <w:rFonts w:ascii="Arial" w:cs="Arial" w:eastAsia="Arial" w:hAnsi="Arial"/>
          <w:sz w:val="18"/>
          <w:szCs w:val="18"/>
          <w:color w:val="auto"/>
        </w:rPr>
        <w:t>This opinion letter is rendered in accordance with the requirements of Item 601(b)(5) of Regulation S–K under the Securities Act, and no opinion is expressed herein as to any matter pertaining to the contents of the Registration Statement or related prospectus, any prospectus filed pursuant to Rule 424(b) with respect thereto or the 462(b) Registration Statement, other than as expressly stated herein with respect to the issuance of the shares of Common Stock.</w:t>
      </w:r>
    </w:p>
    <w:p>
      <w:pPr>
        <w:spacing w:after="0" w:line="80" w:lineRule="exact"/>
        <w:rPr>
          <w:sz w:val="20"/>
          <w:szCs w:val="20"/>
          <w:color w:val="auto"/>
        </w:rPr>
      </w:pPr>
    </w:p>
    <w:p>
      <w:pPr>
        <w:jc w:val="both"/>
        <w:ind w:right="2560"/>
        <w:spacing w:after="0" w:line="259" w:lineRule="auto"/>
        <w:rPr>
          <w:sz w:val="20"/>
          <w:szCs w:val="20"/>
          <w:color w:val="auto"/>
        </w:rPr>
      </w:pPr>
      <w:r>
        <w:rPr>
          <w:rFonts w:ascii="Arial" w:cs="Arial" w:eastAsia="Arial" w:hAnsi="Arial"/>
          <w:sz w:val="18"/>
          <w:szCs w:val="18"/>
          <w:color w:val="auto"/>
        </w:rPr>
        <w:t>In connection with our opinion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 set forth in this opinion letter:</w:t>
      </w:r>
    </w:p>
    <w:p>
      <w:pPr>
        <w:spacing w:after="0" w:line="29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Registration Statement and the 462(b) Registration Statement;</w:t>
      </w:r>
    </w:p>
    <w:p>
      <w:pPr>
        <w:spacing w:after="0" w:line="225" w:lineRule="exact"/>
        <w:rPr>
          <w:rFonts w:ascii="Arial" w:cs="Arial" w:eastAsia="Arial" w:hAnsi="Arial"/>
          <w:sz w:val="18"/>
          <w:szCs w:val="18"/>
          <w:color w:val="auto"/>
        </w:rPr>
      </w:pPr>
    </w:p>
    <w:p>
      <w:pPr>
        <w:jc w:val="both"/>
        <w:ind w:left="980" w:right="256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form of underwriting agreement to be entered into between the Company and the representative on behalf of each of the several underwriters named in Schedule A thereto, filed as Exhibit 1.1 to the Registration Statement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specimen Common Stock certificate, filed as Exhibit 4.1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5986145</wp:posOffset>
            </wp:positionH>
            <wp:positionV relativeFrom="page">
              <wp:posOffset>586105</wp:posOffset>
            </wp:positionV>
            <wp:extent cx="1329055"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August 11, 2020</w:t>
      </w:r>
    </w:p>
    <w:p>
      <w:pPr>
        <w:spacing w:after="0" w:line="225" w:lineRule="exact"/>
        <w:rPr>
          <w:sz w:val="20"/>
          <w:szCs w:val="20"/>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Company, certified by the Secretary of State of the State of Delaware on June 25, 2020, filed as Exhibit 3.1 to the Registration Statement;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the Certificate of Amendment to the Certificate of Incorporation of the Company, certified by the Secretary of State of the State of Delaware on June 29, 2020, filed as Exhibit 3.2 to the Registration Statement;</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Company to be in effect immediately prior to the consummation of the offering of the shares of Common Stock, a form of which is filed as Exhibit 3.3 to the Registration Statement (the “</w:t>
      </w:r>
      <w:r>
        <w:rPr>
          <w:rFonts w:ascii="Arial" w:cs="Arial" w:eastAsia="Arial" w:hAnsi="Arial"/>
          <w:sz w:val="18"/>
          <w:szCs w:val="18"/>
          <w:u w:val="single" w:color="auto"/>
          <w:color w:val="auto"/>
        </w:rPr>
        <w:t>Amended 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Incorporation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the Bylaws of the Company as in effect on August 11, 2020, filed as Exhibit 3.4 to the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copies of Resolutions of the Board of Directors of the Company adopted on June 30, 2020 and July 24, 2020;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a certificate of the Secretary of State of the State of Delaware, dated the date hereof, certifying the existence and good standing of the Company under the laws of the State of Delaware.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 In addition, in rendering the opinions expressed below, we have assumed that the Registration Statement has been declared effective by the Commission and such effectiveness shall not have been terminated or rescinded.</w:t>
      </w:r>
    </w:p>
    <w:p>
      <w:pPr>
        <w:spacing w:after="0" w:line="1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upon the foregoing assumptions and assumptions set forth below, and subject to the qualifications and limitations stated herein, having considered such questions of law as we have deemed necessary as a basis for the opinion expressed below, we are of the opinion that:</w:t>
      </w:r>
    </w:p>
    <w:p>
      <w:pPr>
        <w:spacing w:after="0" w:line="146" w:lineRule="exact"/>
        <w:rPr>
          <w:sz w:val="20"/>
          <w:szCs w:val="20"/>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 the 462(b) Registration Statement becomes effective under the Securities Act, the Amended Certificate of Incorporation has been filed with the Secretary of State of the State of Delaware and the shares of Common Stock have been delivered by the Company pursuant to the Underwriting Agreement against the payment of the consideration set forth in the Underwriting Agreement, the shares of Common Stock will be validly issued, fully paid and nonassessable.</w:t>
      </w:r>
    </w:p>
    <w:p>
      <w:pPr>
        <w:spacing w:after="0" w:line="206"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The opinion expressed above is limited to questions arising under the law of the State of New York and the Delaware General Corporation Law. We do not express any opinion as to the laws of any other jurisdiction.</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5986145</wp:posOffset>
            </wp:positionH>
            <wp:positionV relativeFrom="page">
              <wp:posOffset>517525</wp:posOffset>
            </wp:positionV>
            <wp:extent cx="1329055"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August 11, 2020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opinion letter is for your benefit in connection with the Registration Statement and may be relied upon by you and by persons entitled to rely upon it pursuant to the applicable provisions of the Securities Act. This opinion letter is provided solely in connection with the distribution of the shares of Common Stock pursuant to the Registration Statement and is not to be relied upon for any other purpose.</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 expressed in this opinion letter.</w:t>
      </w:r>
    </w:p>
    <w:p>
      <w:pPr>
        <w:spacing w:after="0" w:line="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hereby consent to the filing of this opinion letter as Exhibit 5.1 to the 462(b) Registration Statement and to the reference to our firm as counsel for the Company that has passed on the validity of the shares of Common Stock appearing under the caption “Legal Matters” in the prospectus forming part of the Registration Statement or any prospectus filed pursuant to Rule 424(b) with respect thereto. In giving this consent, we do not thereby admit that we are within the category of persons whose consent is required under Section 7 of the Securities Act or the rules and regulations of the Commission thereunder.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White &amp; Case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JR:CD:RB:DN:KW:JL</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S-1, of our report dated July 24, 2020, relating to the balance sheet of FS Development Corp. as of June 30, 2020, and the related statements of operations, changes in stockholder’s equity and cash flows for the period from June 25, 2020 (inception) through June 30, 2020, appearing in Amendment No. 1 to the Registration Statement on Form S-1, File No. 333-240098 and to the reference to our Firm under the caption “Experts” in the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11, 2020</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24"/>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4"/>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2020-08-11T20:57:34Z</dcterms:created>
  <dcterms:modified xsi:type="dcterms:W3CDTF">2020-08-11T20:57:34Z</dcterms:modified>
</cp:coreProperties>
</file>