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0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29,659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86,384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9.86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29,659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2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29,659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9.86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following September 1, 2021, subject to the Reporting Person's continued service on each such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following July 1, 2021, subject to the Reporting Person's continued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52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2025-07-01T15:56:06Z</dcterms:created>
  <dcterms:modified xsi:type="dcterms:W3CDTF">2025-07-01T15:56:06Z</dcterms:modified>
</cp:coreProperties>
</file>