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4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497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04,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36870G105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2299699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5"/>
          <w:szCs w:val="15"/>
          <w:color w:val="auto"/>
        </w:rPr>
        <w:t>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36870G105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Braden M Leonard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United States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2299699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2329699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5.4%</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Gemini Therapeutics, Inc.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560"/>
        <w:spacing w:after="0" w:line="260" w:lineRule="auto"/>
        <w:rPr>
          <w:rFonts w:ascii="Arial" w:cs="Arial" w:eastAsia="Arial" w:hAnsi="Arial"/>
          <w:sz w:val="18"/>
          <w:szCs w:val="18"/>
          <w:color w:val="auto"/>
        </w:rPr>
      </w:pPr>
      <w:r>
        <w:rPr>
          <w:rFonts w:ascii="Arial" w:cs="Arial" w:eastAsia="Arial" w:hAnsi="Arial"/>
          <w:sz w:val="18"/>
          <w:szCs w:val="18"/>
          <w:color w:val="auto"/>
        </w:rPr>
        <w:t>In January 2022, the Company became a remote-first company. Accordingly, the Company does not currently maintain a physical headquarters.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BML Investment Partners,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65 E Cedar - Suite 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Zionsville, IN 46077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36870G105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2,329,699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2,299,699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2,299,699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BML Capital Management, LLC</w:t>
      </w:r>
    </w:p>
    <w:p>
      <w:pPr>
        <w:sectPr>
          <w:pgSz w:w="11900" w:h="16838" w:orient="portrait"/>
          <w:cols w:equalWidth="0" w:num="1">
            <w:col w:w="11200"/>
          </w:cols>
          <w:pgMar w:left="320" w:top="756"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ectPr>
          <w:pgSz w:w="11900" w:h="16838" w:orient="portrait"/>
          <w:cols w:equalWidth="0" w:num="3">
            <w:col w:w="4920" w:space="720"/>
            <w:col w:w="260" w:space="80"/>
            <w:col w:w="5220"/>
          </w:cols>
          <w:pgMar w:left="320" w:top="7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200" w:lineRule="exact"/>
        <w:rPr>
          <w:sz w:val="20"/>
          <w:szCs w:val="20"/>
          <w:color w:val="auto"/>
        </w:rPr>
      </w:pPr>
    </w:p>
    <w:p>
      <w:pPr>
        <w:sectPr>
          <w:pgSz w:w="11900" w:h="16838" w:orient="portrait"/>
          <w:cols w:equalWidth="0" w:num="3">
            <w:col w:w="4920" w:space="720"/>
            <w:col w:w="260" w:space="80"/>
            <w:col w:w="5220"/>
          </w:cols>
          <w:pgMar w:left="320" w:top="756" w:right="3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860" w:hanging="849"/>
        <w:spacing w:after="0" w:line="261"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BML Investment Partners, L.P. is a Delaware limited partnership whose sole general partner is BML Capital Management, LLC. The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2022-03-10T12:17:54Z</dcterms:created>
  <dcterms:modified xsi:type="dcterms:W3CDTF">2022-03-10T12:17:54Z</dcterms:modified>
</cp:coreProperties>
</file>