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1252855</wp:posOffset>
            </wp:positionH>
            <wp:positionV relativeFrom="page">
              <wp:posOffset>0</wp:posOffset>
            </wp:positionV>
            <wp:extent cx="6520180" cy="3279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0180" cy="3279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40"/>
          <w:szCs w:val="40"/>
          <w:color w:val="252525"/>
        </w:rPr>
        <w:t>2025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ind w:right="-6"/>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566420</wp:posOffset>
                </wp:positionH>
                <wp:positionV relativeFrom="page">
                  <wp:posOffset>474345</wp:posOffset>
                </wp:positionV>
                <wp:extent cx="66389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89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6pt,37.35pt" to="567.35pt,37.3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566420</wp:posOffset>
                </wp:positionH>
                <wp:positionV relativeFrom="page">
                  <wp:posOffset>493395</wp:posOffset>
                </wp:positionV>
                <wp:extent cx="66389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89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6pt,38.85pt" to="567.35pt,38.85pt" o:allowincell="f" strokecolor="#000000" strokeweight="0.75pt">
                <w10:wrap anchorx="page" anchory="page"/>
              </v:line>
            </w:pict>
          </mc:Fallback>
        </mc:AlternateContent>
        <w:t>UNITED STATES</w:t>
      </w:r>
    </w:p>
    <w:p>
      <w:pPr>
        <w:spacing w:after="0" w:line="3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64770</wp:posOffset>
                </wp:positionV>
                <wp:extent cx="11518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18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1pt" to="306.7pt,5.1pt" o:allowincell="f" strokecolor="#000000" strokeweight="1pt"/>
            </w:pict>
          </mc:Fallback>
        </mc:AlternateContent>
      </w:r>
    </w:p>
    <w:p>
      <w:pPr>
        <w:spacing w:after="0" w:line="10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90170</wp:posOffset>
                </wp:positionV>
                <wp:extent cx="115189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18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1pt" to="306.7pt,7.1pt" o:allowincell="f" strokecolor="#000000" strokeweight="1pt"/>
            </w:pict>
          </mc:Fallback>
        </mc:AlternateContent>
      </w:r>
    </w:p>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23" w:lineRule="exact"/>
        <w:rPr>
          <w:sz w:val="20"/>
          <w:szCs w:val="20"/>
          <w:color w:val="auto"/>
        </w:rPr>
      </w:pPr>
    </w:p>
    <w:p>
      <w:pPr>
        <w:ind w:left="487" w:hanging="487"/>
        <w:spacing w:after="0"/>
        <w:tabs>
          <w:tab w:leader="none" w:pos="487" w:val="left"/>
        </w:tabs>
        <w:numPr>
          <w:ilvl w:val="0"/>
          <w:numId w:val="1"/>
        </w:numPr>
        <w:rPr>
          <w:rFonts w:ascii="Segoe UI" w:cs="Segoe UI" w:eastAsia="Segoe UI" w:hAnsi="Segoe UI"/>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2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5" w:lineRule="exact"/>
        <w:rPr>
          <w:sz w:val="20"/>
          <w:szCs w:val="20"/>
          <w:color w:val="auto"/>
        </w:rPr>
      </w:pPr>
    </w:p>
    <w:p>
      <w:pPr>
        <w:ind w:left="487" w:hanging="487"/>
        <w:spacing w:after="0"/>
        <w:tabs>
          <w:tab w:leader="none" w:pos="487" w:val="left"/>
        </w:tabs>
        <w:numPr>
          <w:ilvl w:val="0"/>
          <w:numId w:val="2"/>
        </w:numPr>
        <w:rPr>
          <w:rFonts w:ascii="Segoe UI" w:cs="Segoe UI" w:eastAsia="Segoe UI" w:hAnsi="Segoe UI"/>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 w:lineRule="exact"/>
        <w:rPr>
          <w:sz w:val="20"/>
          <w:szCs w:val="20"/>
          <w:color w:val="auto"/>
        </w:rPr>
      </w:pPr>
    </w:p>
    <w:p>
      <w:pPr>
        <w:ind w:left="3347"/>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___________to___________</w:t>
      </w:r>
    </w:p>
    <w:p>
      <w:pPr>
        <w:spacing w:after="0" w:line="3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Commission file number: 001-39438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80645</wp:posOffset>
                </wp:positionV>
                <wp:extent cx="115189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18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35pt" to="306.7pt,6.35pt" o:allowincell="f" strokecolor="#000000" strokeweight="1pt"/>
            </w:pict>
          </mc:Fallback>
        </mc:AlternateContent>
      </w:r>
    </w:p>
    <w:p>
      <w:pPr>
        <w:spacing w:after="0" w:line="1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34"/>
          <w:szCs w:val="34"/>
          <w:b w:val="1"/>
          <w:bCs w:val="1"/>
          <w:color w:val="auto"/>
        </w:rPr>
        <w:t>Disc Medicine, Inc.</w:t>
      </w:r>
    </w:p>
    <w:p>
      <w:pPr>
        <w:spacing w:after="0" w:line="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71755</wp:posOffset>
                </wp:positionV>
                <wp:extent cx="11518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18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65pt" to="306.7pt,5.65pt" o:allowincell="f" strokecolor="#000000" strokeweight="1pt"/>
            </w:pict>
          </mc:Fallback>
        </mc:AlternateConten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4320" w:type="dxa"/>
            <w:vAlign w:val="bottom"/>
          </w:tcPr>
          <w:p>
            <w:pPr>
              <w:jc w:val="center"/>
              <w:ind w:left="82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85-1612845</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20" w:type="dxa"/>
            <w:vAlign w:val="bottom"/>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(I.R.S. Employer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20" w:type="dxa"/>
            <w:vAlign w:val="bottom"/>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Identification No.)</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320" w:type="dxa"/>
            <w:vAlign w:val="bottom"/>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w w:val="99"/>
              </w:rPr>
              <w:t>321 Arsenal Street, Suite 101</w:t>
            </w: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20" w:type="dxa"/>
            <w:vAlign w:val="bottom"/>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w w:val="99"/>
              </w:rPr>
              <w:t>Watertown, Massachusetts</w:t>
            </w: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02472</w:t>
            </w: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w w:val="99"/>
              </w:rPr>
              <w:t>(Address of principal executive offices)</w:t>
            </w: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60" w:type="dxa"/>
            <w:vAlign w:val="bottom"/>
            <w:gridSpan w:val="4"/>
          </w:tcPr>
          <w:p>
            <w:pPr>
              <w:jc w:val="center"/>
              <w:ind w:left="2204"/>
              <w:spacing w:after="0"/>
              <w:rPr>
                <w:sz w:val="20"/>
                <w:szCs w:val="20"/>
                <w:color w:val="auto"/>
              </w:rPr>
            </w:pPr>
            <w:r>
              <w:rPr>
                <w:rFonts w:ascii="Times New Roman" w:cs="Times New Roman" w:eastAsia="Times New Roman" w:hAnsi="Times New Roman"/>
                <w:sz w:val="15"/>
                <w:szCs w:val="15"/>
                <w:b w:val="1"/>
                <w:bCs w:val="1"/>
                <w:color w:val="auto"/>
                <w:w w:val="99"/>
              </w:rPr>
              <w:t>Registrant’s telephone number, including area code: (617) 674-9274</w:t>
            </w: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60" w:type="dxa"/>
            <w:vAlign w:val="bottom"/>
            <w:gridSpan w:val="3"/>
          </w:tcPr>
          <w:p>
            <w:pPr>
              <w:jc w:val="center"/>
              <w:ind w:left="320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2840" w:type="dxa"/>
            <w:vAlign w:val="bottom"/>
            <w:gridSpan w:val="2"/>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32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Name of each exchange</w:t>
            </w: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tcPr>
          <w:p>
            <w:pPr>
              <w:jc w:val="center"/>
              <w:ind w:right="524"/>
              <w:spacing w:after="0"/>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2840" w:type="dxa"/>
            <w:vAlign w:val="bottom"/>
            <w:tcBorders>
              <w:bottom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w w:val="99"/>
              </w:rPr>
              <w:t>Symbol(s)</w:t>
            </w:r>
          </w:p>
        </w:tc>
        <w:tc>
          <w:tcPr>
            <w:tcW w:w="32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on which registered</w:t>
            </w:r>
          </w:p>
        </w:tc>
        <w:tc>
          <w:tcPr>
            <w:tcW w:w="0" w:type="dxa"/>
            <w:vAlign w:val="bottom"/>
          </w:tcPr>
          <w:p>
            <w:pPr>
              <w:spacing w:after="0"/>
              <w:rPr>
                <w:sz w:val="1"/>
                <w:szCs w:val="1"/>
                <w:color w:val="auto"/>
              </w:rPr>
            </w:pPr>
          </w:p>
        </w:tc>
      </w:tr>
      <w:tr>
        <w:trPr>
          <w:trHeight w:val="185"/>
        </w:trPr>
        <w:tc>
          <w:tcPr>
            <w:tcW w:w="4320" w:type="dxa"/>
            <w:vAlign w:val="bottom"/>
          </w:tcPr>
          <w:p>
            <w:pPr>
              <w:jc w:val="center"/>
              <w:ind w:right="524"/>
              <w:spacing w:after="0"/>
              <w:rPr>
                <w:sz w:val="20"/>
                <w:szCs w:val="20"/>
                <w:color w:val="auto"/>
              </w:rPr>
            </w:pPr>
            <w:r>
              <w:rPr>
                <w:rFonts w:ascii="Times New Roman" w:cs="Times New Roman" w:eastAsia="Times New Roman" w:hAnsi="Times New Roman"/>
                <w:sz w:val="15"/>
                <w:szCs w:val="15"/>
                <w:b w:val="1"/>
                <w:bCs w:val="1"/>
                <w:color w:val="auto"/>
              </w:rPr>
              <w:t>Common Stock, $0.0001 Par Value</w:t>
            </w:r>
          </w:p>
        </w:tc>
        <w:tc>
          <w:tcPr>
            <w:tcW w:w="2840" w:type="dxa"/>
            <w:vAlign w:val="bottom"/>
            <w:gridSpan w:val="2"/>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IRON</w:t>
            </w:r>
          </w:p>
        </w:tc>
        <w:tc>
          <w:tcPr>
            <w:tcW w:w="32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The Nasdaq Global Market</w:t>
            </w:r>
          </w:p>
        </w:tc>
        <w:tc>
          <w:tcPr>
            <w:tcW w:w="0" w:type="dxa"/>
            <w:vAlign w:val="bottom"/>
          </w:tcPr>
          <w:p>
            <w:pPr>
              <w:spacing w:after="0"/>
              <w:rPr>
                <w:sz w:val="1"/>
                <w:szCs w:val="1"/>
                <w:color w:val="auto"/>
              </w:rPr>
            </w:pPr>
          </w:p>
        </w:tc>
      </w:tr>
      <w:tr>
        <w:trPr>
          <w:trHeight w:val="192"/>
        </w:trPr>
        <w:tc>
          <w:tcPr>
            <w:tcW w:w="7160" w:type="dxa"/>
            <w:vAlign w:val="bottom"/>
            <w:gridSpan w:val="3"/>
          </w:tcPr>
          <w:p>
            <w:pPr>
              <w:jc w:val="center"/>
              <w:ind w:left="320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2840" w:type="dxa"/>
            <w:vAlign w:val="bottom"/>
            <w:gridSpan w:val="2"/>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w w:val="95"/>
              </w:rPr>
              <w:t>None</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432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040" w:type="dxa"/>
            <w:vAlign w:val="bottom"/>
            <w:gridSpan w:val="2"/>
          </w:tcPr>
          <w:p>
            <w:pPr>
              <w:spacing w:after="0"/>
              <w:rPr>
                <w:sz w:val="7"/>
                <w:szCs w:val="7"/>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w:cs="Segoe UI" w:eastAsia="Segoe UI" w:hAnsi="Segoe UI"/>
                <w:sz w:val="16"/>
                <w:szCs w:val="16"/>
                <w:color w:val="auto"/>
              </w:rPr>
              <w:t>շ</w:t>
            </w: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ն</w:t>
            </w:r>
          </w:p>
        </w:tc>
        <w:tc>
          <w:tcPr>
            <w:tcW w:w="0" w:type="dxa"/>
            <w:vAlign w:val="bottom"/>
          </w:tcPr>
          <w:p>
            <w:pPr>
              <w:spacing w:after="0"/>
              <w:rPr>
                <w:sz w:val="1"/>
                <w:szCs w:val="1"/>
                <w:color w:val="auto"/>
              </w:rPr>
            </w:pPr>
          </w:p>
        </w:tc>
      </w:tr>
      <w:tr>
        <w:trPr>
          <w:trHeight w:val="275"/>
        </w:trPr>
        <w:tc>
          <w:tcPr>
            <w:tcW w:w="816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1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816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w:cs="Segoe UI" w:eastAsia="Segoe UI" w:hAnsi="Segoe UI"/>
                <w:sz w:val="16"/>
                <w:szCs w:val="16"/>
                <w:color w:val="auto"/>
              </w:rPr>
              <w:t>ն</w:t>
            </w:r>
          </w:p>
        </w:tc>
        <w:tc>
          <w:tcPr>
            <w:tcW w:w="1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շ</w:t>
            </w:r>
          </w:p>
        </w:tc>
        <w:tc>
          <w:tcPr>
            <w:tcW w:w="0" w:type="dxa"/>
            <w:vAlign w:val="bottom"/>
          </w:tcPr>
          <w:p>
            <w:pPr>
              <w:spacing w:after="0"/>
              <w:rPr>
                <w:sz w:val="1"/>
                <w:szCs w:val="1"/>
                <w:color w:val="auto"/>
              </w:rPr>
            </w:pPr>
          </w:p>
        </w:tc>
      </w:tr>
    </w:tbl>
    <w:p>
      <w:pPr>
        <w:jc w:val="both"/>
        <w:ind w:left="7" w:firstLine="490"/>
        <w:spacing w:after="0" w:line="263"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ind w:left="7"/>
        <w:spacing w:after="0"/>
        <w:tabs>
          <w:tab w:leader="none" w:pos="1427" w:val="left"/>
          <w:tab w:leader="none" w:pos="2067" w:val="left"/>
        </w:tabs>
        <w:rPr>
          <w:sz w:val="20"/>
          <w:szCs w:val="20"/>
          <w:color w:val="auto"/>
        </w:rPr>
      </w:pPr>
      <w:r>
        <w:rPr>
          <w:rFonts w:ascii="Times New Roman" w:cs="Times New Roman" w:eastAsia="Times New Roman" w:hAnsi="Times New Roman"/>
          <w:sz w:val="16"/>
          <w:szCs w:val="16"/>
          <w:color w:val="auto"/>
        </w:rPr>
        <w:t>for the past 90 days.</w:t>
        <w:tab/>
        <w:t xml:space="preserve">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ab/>
        <w:t xml:space="preserve">No </w:t>
      </w:r>
      <w:r>
        <w:rPr>
          <w:rFonts w:ascii="Segoe UI" w:cs="Segoe UI" w:eastAsia="Segoe UI" w:hAnsi="Segoe UI"/>
          <w:sz w:val="16"/>
          <w:szCs w:val="16"/>
          <w:color w:val="auto"/>
        </w:rPr>
        <w:t>ն</w:t>
      </w:r>
    </w:p>
    <w:p>
      <w:pPr>
        <w:spacing w:after="0" w:line="30" w:lineRule="exact"/>
        <w:rPr>
          <w:sz w:val="20"/>
          <w:szCs w:val="20"/>
          <w:color w:val="auto"/>
        </w:rPr>
      </w:pPr>
    </w:p>
    <w:p>
      <w:pPr>
        <w:ind w:left="7" w:right="160" w:firstLine="49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0"/>
          <w:szCs w:val="20"/>
          <w:color w:val="auto"/>
        </w:rPr>
      </w:pPr>
    </w:p>
    <w:p>
      <w:pPr>
        <w:ind w:left="307" w:hanging="307"/>
        <w:spacing w:after="0"/>
        <w:tabs>
          <w:tab w:leader="none" w:pos="307" w:val="left"/>
        </w:tabs>
        <w:numPr>
          <w:ilvl w:val="0"/>
          <w:numId w:val="3"/>
        </w:numPr>
        <w:rPr>
          <w:rFonts w:ascii="Segoe UI" w:cs="Segoe UI" w:eastAsia="Segoe UI" w:hAnsi="Segoe UI"/>
          <w:sz w:val="16"/>
          <w:szCs w:val="16"/>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ն</w:t>
      </w:r>
    </w:p>
    <w:p>
      <w:pPr>
        <w:spacing w:after="0" w:line="30" w:lineRule="exact"/>
        <w:rPr>
          <w:sz w:val="20"/>
          <w:szCs w:val="20"/>
          <w:color w:val="auto"/>
        </w:rPr>
      </w:pPr>
    </w:p>
    <w:p>
      <w:pPr>
        <w:jc w:val="both"/>
        <w:ind w:left="7" w:right="140" w:firstLine="490"/>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0"/>
          <w:szCs w:val="20"/>
          <w:color w:val="auto"/>
        </w:rPr>
      </w:pPr>
    </w:p>
    <w:tbl>
      <w:tblPr>
        <w:tblLayout w:type="fixed"/>
        <w:tblInd w:w="7"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100"/>
              <w:spacing w:after="0"/>
              <w:rPr>
                <w:sz w:val="20"/>
                <w:szCs w:val="20"/>
                <w:color w:val="auto"/>
              </w:rPr>
            </w:pPr>
            <w:r>
              <w:rPr>
                <w:rFonts w:ascii="Segoe UI" w:cs="Segoe UI" w:eastAsia="Segoe UI" w:hAnsi="Segoe UI"/>
                <w:sz w:val="16"/>
                <w:szCs w:val="16"/>
                <w:color w:val="auto"/>
              </w:rPr>
              <w:t>շ</w:t>
            </w: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rPr>
                <w:sz w:val="20"/>
                <w:szCs w:val="20"/>
                <w:color w:val="auto"/>
              </w:rPr>
            </w:pPr>
            <w:r>
              <w:rPr>
                <w:rFonts w:ascii="Segoe UI" w:cs="Segoe UI" w:eastAsia="Segoe UI" w:hAnsi="Segoe UI"/>
                <w:sz w:val="16"/>
                <w:szCs w:val="16"/>
                <w:color w:val="auto"/>
              </w:rPr>
              <w:t>ն</w:t>
            </w: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100"/>
              <w:spacing w:after="0"/>
              <w:rPr>
                <w:sz w:val="20"/>
                <w:szCs w:val="20"/>
                <w:color w:val="auto"/>
              </w:rPr>
            </w:pPr>
            <w:r>
              <w:rPr>
                <w:rFonts w:ascii="Segoe UI" w:cs="Segoe UI" w:eastAsia="Segoe UI" w:hAnsi="Segoe UI"/>
                <w:sz w:val="16"/>
                <w:szCs w:val="16"/>
                <w:color w:val="auto"/>
              </w:rPr>
              <w:t>ն</w:t>
            </w: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rPr>
                <w:sz w:val="20"/>
                <w:szCs w:val="20"/>
                <w:color w:val="auto"/>
              </w:rPr>
            </w:pPr>
            <w:r>
              <w:rPr>
                <w:rFonts w:ascii="Segoe UI" w:cs="Segoe UI" w:eastAsia="Segoe UI" w:hAnsi="Segoe UI"/>
                <w:sz w:val="16"/>
                <w:szCs w:val="16"/>
                <w:color w:val="auto"/>
              </w:rPr>
              <w:t>ն</w:t>
            </w:r>
          </w:p>
        </w:tc>
      </w:tr>
      <w:tr>
        <w:trPr>
          <w:trHeight w:val="261"/>
        </w:trPr>
        <w:tc>
          <w:tcPr>
            <w:tcW w:w="1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Segoe UI" w:cs="Segoe UI" w:eastAsia="Segoe UI" w:hAnsi="Segoe UI"/>
                <w:sz w:val="16"/>
                <w:szCs w:val="16"/>
                <w:color w:val="auto"/>
              </w:rPr>
              <w:t>ն</w:t>
            </w:r>
          </w:p>
        </w:tc>
      </w:tr>
    </w:tbl>
    <w:p>
      <w:pPr>
        <w:ind w:left="7" w:right="100" w:firstLine="490"/>
        <w:spacing w:after="0" w:line="26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ն</w:t>
      </w:r>
    </w:p>
    <w:p>
      <w:pPr>
        <w:ind w:left="7" w:right="320" w:firstLine="49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xml:space="preserve">issued its audit report. </w:t>
      </w:r>
      <w:r>
        <w:rPr>
          <w:rFonts w:ascii="Segoe UI" w:cs="Segoe UI" w:eastAsia="Segoe UI" w:hAnsi="Segoe UI"/>
          <w:sz w:val="16"/>
          <w:szCs w:val="16"/>
          <w:color w:val="auto"/>
        </w:rPr>
        <w:t>շ</w:t>
      </w:r>
    </w:p>
    <w:p>
      <w:pPr>
        <w:spacing w:after="0" w:line="30" w:lineRule="exact"/>
        <w:rPr>
          <w:sz w:val="20"/>
          <w:szCs w:val="20"/>
          <w:color w:val="auto"/>
        </w:rPr>
      </w:pPr>
    </w:p>
    <w:p>
      <w:pPr>
        <w:ind w:left="7" w:right="240" w:firstLine="490"/>
        <w:spacing w:after="0" w:line="264"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ն</w:t>
      </w:r>
    </w:p>
    <w:p>
      <w:pPr>
        <w:ind w:left="7" w:right="60" w:firstLine="490"/>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ն</w:t>
      </w:r>
    </w:p>
    <w:p>
      <w:pPr>
        <w:ind w:left="487"/>
        <w:spacing w:after="0"/>
        <w:tabs>
          <w:tab w:leader="none" w:pos="7907" w:val="left"/>
          <w:tab w:leader="none" w:pos="8527"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ab/>
        <w:t xml:space="preserve">No </w:t>
      </w:r>
      <w:r>
        <w:rPr>
          <w:rFonts w:ascii="Segoe UI" w:cs="Segoe UI" w:eastAsia="Segoe UI" w:hAnsi="Segoe UI"/>
          <w:sz w:val="16"/>
          <w:szCs w:val="16"/>
          <w:color w:val="auto"/>
        </w:rPr>
        <w:t>շ</w:t>
      </w:r>
    </w:p>
    <w:p>
      <w:pPr>
        <w:spacing w:after="0" w:line="40" w:lineRule="exact"/>
        <w:rPr>
          <w:sz w:val="20"/>
          <w:szCs w:val="20"/>
          <w:color w:val="auto"/>
        </w:rPr>
      </w:pPr>
    </w:p>
    <w:p>
      <w:pPr>
        <w:ind w:left="7" w:right="20" w:firstLine="490"/>
        <w:spacing w:after="0" w:line="250"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computed by reference to the price of the registrant’s Common Stock as of June 30, 2025, the last business day of the registrant’s most recently completed second fiscal quarter, was approximately $1.4 billion (based on the last reported sale price on the Nasdaq Global Market as of such date).</w:t>
      </w:r>
    </w:p>
    <w:p>
      <w:pPr>
        <w:spacing w:after="0" w:line="1"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As of February 19, 2026, there were 38,160,065 shares of the registrant’s Common Stock, $0.0001 par value per share, outstanding.</w:t>
      </w:r>
    </w:p>
    <w:p>
      <w:pPr>
        <w:spacing w:after="0" w:line="107" w:lineRule="exact"/>
        <w:rPr>
          <w:sz w:val="20"/>
          <w:szCs w:val="20"/>
          <w:color w:val="auto"/>
        </w:rPr>
      </w:pPr>
    </w:p>
    <w:p>
      <w:pPr>
        <w:ind w:left="3627"/>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24" w:lineRule="exact"/>
        <w:rPr>
          <w:sz w:val="20"/>
          <w:szCs w:val="20"/>
          <w:color w:val="auto"/>
        </w:rPr>
      </w:pPr>
    </w:p>
    <w:p>
      <w:pPr>
        <w:ind w:left="7" w:right="20" w:firstLine="490"/>
        <w:spacing w:after="0" w:line="258" w:lineRule="auto"/>
        <w:rPr>
          <w:sz w:val="20"/>
          <w:szCs w:val="20"/>
          <w:color w:val="auto"/>
        </w:rPr>
      </w:pPr>
      <w:r>
        <w:rPr>
          <w:rFonts w:ascii="Times New Roman" w:cs="Times New Roman" w:eastAsia="Times New Roman" w:hAnsi="Times New Roman"/>
          <w:sz w:val="16"/>
          <w:szCs w:val="16"/>
          <w:color w:val="auto"/>
        </w:rPr>
        <w:t>Portions of the registrant’s Proxy Statement for its 2026 Annual Meeting of Stockholders, which the registrant intends to file with the Securities and Exchange Commission not later than 120 days after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142875</wp:posOffset>
                </wp:positionV>
                <wp:extent cx="663829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82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5pt" to="522.7pt,11.2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161925</wp:posOffset>
                </wp:positionV>
                <wp:extent cx="663829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82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5pt" to="522.7pt,12.75pt" o:allowincell="f" strokecolor="#000000" strokeweight="0.75pt"/>
            </w:pict>
          </mc:Fallback>
        </mc:AlternateContent>
      </w:r>
    </w:p>
    <w:p>
      <w:pPr>
        <w:sectPr>
          <w:pgSz w:w="12240" w:h="15840" w:orient="portrait"/>
          <w:cols w:equalWidth="0" w:num="1">
            <w:col w:w="10447"/>
          </w:cols>
          <w:pgMar w:left="893" w:top="797" w:right="900" w:bottom="992" w:gutter="0" w:footer="0" w:header="0"/>
        </w:sectPr>
      </w:pPr>
    </w:p>
    <w:bookmarkStart w:id="3" w:name="page4"/>
    <w:bookmarkEnd w:id="3"/>
    <w:p>
      <w:pPr>
        <w:ind w:left="440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27940</wp:posOffset>
            </wp:positionV>
            <wp:extent cx="46482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464820" cy="9525"/>
                    </a:xfrm>
                    <a:prstGeom prst="rect">
                      <a:avLst/>
                    </a:prstGeom>
                    <a:noFill/>
                  </pic:spPr>
                </pic:pic>
              </a:graphicData>
            </a:graphic>
          </wp:anchor>
        </w:drawing>
      </w:r>
    </w:p>
    <w:p>
      <w:pPr>
        <w:spacing w:after="0" w:line="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5" w:lineRule="exact"/>
        <w:rPr>
          <w:sz w:val="20"/>
          <w:szCs w:val="20"/>
          <w:color w:val="auto"/>
        </w:rPr>
      </w:pPr>
    </w:p>
    <w:p>
      <w:pPr>
        <w:spacing w:after="0"/>
        <w:tabs>
          <w:tab w:leader="none" w:pos="800" w:val="left"/>
          <w:tab w:leader="dot" w:pos="10020" w:val="left"/>
        </w:tabs>
        <w:rPr>
          <w:sz w:val="20"/>
          <w:szCs w:val="20"/>
          <w:color w:val="auto"/>
        </w:rPr>
      </w:pPr>
      <w:r>
        <w:rPr>
          <w:rFonts w:ascii="Times New Roman" w:cs="Times New Roman" w:eastAsia="Times New Roman" w:hAnsi="Times New Roman"/>
          <w:sz w:val="20"/>
          <w:szCs w:val="20"/>
          <w:color w:val="auto"/>
        </w:rPr>
        <w:t>Item 1.</w:t>
        <w:tab/>
        <w:t>Business</w:t>
      </w:r>
      <w:r>
        <w:rPr>
          <w:sz w:val="20"/>
          <w:szCs w:val="20"/>
          <w:color w:val="auto"/>
        </w:rPr>
        <w:tab/>
      </w:r>
      <w:r>
        <w:rPr>
          <w:rFonts w:ascii="Times New Roman" w:cs="Times New Roman" w:eastAsia="Times New Roman" w:hAnsi="Times New Roman"/>
          <w:sz w:val="20"/>
          <w:szCs w:val="20"/>
          <w:color w:val="auto"/>
        </w:rPr>
        <w:t>1</w:t>
      </w:r>
    </w:p>
    <w:p>
      <w:pPr>
        <w:spacing w:after="0" w:line="28" w:lineRule="exact"/>
        <w:rPr>
          <w:sz w:val="20"/>
          <w:szCs w:val="20"/>
          <w:color w:val="auto"/>
        </w:rPr>
      </w:pPr>
    </w:p>
    <w:p>
      <w:pPr>
        <w:spacing w:after="0"/>
        <w:tabs>
          <w:tab w:leader="dot" w:pos="996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47</w:t>
      </w:r>
    </w:p>
    <w:p>
      <w:pPr>
        <w:spacing w:after="0"/>
        <w:tabs>
          <w:tab w:leader="dot" w:pos="996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99</w:t>
      </w:r>
    </w:p>
    <w:p>
      <w:pPr>
        <w:spacing w:after="0"/>
        <w:tabs>
          <w:tab w:leader="dot" w:pos="996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99</w:t>
      </w:r>
    </w:p>
    <w:p>
      <w:pPr>
        <w:spacing w:after="0"/>
        <w:tabs>
          <w:tab w:leader="none" w:pos="800" w:val="left"/>
          <w:tab w:leader="dot" w:pos="9960" w:val="left"/>
        </w:tabs>
        <w:rPr>
          <w:sz w:val="20"/>
          <w:szCs w:val="20"/>
          <w:color w:val="auto"/>
        </w:rPr>
      </w:pPr>
      <w:r>
        <w:rPr>
          <w:rFonts w:ascii="Times New Roman" w:cs="Times New Roman" w:eastAsia="Times New Roman" w:hAnsi="Times New Roman"/>
          <w:sz w:val="20"/>
          <w:szCs w:val="20"/>
          <w:color w:val="auto"/>
        </w:rPr>
        <w:t>Item 2.</w:t>
        <w:tab/>
        <w:t>Properties</w:t>
      </w:r>
      <w:r>
        <w:rPr>
          <w:sz w:val="20"/>
          <w:szCs w:val="20"/>
          <w:color w:val="auto"/>
        </w:rPr>
        <w:tab/>
      </w:r>
      <w:r>
        <w:rPr>
          <w:rFonts w:ascii="Times New Roman" w:cs="Times New Roman" w:eastAsia="Times New Roman" w:hAnsi="Times New Roman"/>
          <w:sz w:val="20"/>
          <w:szCs w:val="20"/>
          <w:color w:val="auto"/>
        </w:rPr>
        <w:t>99</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3.</w:t>
        <w:tab/>
        <w:t>Legal Proceedings</w:t>
      </w:r>
      <w:r>
        <w:rPr>
          <w:sz w:val="20"/>
          <w:szCs w:val="20"/>
          <w:color w:val="auto"/>
        </w:rPr>
        <w:tab/>
      </w:r>
      <w:r>
        <w:rPr>
          <w:rFonts w:ascii="Times New Roman" w:cs="Times New Roman" w:eastAsia="Times New Roman" w:hAnsi="Times New Roman"/>
          <w:sz w:val="20"/>
          <w:szCs w:val="20"/>
          <w:color w:val="auto"/>
        </w:rPr>
        <w:t>100</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4.</w:t>
        <w:tab/>
        <w:t>Mine Safety Disclosures</w:t>
      </w:r>
      <w:r>
        <w:rPr>
          <w:sz w:val="20"/>
          <w:szCs w:val="20"/>
          <w:color w:val="auto"/>
        </w:rPr>
        <w:tab/>
      </w:r>
      <w:r>
        <w:rPr>
          <w:rFonts w:ascii="Times New Roman" w:cs="Times New Roman" w:eastAsia="Times New Roman" w:hAnsi="Times New Roman"/>
          <w:sz w:val="20"/>
          <w:szCs w:val="20"/>
          <w:color w:val="auto"/>
        </w:rPr>
        <w:t>100</w:t>
      </w:r>
    </w:p>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 Matters and Issuer Purchases of Equity</w:t>
      </w:r>
    </w:p>
    <w:p>
      <w:pPr>
        <w:spacing w:after="0" w:line="28" w:lineRule="exact"/>
        <w:rPr>
          <w:sz w:val="20"/>
          <w:szCs w:val="20"/>
          <w:color w:val="auto"/>
        </w:rPr>
      </w:pPr>
    </w:p>
    <w:p>
      <w:pPr>
        <w:ind w:left="820"/>
        <w:spacing w:after="0"/>
        <w:tabs>
          <w:tab w:leader="dot" w:pos="992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101</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6.</w:t>
        <w:tab/>
        <w:t>Reserved</w:t>
      </w:r>
      <w:r>
        <w:rPr>
          <w:sz w:val="20"/>
          <w:szCs w:val="20"/>
          <w:color w:val="auto"/>
        </w:rPr>
        <w:tab/>
      </w:r>
      <w:r>
        <w:rPr>
          <w:rFonts w:ascii="Times New Roman" w:cs="Times New Roman" w:eastAsia="Times New Roman" w:hAnsi="Times New Roman"/>
          <w:sz w:val="20"/>
          <w:szCs w:val="20"/>
          <w:color w:val="auto"/>
        </w:rPr>
        <w:t>102</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103</w:t>
      </w:r>
    </w:p>
    <w:p>
      <w:pPr>
        <w:spacing w:after="0"/>
        <w:tabs>
          <w:tab w:leader="dot" w:pos="992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112</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w:t>
      </w:r>
      <w:r>
        <w:rPr>
          <w:sz w:val="20"/>
          <w:szCs w:val="20"/>
          <w:color w:val="auto"/>
        </w:rPr>
        <w:tab/>
      </w:r>
      <w:r>
        <w:rPr>
          <w:rFonts w:ascii="Times New Roman" w:cs="Times New Roman" w:eastAsia="Times New Roman" w:hAnsi="Times New Roman"/>
          <w:sz w:val="20"/>
          <w:szCs w:val="20"/>
          <w:color w:val="auto"/>
        </w:rPr>
        <w:t>113</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143</w:t>
      </w:r>
    </w:p>
    <w:p>
      <w:pPr>
        <w:spacing w:after="0"/>
        <w:tabs>
          <w:tab w:leader="dot" w:pos="992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143</w:t>
      </w:r>
    </w:p>
    <w:p>
      <w:pPr>
        <w:spacing w:after="0"/>
        <w:tabs>
          <w:tab w:leader="dot" w:pos="992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145</w:t>
      </w:r>
    </w:p>
    <w:p>
      <w:pPr>
        <w:spacing w:after="0"/>
        <w:tabs>
          <w:tab w:leader="dot" w:pos="9920" w:val="left"/>
        </w:tabs>
        <w:rPr>
          <w:sz w:val="20"/>
          <w:szCs w:val="20"/>
          <w:color w:val="auto"/>
        </w:rPr>
      </w:pPr>
      <w:r>
        <w:rPr>
          <w:rFonts w:ascii="Times New Roman" w:cs="Times New Roman" w:eastAsia="Times New Roman" w:hAnsi="Times New Roman"/>
          <w:sz w:val="20"/>
          <w:szCs w:val="20"/>
          <w:color w:val="auto"/>
        </w:rPr>
        <w:t>Item 9C.  Disclosures Regarding Foreign Jurisdictions That Prevent Inspections</w:t>
      </w:r>
      <w:r>
        <w:rPr>
          <w:sz w:val="20"/>
          <w:szCs w:val="20"/>
          <w:color w:val="auto"/>
        </w:rPr>
        <w:tab/>
      </w:r>
      <w:r>
        <w:rPr>
          <w:rFonts w:ascii="Times New Roman" w:cs="Times New Roman" w:eastAsia="Times New Roman" w:hAnsi="Times New Roman"/>
          <w:sz w:val="20"/>
          <w:szCs w:val="20"/>
          <w:color w:val="auto"/>
        </w:rPr>
        <w:t>145</w:t>
      </w:r>
    </w:p>
    <w:p>
      <w:pPr>
        <w:spacing w:after="0" w:line="1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146</w:t>
      </w:r>
    </w:p>
    <w:p>
      <w:pPr>
        <w:spacing w:after="0" w:line="28" w:lineRule="exact"/>
        <w:rPr>
          <w:sz w:val="20"/>
          <w:szCs w:val="20"/>
          <w:color w:val="auto"/>
        </w:rPr>
      </w:pP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146</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146</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146</w:t>
      </w: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14.</w:t>
        <w:tab/>
        <w:t>Principal Accounting Fees and Services</w:t>
      </w:r>
      <w:r>
        <w:rPr>
          <w:sz w:val="20"/>
          <w:szCs w:val="20"/>
          <w:color w:val="auto"/>
        </w:rPr>
        <w:tab/>
      </w:r>
      <w:r>
        <w:rPr>
          <w:rFonts w:ascii="Times New Roman" w:cs="Times New Roman" w:eastAsia="Times New Roman" w:hAnsi="Times New Roman"/>
          <w:sz w:val="20"/>
          <w:szCs w:val="20"/>
          <w:color w:val="auto"/>
        </w:rPr>
        <w:t>146</w:t>
      </w:r>
    </w:p>
    <w:p>
      <w:pPr>
        <w:spacing w:after="0" w:line="1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4" w:lineRule="exact"/>
        <w:rPr>
          <w:sz w:val="20"/>
          <w:szCs w:val="20"/>
          <w:color w:val="auto"/>
        </w:rPr>
      </w:pP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15.</w:t>
        <w:tab/>
        <w:t>Exhibits, Financial Statement Schedules</w:t>
      </w:r>
      <w:r>
        <w:rPr>
          <w:sz w:val="20"/>
          <w:szCs w:val="20"/>
          <w:color w:val="auto"/>
        </w:rPr>
        <w:tab/>
      </w:r>
      <w:r>
        <w:rPr>
          <w:rFonts w:ascii="Times New Roman" w:cs="Times New Roman" w:eastAsia="Times New Roman" w:hAnsi="Times New Roman"/>
          <w:sz w:val="20"/>
          <w:szCs w:val="20"/>
          <w:color w:val="auto"/>
        </w:rPr>
        <w:t>147</w:t>
      </w:r>
    </w:p>
    <w:p>
      <w:pPr>
        <w:spacing w:after="0" w:line="28" w:lineRule="exact"/>
        <w:rPr>
          <w:sz w:val="20"/>
          <w:szCs w:val="20"/>
          <w:color w:val="auto"/>
        </w:rPr>
      </w:pPr>
    </w:p>
    <w:p>
      <w:pPr>
        <w:spacing w:after="0"/>
        <w:tabs>
          <w:tab w:leader="none" w:pos="800" w:val="left"/>
          <w:tab w:leader="dot" w:pos="992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151</w:t>
      </w:r>
    </w:p>
    <w:p>
      <w:pPr>
        <w:spacing w:after="0"/>
        <w:tabs>
          <w:tab w:leader="dot" w:pos="992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152</w:t>
      </w:r>
    </w:p>
    <w:p>
      <w:pPr>
        <w:sectPr>
          <w:pgSz w:w="12240" w:h="15840" w:orient="portrait"/>
          <w:cols w:equalWidth="0" w:num="1">
            <w:col w:w="10280"/>
          </w:cols>
          <w:pgMar w:left="900" w:top="926" w:right="106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280"/>
          </w:cols>
          <w:pgMar w:left="900" w:top="926" w:right="1060" w:bottom="244"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100" w:lineRule="exact"/>
        <w:rPr>
          <w:sz w:val="20"/>
          <w:szCs w:val="20"/>
          <w:color w:val="auto"/>
        </w:rPr>
      </w:pPr>
    </w:p>
    <w:p>
      <w:pPr>
        <w:jc w:val="both"/>
        <w:ind w:left="720" w:hanging="367"/>
        <w:spacing w:after="0" w:line="252"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7"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efficiently discover and develop product candidates;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manufacture our drug substances and product candidates for preclinical use, for clinical trials and on a larger scale for commercial use, if approved;</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funding for our operations necessary to further develop and, if approved, commercialize our product candidates;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regulatory approval of bitopertin and any of our other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products, if approved;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pricing and reimbursement of our product candidates, if approved;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of our business model, and strategic plans for our business and product candidates;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covering our product candidates;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of our future expenses, revenues, capital requirements, and our needs for additional financing;</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future agreements with third parties in connection with the commercialization of our product candidates, if approved;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growth potential of the markets for our product candidates, and our ability to serve those markets;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rate and degree of market acceptance of our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developments in the United States and foreign countries;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contract with third-party suppliers and manufacturers and their ability to perform adequately;</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produce our products or product candidates with advantages in turnaround times or manufacturing cost;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and retain key scientific or management personnel;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laws and regulations;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relating to our competitors and our industry;</w:t>
      </w:r>
    </w:p>
    <w:p>
      <w:pPr>
        <w:spacing w:after="0" w:line="133"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 and</w:t>
      </w:r>
    </w:p>
    <w:p>
      <w:pPr>
        <w:spacing w:after="0" w:line="87" w:lineRule="exact"/>
        <w:rPr>
          <w:rFonts w:ascii="Arial" w:cs="Arial" w:eastAsia="Arial" w:hAnsi="Arial"/>
          <w:sz w:val="20"/>
          <w:szCs w:val="20"/>
          <w:color w:val="auto"/>
        </w:rPr>
      </w:pPr>
    </w:p>
    <w:p>
      <w:pPr>
        <w:ind w:left="720" w:hanging="367"/>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other risks and uncertainties, including those listed under the caption “Risk Factors.”</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460"/>
          </w:cols>
          <w:pgMar w:left="900" w:top="926" w:right="880" w:bottom="175" w:gutter="0" w:footer="0" w:header="0"/>
        </w:sectPr>
      </w:pPr>
    </w:p>
    <w:bookmarkStart w:id="5" w:name="page6"/>
    <w:bookmarkEnd w:id="5"/>
    <w:p>
      <w:pPr>
        <w:jc w:val="both"/>
        <w:spacing w:after="0" w:line="249" w:lineRule="auto"/>
        <w:rPr>
          <w:sz w:val="20"/>
          <w:szCs w:val="20"/>
          <w:color w:val="auto"/>
        </w:rPr>
      </w:pPr>
      <w:r>
        <w:rPr>
          <w:rFonts w:ascii="Times New Roman" w:cs="Times New Roman" w:eastAsia="Times New Roman" w:hAnsi="Times New Roman"/>
          <w:sz w:val="20"/>
          <w:szCs w:val="20"/>
          <w:color w:val="auto"/>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Annual Report on Form 10-K.</w:t>
      </w:r>
    </w:p>
    <w:p>
      <w:pPr>
        <w:sectPr>
          <w:pgSz w:w="12240" w:h="15840" w:orient="portrait"/>
          <w:cols w:equalWidth="0" w:num="1">
            <w:col w:w="10460"/>
          </w:cols>
          <w:pgMar w:left="900" w:top="930" w:right="8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460"/>
          </w:cols>
          <w:pgMar w:left="900" w:top="930" w:right="880" w:bottom="186"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Annual Report on Form 10-K and our other filings with the Securities and Exchange Commission, or SEC, before making an investment decision regarding our common stock.</w:t>
      </w:r>
    </w:p>
    <w:p>
      <w:pPr>
        <w:spacing w:after="0" w:line="94" w:lineRule="exact"/>
        <w:rPr>
          <w:sz w:val="20"/>
          <w:szCs w:val="20"/>
          <w:color w:val="auto"/>
        </w:rPr>
      </w:pPr>
    </w:p>
    <w:p>
      <w:pPr>
        <w:ind w:left="720" w:hanging="367"/>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limited operating history may make it difficult for you to evaluate the success of our business to date and to assess our future viability.</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significant net losses since our inception and anticipate that we will continue to incur losses for the foreseeable future.</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no products approved for commercial sale and have not generated any revenue from product sales.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existing and any future indebtedness could adversely affect our ability to operate our business.</w:t>
      </w:r>
    </w:p>
    <w:p>
      <w:pPr>
        <w:spacing w:after="0" w:line="133"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we experience delays or difficulties in the enrollment of patients in clinical trials, our receipt of necessary regulatory approvals could be delayed or prevented.</w:t>
      </w:r>
    </w:p>
    <w:p>
      <w:pPr>
        <w:spacing w:after="0" w:line="64" w:lineRule="exact"/>
        <w:rPr>
          <w:rFonts w:ascii="Arial" w:cs="Arial" w:eastAsia="Arial" w:hAnsi="Arial"/>
          <w:sz w:val="20"/>
          <w:szCs w:val="20"/>
          <w:color w:val="auto"/>
        </w:rPr>
      </w:pPr>
    </w:p>
    <w:p>
      <w:pPr>
        <w:jc w:val="both"/>
        <w:ind w:left="720" w:hanging="367"/>
        <w:spacing w:after="0" w:line="24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90"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face substantial competition, which may result in others discovering, developing, or commercializing products before or more successfully than we do.</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10460"/>
          </w:cols>
          <w:pgMar w:left="900" w:top="926" w:right="880" w:bottom="175" w:gutter="0" w:footer="0" w:header="0"/>
          <w:type w:val="continuous"/>
        </w:sectPr>
      </w:pPr>
    </w:p>
    <w:bookmarkStart w:id="7" w:name="page8"/>
    <w:bookmarkEnd w:id="7"/>
    <w:p>
      <w:pPr>
        <w:jc w:val="both"/>
        <w:ind w:left="720" w:hanging="367"/>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the market opportunities for our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our current product candidates or any future product candidates do not achieve broad market acceptance, the revenue that we generate from our sales may be limited, and we may never become profitable.</w:t>
      </w:r>
    </w:p>
    <w:p>
      <w:pPr>
        <w:spacing w:after="0" w:line="64"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87"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might not realize the anticipated benefits of our current collaborations with Mabwell or NIH, or any other collaborations we enter into in the future.</w:t>
      </w:r>
    </w:p>
    <w:p>
      <w:pPr>
        <w:spacing w:after="0" w:line="64"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87"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87"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obtain licenses or sublicenses to intellectual property rights in all markets on equally or sufficiently favorable terms with third parties.</w:t>
      </w:r>
    </w:p>
    <w:p>
      <w:pPr>
        <w:spacing w:after="0" w:line="64" w:lineRule="exact"/>
        <w:rPr>
          <w:rFonts w:ascii="Arial" w:cs="Arial" w:eastAsia="Arial" w:hAnsi="Arial"/>
          <w:sz w:val="20"/>
          <w:szCs w:val="20"/>
          <w:color w:val="auto"/>
        </w:rPr>
      </w:pPr>
    </w:p>
    <w:p>
      <w:pPr>
        <w:jc w:val="both"/>
        <w:ind w:left="720" w:right="20" w:hanging="367"/>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mean that we will be successful in obtaining regulatory approval of our product candidates in other jurisdictions.</w:t>
      </w:r>
    </w:p>
    <w:p>
      <w:pPr>
        <w:spacing w:after="0" w:line="64" w:lineRule="exact"/>
        <w:rPr>
          <w:rFonts w:ascii="Arial" w:cs="Arial" w:eastAsia="Arial" w:hAnsi="Arial"/>
          <w:sz w:val="20"/>
          <w:szCs w:val="20"/>
          <w:color w:val="auto"/>
        </w:rPr>
      </w:pPr>
    </w:p>
    <w:p>
      <w:pPr>
        <w:jc w:val="both"/>
        <w:ind w:left="720" w:right="20" w:hanging="367"/>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received a Commissioner’s National Priority Voucher for bitopertin but the accelerated timeline for review of our NDA submission for bitopertin in EPP and XLP by the FDA did not result in an approval and it is unclear what, if any, benefits this voucher may provide in the future.</w:t>
      </w:r>
    </w:p>
    <w:p>
      <w:pPr>
        <w:spacing w:after="0" w:line="81" w:lineRule="exact"/>
        <w:rPr>
          <w:rFonts w:ascii="Arial" w:cs="Arial" w:eastAsia="Arial" w:hAnsi="Arial"/>
          <w:sz w:val="20"/>
          <w:szCs w:val="20"/>
          <w:color w:val="auto"/>
        </w:rPr>
      </w:pPr>
    </w:p>
    <w:p>
      <w:pPr>
        <w:jc w:val="both"/>
        <w:ind w:left="720" w:hanging="367"/>
        <w:spacing w:after="0" w:line="24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0"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success depends on our ability to retain key executives and experienced scientists and to attract, retain, and motivate qualified personnel.</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 price of our common stock has been, and may continue to be, volatile.</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and will continue to incur increased costs and increased demands upon management as a result of complying with the laws and regulations affecting public companies.</w:t>
      </w:r>
    </w:p>
    <w:p>
      <w:pPr>
        <w:spacing w:after="0" w:line="5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This section contains forward-looking statements. You should refer to the explanation of the qualifications and limitations on forward-looking statements beginning on page ii.</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w:t>
      </w:r>
    </w:p>
    <w:p>
      <w:pPr>
        <w:sectPr>
          <w:pgSz w:w="12240" w:h="15840" w:orient="portrait"/>
          <w:cols w:equalWidth="0" w:num="1">
            <w:col w:w="10460"/>
          </w:cols>
          <w:pgMar w:left="900" w:top="944" w:right="880" w:bottom="175"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0"/>
          <w:szCs w:val="20"/>
          <w:i w:val="1"/>
          <w:iCs w:val="1"/>
          <w:color w:val="auto"/>
        </w:rPr>
        <w:t>Except where the context otherwise requires or where otherwise indicated, the terms “Disc,” “we,” “us,” “our,” “our company,” “the company,” and “our business” refer to Disc Medicine, Inc. and its consolidated subsidiaries.</w:t>
      </w:r>
    </w:p>
    <w:p>
      <w:pPr>
        <w:spacing w:after="0" w:line="6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Heme Biosynthesis: Bitopertin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demonstrated that longer term treatment of bitopertin was associated with sustained reductions in PPIX, as well as improvements in quality of life and liver biomarkers. In our end-of-Phase 2 meeting in September 2024, the U.S. Food &amp; Drug Administration, or the FDA, agreed with the potential for reduction of PPIX to serve as a surrogate endpoint to support a potential accelerated approval of bitopertin in EPP and XLP. In our Type C meeting in December 2024, we aligned with the FDA on the design of APOLLO, a Phase 3, randomized, double-blind, placebo-controlled, clinical trial of bitopertin in EPP and XLP patients that in the setting of an accelerated approval would serve as a post-marketing confirmatory trial. We initiated the APOLLO trial in May 2025 and in September 2025 we submitted a New Drug Application, or NDA, for accelerated approval of bitopertin in EPP and XLP in the United States based on our existing data. In October 2025, we were awarded a Commissioner’s National Priority Voucher, or CNPV, from the FDA for bitopertin in EPP and XLP. The CNPV program, announced in June 2025, is designed to accelerate the development and review of certain drugs aligned with US national health priorities. The FDA accepted our NDA for review in November 2025 and in February 2026 issued a complete response letter, or CRL.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The FDA indicated that results of the ongoing APOLLO trial could serve as evidence to support a potential traditional approval, and we plan to request a Type A meeting to review our approach with the FDA. We expect to report topline data from APOLLO in the fourth quarter of 2026, following which we plan to submit a response to the CRL.</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sectPr>
          <w:pgSz w:w="12240" w:h="15840" w:orient="portrait"/>
          <w:cols w:equalWidth="0" w:num="1">
            <w:col w:w="10460"/>
          </w:cols>
          <w:pgMar w:left="900" w:top="1166" w:right="880" w:bottom="175"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460"/>
          </w:cols>
          <w:pgMar w:left="900" w:top="1166" w:right="880" w:bottom="17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Iron Homeostasis: DISC-0974 and DISC-3405</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from this Phase 2 trial in December 2025, with results demonstrating meaningful overall anemia responses across all patient subgroups, regardless of baseline transfusion status and independent of concomitant Janus Kinase, or JAK, inhibitor therapy use. Topline data from this trial is expected in the second half of 2026, which, if positive, is expected to support discussions with regulatory agencies on the potential regulatory path for DISC-0974 in anemia of MF. We initiated a Phase 2 clinical trial of DISC-0974 in patients with IBD and anemia in the first quarter of 2026,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 ascending dose, or MAD, portion of this clinical trial in December 2024, and presented updated data from both the SAD and MAD portions of this clinical trial in June 2025,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the first half of 2025, with initial data expected in the second half of 2026. We also initiated a Phase 1b, open-label clinical trial of DISC-3405 in patients with SCD in October 2025, with initial data expected in the second half of 2026, and plan to explore the role of therapeutic iron restriction in other indications.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Approach</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 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results in animal models and preclinical and clinical data, we believe that our product candidate portfolio, by targeting fundamental pathways in red blood cell biology, has the potential to address a range of hematologic diseases in which modification of iron and heme plays a critical function.</w:t>
      </w:r>
    </w:p>
    <w:p>
      <w:pPr>
        <w:spacing w:after="0" w:line="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focused on therapeutic approaches that modulate heme and iron to address diseases of heme biosynthesis and red blood cell production, and we target therapeutic mechanisms that have been validated in humans, through evidence from either human genetics or third-party clinical trials. For example, our lead program, bitopertin, has been evaluated in over 4,000 individuals and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 Our current pipeline is focused on the following three approaches:</w:t>
      </w:r>
    </w:p>
    <w:p>
      <w:pPr>
        <w:spacing w:after="0" w:line="83" w:lineRule="exact"/>
        <w:rPr>
          <w:sz w:val="20"/>
          <w:szCs w:val="20"/>
          <w:color w:val="auto"/>
        </w:rPr>
      </w:pPr>
    </w:p>
    <w:p>
      <w:pPr>
        <w:ind w:left="720" w:right="20" w:hanging="367"/>
        <w:spacing w:after="0" w:line="276"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Modulating the heme biosynthesis pathway, which is anticipated to be useful in diseases caused by excesses in toxic heme pathway metabolites, e.g., EPs;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460"/>
          </w:cols>
          <w:pgMar w:left="900" w:top="930" w:right="880" w:bottom="175" w:gutter="0" w:footer="0" w:header="0"/>
          <w:type w:val="continuous"/>
        </w:sectPr>
      </w:pPr>
    </w:p>
    <w:bookmarkStart w:id="10" w:name="page11"/>
    <w:bookmarkEnd w:id="10"/>
    <w:p>
      <w:pPr>
        <w:jc w:val="both"/>
        <w:ind w:left="720" w:firstLine="5"/>
        <w:spacing w:after="0" w:line="259" w:lineRule="auto"/>
        <w:rPr>
          <w:sz w:val="20"/>
          <w:szCs w:val="20"/>
          <w:color w:val="auto"/>
        </w:rPr>
      </w:pPr>
      <w:r>
        <w:rPr>
          <w:rFonts w:ascii="Times New Roman" w:cs="Times New Roman" w:eastAsia="Times New Roman" w:hAnsi="Times New Roman"/>
          <w:sz w:val="20"/>
          <w:szCs w:val="20"/>
          <w:color w:val="auto"/>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81" w:lineRule="exact"/>
        <w:rPr>
          <w:sz w:val="20"/>
          <w:szCs w:val="20"/>
          <w:color w:val="auto"/>
        </w:rPr>
      </w:pPr>
    </w:p>
    <w:p>
      <w:pPr>
        <w:jc w:val="both"/>
        <w:ind w:left="720"/>
        <w:spacing w:after="0" w:line="277" w:lineRule="auto"/>
        <w:rPr>
          <w:sz w:val="20"/>
          <w:szCs w:val="20"/>
          <w:color w:val="auto"/>
        </w:rPr>
      </w:pPr>
      <w:r>
        <w:rPr>
          <w:rFonts w:ascii="Times New Roman" w:cs="Times New Roman" w:eastAsia="Times New Roman" w:hAnsi="Times New Roman"/>
          <w:sz w:val="20"/>
          <w:szCs w:val="20"/>
          <w:color w:val="auto"/>
        </w:rPr>
        <w:t>Decreasing iron availability, which is anticipated to lower red blood cell production in diseases of excessive red cell production, e.g., PV.</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123"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20"/>
          <w:szCs w:val="20"/>
          <w:color w:val="auto"/>
        </w:rPr>
        <w:t>We are building an innovative pipeline of product candidates that aim to modify fundamental biological pathways associated with the formation and function of red blood cells. We have obtained exclusive, worldwide licenses for the development and commercialization of bitopertin, DISC-0974, and DISC-0998, and exclusive rights for DISC-3405 and related antibodies in all territories outside of Greater China and Southeast Asia.</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diagram below reflects the status of our clinical-stage product candidates, bitopertin, DISC-0974 and DISC-3405, and related clinical trials, and our preclinical product candidate, DISC-0998. The timelines shown reflect our current expectations and beliefs based on our internal plans and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629400" cy="2981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6629400" cy="298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hanging="3"/>
        <w:spacing w:after="0" w:line="278" w:lineRule="auto"/>
        <w:rPr>
          <w:sz w:val="20"/>
          <w:szCs w:val="20"/>
          <w:color w:val="auto"/>
        </w:rPr>
      </w:pPr>
      <w:r>
        <w:rPr>
          <w:rFonts w:ascii="Times New Roman" w:cs="Times New Roman" w:eastAsia="Times New Roman" w:hAnsi="Times New Roman"/>
          <w:sz w:val="20"/>
          <w:szCs w:val="20"/>
          <w:color w:val="auto"/>
        </w:rPr>
        <w:t>We also plan to develop bitopertin, DISC-0974 and DISC-3405 for other indications. For example, we are exploring the potential of bitopertin as a treatment for Diamond-Blackfan Anemia, or DBA, and other porphyrias.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mission is to significantly improve the lives of patients suffering from hematologic diseases by developing differentiated product candidates designed to target fundamental pathways associated with the formation and function of red blood cells. To achieve our mission, we are pursuing increasingly large market opportunities as we grow and scale by focusing on the following key elements of our strategy:</w:t>
      </w:r>
    </w:p>
    <w:p>
      <w:pPr>
        <w:spacing w:after="0" w:line="84" w:lineRule="exact"/>
        <w:rPr>
          <w:sz w:val="20"/>
          <w:szCs w:val="20"/>
          <w:color w:val="auto"/>
        </w:rPr>
      </w:pPr>
    </w:p>
    <w:p>
      <w:pPr>
        <w:jc w:val="both"/>
        <w:ind w:left="72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Obtain regulatory approval and successfully commercialize bitopertin for the treatment of patients with EPP, a well-defined rare disease with high unmet need. </w:t>
      </w:r>
      <w:r>
        <w:rPr>
          <w:rFonts w:ascii="Times New Roman" w:cs="Times New Roman" w:eastAsia="Times New Roman" w:hAnsi="Times New Roman"/>
          <w:sz w:val="20"/>
          <w:szCs w:val="20"/>
          <w:color w:val="auto"/>
        </w:rPr>
        <w:t>Based on our analyses of medical claims data, there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approximately 14,000 diagnosed EPP patients in the United States, and while the incidence of XLP is unknown, it is often estimated at one-tenth the incidence of EPP. There are currently no other disease-modifying therapies available to treat EPs such as EPP except bone marrow transplantation, which is associated with high rates of morbidity and mortality. The only other class of approved therapies for patients with EP are melanocortin 1 receptor agonists, which are designed to promote melanin production, or tanning, and thereby increase patient tolerance to sunlight. Based on the clinical data generated by Roche in multiple clinical trials in other indications, the compelling preclinical data we have generated, and the results of our BEACON and AURORA Phase 2 clinical trials, we believe bitopertin has the potential to be a disease-modifying treatment for these patients. In the CRL issued by the FDA in February 2026 in response to our NDA for accelerated approval of bitopertin in EPP and XLP, the FDA indicated that results from our ongoing Phase 3 APOLLO clinical trial of bitopertin in EPP and XLP patients could serve as evidence to support a potential traditional approval. We plan to request a Type A meeting to review our approach with the FDA, and we expect to report topline data from APOLLO in the fourth quarter of 2026, following which we plan to submit a response to the CRL.</w:t>
      </w:r>
    </w:p>
    <w:p>
      <w:pPr>
        <w:sectPr>
          <w:pgSz w:w="12240" w:h="15840" w:orient="portrait"/>
          <w:cols w:equalWidth="0" w:num="1">
            <w:col w:w="10460"/>
          </w:cols>
          <w:pgMar w:left="900" w:top="944" w:right="880" w:bottom="222" w:gutter="0" w:footer="0" w:header="0"/>
        </w:sect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10460"/>
          </w:cols>
          <w:pgMar w:left="900" w:top="944" w:right="880" w:bottom="222" w:gutter="0" w:footer="0" w:header="0"/>
          <w:type w:val="continuous"/>
        </w:sectPr>
      </w:pPr>
    </w:p>
    <w:bookmarkStart w:id="11" w:name="page12"/>
    <w:bookmarkEnd w:id="11"/>
    <w:p>
      <w:pPr>
        <w:jc w:val="both"/>
        <w:ind w:left="720" w:hanging="367"/>
        <w:spacing w:after="0" w:line="242"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Build a franchise in myeloproliferative neoplasms, or MPNs, with significant unmet need by advancing the development of DISC-0974 and DISC-3405 for the treatment of anemia of MF and PV, respectively. </w:t>
      </w:r>
      <w:r>
        <w:rPr>
          <w:rFonts w:ascii="Times New Roman" w:cs="Times New Roman" w:eastAsia="Times New Roman" w:hAnsi="Times New Roman"/>
          <w:sz w:val="20"/>
          <w:szCs w:val="20"/>
          <w:color w:val="auto"/>
        </w:rPr>
        <w:t>We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initially developing our lead hepcidin-suppressing program, DISC-0974, for the treatment of anemia associated with MF, a rare, chronic blood cancer that currently affects an estimated 25,000 patients in the United States. At diagnosis, approximately 87% of patients with MF have anemia, which progressively worsens over time and ultimately renders the majority of patients dependent on chronic red blood cell transfusions. DISC-0974 is currently being evaluated in RALLY-MF, an open-label Phase 2 clinical trial in patients with anemia of MF. We reported initial data from this trial in December 2025, with results demonstrating meaningful overall anemia responses across all patient subgroups, regardless of baseline transfusion status and independent of concomitant JAK inhibitor therapy use. DISC-0974 was also generally well-tolerated. Topline data from this trial is expected in the second half of 2026, which, if positive, is expected to support discussions with regulatory agencies on the potential regulatory path for DISC-0974 in anemia of MF. The second program in our iron homeostasis portfolio is DISC-3405, which is designed to induce hepcidin production and which we are initially developing for the treatment of PV. PV is a chronic and rare MPN characterized by the overproduction of red blood cells and increased red cell mass that affects approximately 150,000 patients in the United States. In clinical trials conducted by third parties, iron restriction through a hepcidin mechanism resulted in disease control in patients with PV, and in our Phase 1 clinical trial of DISC-3405 in healthy adult volunteers, results showed an acceptable tolerability profile and evidence of target engagement, including dose-related increases in serum hepcidin and corresponding reductions in serum iron across all dose levels. We are currently studying DISC-3405 in RESTORE-PV, an open-label Phase 2 clinical trial of DISC-3405 in patients with PV, from which we expect initial data in the second half of 2026 and topline data in 2027.</w:t>
      </w:r>
    </w:p>
    <w:p>
      <w:pPr>
        <w:spacing w:after="0" w:line="95" w:lineRule="exact"/>
        <w:rPr>
          <w:rFonts w:ascii="Arial" w:cs="Arial" w:eastAsia="Arial" w:hAnsi="Arial"/>
          <w:sz w:val="20"/>
          <w:szCs w:val="20"/>
          <w:color w:val="auto"/>
        </w:rPr>
      </w:pPr>
    </w:p>
    <w:p>
      <w:pPr>
        <w:jc w:val="both"/>
        <w:ind w:left="720" w:hanging="367"/>
        <w:spacing w:after="0" w:line="245"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Expand our existing portfolio into a broad range of new indications, including SCD and anemias of inflammation. </w:t>
      </w:r>
      <w:r>
        <w:rPr>
          <w:rFonts w:ascii="Times New Roman" w:cs="Times New Roman" w:eastAsia="Times New Roman" w:hAnsi="Times New Roman"/>
          <w:sz w:val="20"/>
          <w:szCs w:val="20"/>
          <w:color w:val="auto"/>
        </w:rPr>
        <w:t>Though we have yet to generate complete clinical data for each of our product candidates, we believe that all of our current product candidates could have pipeline-in-a-product potential, and for each product candidate, we plan to explore its potential across multiple hematologic diseases. With respect to DISC-3405, we initiated a Phase 1b, open-label clinical trial in patients with SCD in October 2025, with initial data expected in the second half of 2026, and plan to explore the role of therapeutic iron restriction in other indications. With respect to DISC-0974, we initiated a Phase 2 clinical trial in patients with IBD and anemia in the first quarter of 2026, and we are planning exploratory studies in additional patient populations with anemia of chronic disease.</w:t>
      </w:r>
    </w:p>
    <w:p>
      <w:pPr>
        <w:spacing w:after="0" w:line="95" w:lineRule="exact"/>
        <w:rPr>
          <w:rFonts w:ascii="Arial" w:cs="Arial" w:eastAsia="Arial" w:hAnsi="Arial"/>
          <w:sz w:val="20"/>
          <w:szCs w:val="20"/>
          <w:color w:val="auto"/>
        </w:rPr>
      </w:pPr>
    </w:p>
    <w:p>
      <w:pPr>
        <w:jc w:val="both"/>
        <w:ind w:left="720" w:hanging="367"/>
        <w:spacing w:after="0" w:line="245"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Continue to build our pipeline through internal research or business development. </w:t>
      </w:r>
      <w:r>
        <w:rPr>
          <w:rFonts w:ascii="Times New Roman" w:cs="Times New Roman" w:eastAsia="Times New Roman" w:hAnsi="Times New Roman"/>
          <w:sz w:val="20"/>
          <w:szCs w:val="20"/>
          <w:color w:val="auto"/>
        </w:rPr>
        <w:t>We plan to leverage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expertise in hematology to 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spacing w:after="0" w:line="95" w:lineRule="exact"/>
        <w:rPr>
          <w:rFonts w:ascii="Arial" w:cs="Arial" w:eastAsia="Arial" w:hAnsi="Arial"/>
          <w:sz w:val="20"/>
          <w:szCs w:val="20"/>
          <w:color w:val="auto"/>
        </w:rPr>
      </w:pPr>
    </w:p>
    <w:p>
      <w:pPr>
        <w:jc w:val="both"/>
        <w:ind w:left="720" w:hanging="367"/>
        <w:spacing w:after="0" w:line="244"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Opportunistically evaluate strategic collaborations to maximize the value of our product candidates and preclinical programs. </w:t>
      </w:r>
      <w:r>
        <w:rPr>
          <w:rFonts w:ascii="Times New Roman" w:cs="Times New Roman" w:eastAsia="Times New Roman" w:hAnsi="Times New Roman"/>
          <w:sz w:val="20"/>
          <w:szCs w:val="20"/>
          <w:color w:val="auto"/>
        </w:rPr>
        <w:t>We have obtained exclusive, worldwide licenses for the development and commercialization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bitopertin, DISC-0974, and DISC-0998, and exclusive rights for DISC-3405 and related antibodies in all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 and preclinical programs in order to treat patients in need of new therapies, while also maximizing value for our stockholders.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Corporate History and Team</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preparing for the potential commercialization of bitopertin, if approved, and establishing and maintaining our intellectual property portfolio.</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Tibsovo, Casgevy, and Roxadustat, as well as numerous late-stage clinical and approved therapies for other therapeutic areas. Our team has significant previous experience at leading biotechnology and</w:t>
      </w:r>
    </w:p>
    <w:p>
      <w:pPr>
        <w:sectPr>
          <w:pgSz w:w="12240" w:h="15840" w:orient="portrait"/>
          <w:cols w:equalWidth="0" w:num="1">
            <w:col w:w="10460"/>
          </w:cols>
          <w:pgMar w:left="900" w:top="940" w:right="880" w:bottom="175"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460"/>
          </w:cols>
          <w:pgMar w:left="900" w:top="940" w:right="880" w:bottom="175" w:gutter="0" w:footer="0" w:header="0"/>
          <w:type w:val="continuous"/>
        </w:sectPr>
      </w:pPr>
    </w:p>
    <w:bookmarkStart w:id="12" w:name="page13"/>
    <w:bookmarkEnd w:id="12"/>
    <w:p>
      <w:pPr>
        <w:jc w:val="both"/>
        <w:spacing w:after="0" w:line="247" w:lineRule="auto"/>
        <w:rPr>
          <w:sz w:val="20"/>
          <w:szCs w:val="20"/>
          <w:color w:val="auto"/>
        </w:rPr>
      </w:pPr>
      <w:r>
        <w:rPr>
          <w:rFonts w:ascii="Times New Roman" w:cs="Times New Roman" w:eastAsia="Times New Roman" w:hAnsi="Times New Roman"/>
          <w:sz w:val="20"/>
          <w:szCs w:val="20"/>
          <w:color w:val="auto"/>
        </w:rPr>
        <w:t>pharmaceutical companies, including Acceleron Pharma, Inc., Agios Pharmaceuticals, Inc., Albireo Pharma, Inc., Bristol-Myers Squibb Company, CRISPR Therapeutics AG, FibroGen, Inc., Genzyme Corporation, Johnson &amp; Johnson, Merck &amp; Co., Inc., Pfizer Inc., Replimune Group Inc., Takeda Pharmaceutical Co., Vertex Pharmaceuticals Incorporated, and The Medicines Company. Our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Heme Biosynthesis Modulation Portfolio</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Heme Biosynthesis: Fundamental to Erythropoiesis</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 is regulated by the availability of heme. As a result, agents that affect heme biosynthesis have broad potential to treat diseases of the heme and hemoglobin biosynthesis pathways and other hematologic diseases resulting from dysregulated erythropoiesis.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189865</wp:posOffset>
            </wp:positionV>
            <wp:extent cx="5105400" cy="1924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5105400"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Heme Biosynthesis as a Therapeutic Target for Diseases</w:t>
      </w:r>
    </w:p>
    <w:p>
      <w:pPr>
        <w:spacing w:after="0" w:line="119" w:lineRule="exact"/>
        <w:rPr>
          <w:sz w:val="20"/>
          <w:szCs w:val="20"/>
          <w:color w:val="auto"/>
        </w:rPr>
      </w:pPr>
    </w:p>
    <w:p>
      <w:pPr>
        <w:jc w:val="both"/>
        <w:ind w:firstLine="5"/>
        <w:spacing w:after="0" w:line="243" w:lineRule="auto"/>
        <w:rPr>
          <w:sz w:val="20"/>
          <w:szCs w:val="20"/>
          <w:color w:val="auto"/>
        </w:rPr>
      </w:pPr>
      <w:r>
        <w:rPr>
          <w:rFonts w:ascii="Times New Roman" w:cs="Times New Roman" w:eastAsia="Times New Roman" w:hAnsi="Times New Roman"/>
          <w:sz w:val="20"/>
          <w:szCs w:val="20"/>
          <w:color w:val="auto"/>
        </w:rPr>
        <w:t>In many hematologic diseases, there is abnormal proliferation and differentiation of the progenitor cells that develop into red blood cells. An alteration in any aspect of red blood cell maturation can result in the build-up of metabolic intermediates from heme and hemoglobin biosynthesis, and these intermediates can cause a variety of disease states. Defects of the heme biosynthesis enzymes in the erythroid lineage can cause the build-up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myelodysplastic syndromes, or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w:t>
      </w:r>
    </w:p>
    <w:p>
      <w:pPr>
        <w:sectPr>
          <w:pgSz w:w="12240" w:h="15840" w:orient="portrait"/>
          <w:cols w:equalWidth="0" w:num="1">
            <w:col w:w="10460"/>
          </w:cols>
          <w:pgMar w:left="900" w:top="929" w:right="880" w:bottom="221" w:gutter="0" w:footer="0" w:header="0"/>
        </w:sect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10460"/>
          </w:cols>
          <w:pgMar w:left="900" w:top="929" w:right="880" w:bottom="221" w:gutter="0" w:footer="0" w:header="0"/>
          <w:type w:val="continuous"/>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20"/>
          <w:szCs w:val="20"/>
          <w:color w:val="auto"/>
        </w:rPr>
        <w:t>Restricting heme formation has the potential to ameliorate symptoms in certain patients with these hemoglobinopathies and disorders of red blood cell excess. Therefore, we believe that inhibitors of heme biosynthesis have the potential to treat a wide range of hematologic diseases by restricting the production of damaging metabolites, including porphyrins, heme and globins.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Erythropoietic Porphyrias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196215</wp:posOffset>
            </wp:positionV>
            <wp:extent cx="3200400" cy="280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3200400" cy="280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 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 Recent analyses we completed of medical claims data using the ICD-10 code for EPP suggests there are approximately 14,000 diagnosed patients in the U.S.</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w:t>
      </w:r>
    </w:p>
    <w:p>
      <w:pPr>
        <w:sectPr>
          <w:pgSz w:w="12240" w:h="15840" w:orient="portrait"/>
          <w:cols w:equalWidth="0" w:num="1">
            <w:col w:w="10460"/>
          </w:cols>
          <w:pgMar w:left="900" w:top="930" w:right="880" w:bottom="222"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10460"/>
          </w:cols>
          <w:pgMar w:left="900" w:top="930" w:right="880" w:bottom="222" w:gutter="0" w:footer="0" w:header="0"/>
          <w:type w:val="continuous"/>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20"/>
          <w:szCs w:val="20"/>
          <w:color w:val="auto"/>
        </w:rPr>
        <w:t>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Treatment Options for Erythropoietic Porphyrias</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 are designed to promote melanin production, or tanning, and thereby increase patient tolerance to sunlight. Afamelanotide, an a-melanocyte-stimulating hormone analog delivered by a surgically-administered subcutaneous implant, was approved by the FDA in 2019 for the treatment of adults with EPP. Afamelanotide provides reduction in photosensitivity, but is not designed to reduce PPIX 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recently completed a Phase 3 clinical trial run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Relationship Between PPIX Levels and EPP/XLP Symptoms</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 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 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460"/>
          </w:cols>
          <w:pgMar w:left="900" w:top="930" w:right="880" w:bottom="17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 Bitopertin, an Oral, Selective GlyT1 Inhibitor</w:t>
      </w:r>
    </w:p>
    <w:p>
      <w:pPr>
        <w:spacing w:after="0" w:line="119" w:lineRule="exact"/>
        <w:rPr>
          <w:sz w:val="20"/>
          <w:szCs w:val="20"/>
          <w:color w:val="auto"/>
        </w:rPr>
      </w:pPr>
    </w:p>
    <w:p>
      <w:pPr>
        <w:jc w:val="both"/>
        <w:ind w:firstLine="3"/>
        <w:spacing w:after="0" w:line="249" w:lineRule="auto"/>
        <w:rPr>
          <w:sz w:val="20"/>
          <w:szCs w:val="20"/>
          <w:color w:val="auto"/>
        </w:rPr>
      </w:pPr>
      <w:r>
        <w:rPr>
          <w:rFonts w:ascii="Times New Roman" w:cs="Times New Roman" w:eastAsia="Times New Roman" w:hAnsi="Times New Roman"/>
          <w:sz w:val="20"/>
          <w:szCs w:val="20"/>
          <w:color w:val="auto"/>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and therefore has the potential to treat a range of hematologic disorders associated with the biosynthesis of heme and hemoglobin that are characterized by porphyrin toxicity or heme toxicity.</w:t>
      </w:r>
    </w:p>
    <w:p>
      <w:pPr>
        <w:spacing w:after="0" w:line="77" w:lineRule="exact"/>
        <w:rPr>
          <w:sz w:val="20"/>
          <w:szCs w:val="20"/>
          <w:color w:val="auto"/>
        </w:rPr>
      </w:pPr>
    </w:p>
    <w:p>
      <w:pPr>
        <w:ind w:right="220" w:firstLine="3"/>
        <w:spacing w:after="0" w:line="278" w:lineRule="auto"/>
        <w:rPr>
          <w:sz w:val="20"/>
          <w:szCs w:val="20"/>
          <w:color w:val="auto"/>
        </w:rPr>
      </w:pPr>
      <w:r>
        <w:rPr>
          <w:rFonts w:ascii="Times New Roman" w:cs="Times New Roman" w:eastAsia="Times New Roman" w:hAnsi="Times New Roman"/>
          <w:sz w:val="20"/>
          <w:szCs w:val="20"/>
          <w:color w:val="auto"/>
        </w:rPr>
        <w:t>We are initially focused on the ability of bitopertin to suppress the accumulation of PPIX. Based on its mechanism of action, we believe bitopertin has the potential to be a disease-modifying treatment for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43180</wp:posOffset>
            </wp:positionV>
            <wp:extent cx="3105150" cy="2085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3105150" cy="208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firstLine="3"/>
        <w:spacing w:after="0" w:line="252" w:lineRule="auto"/>
        <w:rPr>
          <w:sz w:val="20"/>
          <w:szCs w:val="20"/>
          <w:color w:val="auto"/>
        </w:rPr>
      </w:pPr>
      <w:r>
        <w:rPr>
          <w:rFonts w:ascii="Times New Roman" w:cs="Times New Roman" w:eastAsia="Times New Roman" w:hAnsi="Times New Roman"/>
          <w:sz w:val="20"/>
          <w:szCs w:val="20"/>
          <w:color w:val="auto"/>
        </w:rPr>
        <w:t>We believe that the findings from our preclinical studies, our clinical trials,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Roche Clinical Data</w:t>
      </w:r>
    </w:p>
    <w:p>
      <w:pPr>
        <w:spacing w:after="0" w:line="117" w:lineRule="exact"/>
        <w:rPr>
          <w:sz w:val="20"/>
          <w:szCs w:val="20"/>
          <w:color w:val="auto"/>
        </w:rPr>
      </w:pPr>
    </w:p>
    <w:p>
      <w:pPr>
        <w:jc w:val="both"/>
        <w:ind w:firstLine="5"/>
        <w:spacing w:after="0" w:line="244" w:lineRule="auto"/>
        <w:rPr>
          <w:sz w:val="20"/>
          <w:szCs w:val="20"/>
          <w:color w:val="auto"/>
        </w:rPr>
      </w:pPr>
      <w:r>
        <w:rPr>
          <w:rFonts w:ascii="Times New Roman" w:cs="Times New Roman" w:eastAsia="Times New Roman" w:hAnsi="Times New Roman"/>
          <w:sz w:val="20"/>
          <w:szCs w:val="20"/>
          <w:color w:val="auto"/>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the lead indication after completing over 30 clinical trials in more than 4,000 individuals. Roche conducted a pilot study for the treatment of anemia in 12 patients with beta-thalassemia, a population with a normal heme biosynthesis pathway; this trial did not show consistent increases 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A mild, dose-dependent decrease in heme biosynthesis was observed in multiple clinical trials, which manifested as a decrease in hemoglobin of approximately 0.5 to 2 g/dL that stabilized after approximately 16 weeks, the approximate lifespan of a red blood cell.</w:t>
      </w:r>
    </w:p>
    <w:p>
      <w:pPr>
        <w:spacing w:after="0" w:line="8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For example, a single dose clinical trial in healthy volunteers evaluating bitopertin at doses ranging from 3 mg to 80 mg administered once-daily in 24 individuals demonstrated dose-dependent inhibition of erythrocyte glycine uptake levels, as shown below.</w:t>
      </w:r>
    </w:p>
    <w:p>
      <w:pPr>
        <w:sectPr>
          <w:pgSz w:w="12240" w:h="15840" w:orient="portrait"/>
          <w:cols w:equalWidth="0" w:num="1">
            <w:col w:w="10460"/>
          </w:cols>
          <w:pgMar w:left="900" w:top="930" w:right="88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10460"/>
          </w:cols>
          <w:pgMar w:left="900" w:top="930" w:right="880" w:bottom="222" w:gutter="0" w:footer="0" w:header="0"/>
          <w:type w:val="continuous"/>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Bitopertin Inhibited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167640</wp:posOffset>
            </wp:positionV>
            <wp:extent cx="5562600" cy="2095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556260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5"/>
        <w:spacing w:after="0" w:line="247" w:lineRule="auto"/>
        <w:rPr>
          <w:sz w:val="20"/>
          <w:szCs w:val="20"/>
          <w:color w:val="auto"/>
        </w:rPr>
      </w:pPr>
      <w:r>
        <w:rPr>
          <w:rFonts w:ascii="Times New Roman" w:cs="Times New Roman" w:eastAsia="Times New Roman" w:hAnsi="Times New Roman"/>
          <w:sz w:val="20"/>
          <w:szCs w:val="20"/>
          <w:color w:val="auto"/>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 g/dL and approximately 1.0 g/dL, respectively. The effect of bitopertin on hemoglobin reached a plateau at approximately week 26 and effects were generally stable for the remainder of the 52-week trial.</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comprehensive data package from Roche’s healthy volunteer trials provides further support for bitopertin's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did not demonstrate any significant tolerability issues.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(n=2,438) of 5 mg, 10 mg, and 20 mg doses of bitopertin for up to 52 weeks, followed by extension phases. In these trials, bitopertin treatment was not associated with any significant tolerability issues. Most of the adverse events were considered mild or moderate in severity in these trials.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BEACON: Completed Phase 2 Clinical Trial in Patients with EPP and XLP</w:t>
      </w:r>
    </w:p>
    <w:p>
      <w:pPr>
        <w:spacing w:after="0" w:line="117" w:lineRule="exact"/>
        <w:rPr>
          <w:sz w:val="20"/>
          <w:szCs w:val="20"/>
          <w:color w:val="auto"/>
        </w:rPr>
      </w:pPr>
    </w:p>
    <w:p>
      <w:pPr>
        <w:jc w:val="both"/>
        <w:ind w:firstLine="5"/>
        <w:spacing w:after="0" w:line="244" w:lineRule="auto"/>
        <w:rPr>
          <w:sz w:val="20"/>
          <w:szCs w:val="20"/>
          <w:color w:val="auto"/>
        </w:rPr>
      </w:pPr>
      <w:r>
        <w:rPr>
          <w:rFonts w:ascii="Times New Roman" w:cs="Times New Roman" w:eastAsia="Times New Roman" w:hAnsi="Times New Roman"/>
          <w:sz w:val="20"/>
          <w:szCs w:val="20"/>
          <w:color w:val="auto"/>
        </w:rPr>
        <w:t>In July 2022, we initiated BEACON, a Phase 2 clinical trial of bitopertin in EPP and XLP patients conducted at sites in Australia. The study was a randomized, open-label, parallel-dose clinical trial designed to evaluate the safety, tolerability, and efficacy of bitopertin. It enrolled 22 adult patients and four adolescent patients with EPP or XLP. The study primarily assessed changes in levels of PPIX as well as the PK profile, safety and tolerability of bitopertin in EPP or XLP patients. It also included measures of photosensitivity, daylight tolerance, pain and exploratory biomarkers of hepatobiliary disease. Patients received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The trial design is summarized in the figure below. Participants in the BEACON trial were eligible to participate in HELIOS, an ongoing open-label, long-term extension study of bitopertin in EPP and XLP.</w:t>
      </w:r>
    </w:p>
    <w:p>
      <w:pPr>
        <w:sectPr>
          <w:pgSz w:w="12240" w:h="15840" w:orient="portrait"/>
          <w:cols w:equalWidth="0" w:num="1">
            <w:col w:w="10460"/>
          </w:cols>
          <w:pgMar w:left="900" w:top="926" w:right="88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10460"/>
          </w:cols>
          <w:pgMar w:left="900" w:top="926" w:right="880" w:bottom="222" w:gutter="0" w:footer="0" w:header="0"/>
          <w:type w:val="continuous"/>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BEACON Trial Design: Open-Label, Phase 2 Clinical Trial of Bitopertin in Patients with EPP</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or XLP (N = 22 adults, N = 4 adolescents)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121920</wp:posOffset>
            </wp:positionV>
            <wp:extent cx="5943600" cy="1647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5943600" cy="164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5"/>
        <w:spacing w:after="0" w:line="242" w:lineRule="auto"/>
        <w:rPr>
          <w:sz w:val="20"/>
          <w:szCs w:val="20"/>
          <w:color w:val="auto"/>
        </w:rPr>
      </w:pPr>
      <w:r>
        <w:rPr>
          <w:rFonts w:ascii="Times New Roman" w:cs="Times New Roman" w:eastAsia="Times New Roman" w:hAnsi="Times New Roman"/>
          <w:sz w:val="20"/>
          <w:szCs w:val="20"/>
          <w:color w:val="auto"/>
        </w:rPr>
        <w:t>Interim data from BEACON were presented at the European Hematology Association, or EHA, annual meeting in June 2023 and at the American Society of Hematology, or ASH, annual meeting in December 2023. Additional analyses were presented at the EHA annual meeting in June 2024 and at the ASH annual meeting in December 2024. Twenty-one of the 22 enrolled adults and three of the four enrolled adolescents completed the study. The average age of the adult participants was 44 years, with 64% being female. Bitopertin significantly reduced PPIX in both the adult and adolescent populations, with reductions of whole blood metal-free PPIX of &gt;40% compared to baseline in the overall adult study population, and with greater reductions in the 60 mg group than the 20 mg group. Most of the PPIX reduction occurred in the first 6 weeks of treatment. Overall, there was a 92% reduction in the incidence of patient-reported full phototoxic reactions compared to baseline. The proportion of symptom-free days improved from 33% at baseline to 79% while taking bitopertin. Sunlight tolerance improved in a series of sunlight challenges that participants self-administered weekly, according to the protocol. People with EPP experience prodromes, or early warning symptoms, of an impending full phototoxic reaction. These prodromes are reversible when sunlight exposure is discontinued, and the time until a prodrome starts is an indicator of light tolerance. Combining data from all adult participants showed a &gt;3-fold improvement in average time to prodrome, as compared to baseline (p&lt;0.01). The proportion of adult participants who conducted a sunlight challenge that did not elicit a prodrome increased from 7% at baseline to 55% while taking bitopertin. Of the adult participants that completed at least 4 months of treatment (n=21), nearly all reported improvements in quality of life measures, with 20 of 21 reporting that their EPP was “much better” or “a little better”, 19 of 21 reporting that their EPP was “not at all” or “mild” in severity, and 18 of 21 reporting that EPP impacted their quality of life in the last 7 days “not at all” or “a little bit”.</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BEACON: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6629400" cy="1924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6629400" cy="1924050"/>
                    </a:xfrm>
                    <a:prstGeom prst="rect">
                      <a:avLst/>
                    </a:prstGeom>
                    <a:noFill/>
                  </pic:spPr>
                </pic:pic>
              </a:graphicData>
            </a:graphic>
          </wp:anchor>
        </w:drawing>
      </w:r>
    </w:p>
    <w:p>
      <w:pPr>
        <w:sectPr>
          <w:pgSz w:w="12240" w:h="15840" w:orient="portrait"/>
          <w:cols w:equalWidth="0" w:num="1">
            <w:col w:w="10460"/>
          </w:cols>
          <w:pgMar w:left="900" w:top="926" w:right="8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10460"/>
          </w:cols>
          <w:pgMar w:left="900" w:top="926" w:right="880" w:bottom="187"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BEACON: Associations between PPIX Reductions and Light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161290</wp:posOffset>
            </wp:positionV>
            <wp:extent cx="3952875" cy="2085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3952875" cy="208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Safety analyses showed no serious adverse events, stable hemoglobin levels, and no anemia adverse events reported. There was one discontinuation due to an adverse event that was assessed as probably related to bitopertin treatment: a Grade 3 headache in an adult participant. Overall, 65% of participants reported dizziness, 15% of participants reported headache, and 12% of participants reported nausea.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AURORA: Completed Phase 2 Clinical Trial in Patients with EPP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Separately, in October 2022 we initiated AURORA, a Phase 2, randomized, double-blind, placebo-controlled, parallel dosing trial</w:t>
      </w:r>
    </w:p>
    <w:p>
      <w:pPr>
        <w:spacing w:after="0" w:line="29"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in 75 adult patients with EPP conducted at sites in the United States. We enrolled patients into a placebo group (n=24), a 20 mg/day dose group (n=26) and a 60 mg/day dose group (n=25),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included assessments of blood PPIX levels, with a primary endpoint of percent change in whole blood metal-free PPIX, and patient photosensitivity, including a secondary endpoint of cumulative total time in sunlight between 10:00 a.m. and 6:00 p.m. on days without pain observed over the four-month treatment period. The FDA has previously approved afamelanotide for the treatment of photosensitivity in adult EPP patients on the basis of a clinical endpoint measuring a change in pain-free time spent in sunlight in treated patients, relative to patients treated with placebo. Additional study measures included time to prodrome, hepatobiliary markers, quality of life, safety and tolerability, among others. The trial design is summarized in the figure below. Participants in the AURORA trial were eligible to participate in HELIOS, an ongoing open-label, long-term extension study of bitopertin in EPP and XLP.</w:t>
      </w:r>
    </w:p>
    <w:p>
      <w:pPr>
        <w:spacing w:after="0" w:line="208"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20"/>
          <w:szCs w:val="20"/>
          <w:b w:val="1"/>
          <w:bCs w:val="1"/>
          <w:color w:val="auto"/>
        </w:rPr>
        <w:t>AURORA Trial Design: Randomized, Double-Blind, Placebo-Controlled Phase 2 Clinical Trial of Bitopertin in Patients with EPP (N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85725</wp:posOffset>
            </wp:positionV>
            <wp:extent cx="5162550" cy="1514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5162550" cy="151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3"/>
        <w:spacing w:after="0" w:line="244" w:lineRule="auto"/>
        <w:rPr>
          <w:sz w:val="20"/>
          <w:szCs w:val="20"/>
          <w:color w:val="auto"/>
        </w:rPr>
      </w:pPr>
      <w:r>
        <w:rPr>
          <w:rFonts w:ascii="Times New Roman" w:cs="Times New Roman" w:eastAsia="Times New Roman" w:hAnsi="Times New Roman"/>
          <w:sz w:val="20"/>
          <w:szCs w:val="20"/>
          <w:color w:val="auto"/>
        </w:rPr>
        <w:t>We presented topline data from AURORA in April 2024. Additional analyses were presented at the EHA annual meeting in June 2024 and at the ASH annual meeting in December 2024. Seventy-two of the 75 participants completed the study. With respect to the primary endpoint, bitopertin resulted in significant, dose-dependent, and sustained reductions in whole blood PPIX levels compared to baseline (-21.5% for 20 mg (p=0.004 vs placebo) and -41.7% for 60 mg (p&lt;0.001 vs placebo); the placebo group had mean increases of +8.1%). As in BEACON, most of the PPIX reduction occurred in the first 6 weeks of treatment. With respect to clinical efficacy endpoints, there were substantial and dose-dependent reductions in phototoxic reactions with pain during the four- month study period, consisting of a 75% reduction in the incidence rate of new phototoxic reactions with pain at the 60 mg dose group compared to placebo (p=0.011), and a 60% reduction in the 20 mg dose group compared to placebo (p=0.109). Fewer bitopertin-treated patients reported a phototoxic event compared to placebo (19% for 20 mg and 12% for 60 mg compared</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460"/>
          </w:cols>
          <w:pgMar w:left="900" w:top="926" w:right="880" w:bottom="175" w:gutter="0" w:footer="0" w:header="0"/>
          <w:type w:val="continuous"/>
        </w:sectPr>
      </w:pPr>
    </w:p>
    <w:bookmarkStart w:id="19" w:name="page20"/>
    <w:bookmarkEnd w:id="19"/>
    <w:p>
      <w:pPr>
        <w:jc w:val="both"/>
        <w:ind w:firstLine="2"/>
        <w:spacing w:after="0" w:line="242" w:lineRule="auto"/>
        <w:rPr>
          <w:sz w:val="20"/>
          <w:szCs w:val="20"/>
          <w:color w:val="auto"/>
        </w:rPr>
      </w:pPr>
      <w:r>
        <w:rPr>
          <w:rFonts w:ascii="Times New Roman" w:cs="Times New Roman" w:eastAsia="Times New Roman" w:hAnsi="Times New Roman"/>
          <w:sz w:val="20"/>
          <w:szCs w:val="20"/>
          <w:color w:val="auto"/>
        </w:rPr>
        <w:t>to 46% for placebo). There were also dose-dependent improvements in quality-of-life scores as measured by the Patient Global Impression of Change, or PGIC, scale, which were statistically significant for the 60 mg dose: 77% of completers at 20 mg and 86% at 60 mg (p=0.022 vs placebo) reported that their EPP was “much better” compared with 50% for placebo. With respect to cumulative total time in sunlight on days without pain, bitopertin-treated patients recorded a mean of 175.1 hours at 20 mg and 153.1 hours at 60 mg, compared with 133.9 hours for placebo. While the magnitude of the improvement in the bitopertin-treated patients from baseline was comparable to that observed in the BEACON study, the benefit in the placebo arm in the AURORA trial was greater than expected and the results were not statistically significant compared to placebo. In addition, there were large improvements in light tolerance from baseline in 20 mg and 60 mg bitopertin treatment groups as measured by time to prodrome, but the results were not statistically significant relative to placebo. However, a post-hoc longitudinal analysis showed time-dependent improvement in light tolerance that was nominally significant compared to placebo in both the 20 mg (p=0.026) and 60 mg (p=0.013) dose groups, and a two-fold improvement in light tolerance relative to baseline in both 20 mg and 60 mg dose groups. Greater PPIX reductions were associated with improvements in multiple light tolerance measures, including cumulative total time in light, average time in sunlight without pain, change from baseline in time to prodrome, as well as PGIC, and evaluation of the time course of phototoxic reactions and sunlight exposure showed greater treatment effect in the time period after the PPIX nadir was reached, including elimination of observed phototoxic reactions in the 60 mg dose group.</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AURORA: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167640</wp:posOffset>
            </wp:positionV>
            <wp:extent cx="4029075" cy="1933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4029075" cy="193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AURORA: Association between PPIX Change and Clinical Measures with Bitopertin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167640</wp:posOffset>
            </wp:positionV>
            <wp:extent cx="4191000" cy="2057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4191000" cy="2057400"/>
                    </a:xfrm>
                    <a:prstGeom prst="rect">
                      <a:avLst/>
                    </a:prstGeom>
                    <a:noFill/>
                  </pic:spPr>
                </pic:pic>
              </a:graphicData>
            </a:graphic>
          </wp:anchor>
        </w:drawing>
      </w:r>
    </w:p>
    <w:p>
      <w:pPr>
        <w:sectPr>
          <w:pgSz w:w="12240" w:h="15840" w:orient="portrait"/>
          <w:cols w:equalWidth="0" w:num="1">
            <w:col w:w="10460"/>
          </w:cols>
          <w:pgMar w:left="900" w:top="929" w:right="8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10460"/>
          </w:cols>
          <w:pgMar w:left="900" w:top="929" w:right="880" w:bottom="187"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1871980</wp:posOffset>
            </wp:positionH>
            <wp:positionV relativeFrom="page">
              <wp:posOffset>612775</wp:posOffset>
            </wp:positionV>
            <wp:extent cx="4029075" cy="2238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02907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
        <w:spacing w:after="0" w:line="248" w:lineRule="auto"/>
        <w:rPr>
          <w:sz w:val="20"/>
          <w:szCs w:val="20"/>
          <w:color w:val="auto"/>
        </w:rPr>
      </w:pPr>
      <w:r>
        <w:rPr>
          <w:rFonts w:ascii="Times New Roman" w:cs="Times New Roman" w:eastAsia="Times New Roman" w:hAnsi="Times New Roman"/>
          <w:sz w:val="20"/>
          <w:szCs w:val="20"/>
          <w:color w:val="auto"/>
        </w:rPr>
        <w:t>Bitopertin was generally well tolerated in both dose groups with no serious adverse events and stable hemoglobin levels. Two patients discontinued treatment due to treatment-emergent adverse events, both in the 60 mg dose group and both of which were assessed as possibly related to bitopertin: one due to dizziness and one due to a skin rash. The most common adverse event reported with bitopertin treatment was dizziness: n=4 in the 20 mg dose group and n=11 in the 60 mg dose group, compared with n=3 in the placebo group (median durations of 8.5, 5.0, and 1.0 days, for the 20 mg, 60 mg, and placebo groups, respectively).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HELIOS: Ongoing Phase 2 Open-Label, Long-Term Extension Study of Bitopertin in Patients with EPP and XLP</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HELIOS is an ongoing Phase 2, open-label, long-term extension trial of bitopertin in patients with EPP and XLP that enrolled 86 adult and adolescent patients with EPP from the BEACON and AURORA trials. Patients were randomized to receive 20 mg or 60 mg bitopertin in BEACON and 20 mg or 60 mg bitopertin or placebo in AURORA, with all patients transitioning to a 60 mg daily dose of bitopertin in HELIOS. The primary and secondary endpoints of this trial are safety and tolerability and percent change in whole blood metal-free PPIX, respectively. Additional study assessments include a daily sun exposure diary, patient-reported quality of life and liver fibrosis measurements.</w:t>
      </w:r>
    </w:p>
    <w:p>
      <w:pPr>
        <w:spacing w:after="0" w:line="80" w:lineRule="exact"/>
        <w:rPr>
          <w:sz w:val="20"/>
          <w:szCs w:val="20"/>
          <w:color w:val="auto"/>
        </w:rPr>
      </w:pPr>
    </w:p>
    <w:p>
      <w:pPr>
        <w:jc w:val="both"/>
        <w:ind w:firstLine="5"/>
        <w:spacing w:after="0" w:line="245" w:lineRule="auto"/>
        <w:rPr>
          <w:sz w:val="20"/>
          <w:szCs w:val="20"/>
          <w:color w:val="auto"/>
        </w:rPr>
      </w:pPr>
      <w:r>
        <w:rPr>
          <w:rFonts w:ascii="Times New Roman" w:cs="Times New Roman" w:eastAsia="Times New Roman" w:hAnsi="Times New Roman"/>
          <w:sz w:val="20"/>
          <w:szCs w:val="20"/>
          <w:color w:val="auto"/>
        </w:rPr>
        <w:t>Interim data from this trial was first presented at the EHA annual meeting in June 2025. Of the 86 enrolled patients, data were presented from the 67 participants who had completed a 24-week treatment period as of a February 4, 2025 data cutoff date. Two participants withdrew early from the trial due to an adverse event. Results demonstrated that longer term treatment with bitopertin was associated with sustained reductions in PPIX, with additional benefit for patients receiving the 60 mg dose continuously. In addition, continuous treatment with 60 mg of bitopertin was associated with reduction of alanine aminotransferase, or ALT, and other exploratory hepatobiliary biomarkers, and nearly all participants reported substantial improvements in quality of life measures. In this interim dataset, bitopertin exhibited a favorable longer-term safety profile with up to 2+ years of exposure and similar safety results across adults and adolescents with EPP and XLP.</w:t>
      </w:r>
    </w:p>
    <w:p>
      <w:pPr>
        <w:sectPr>
          <w:pgSz w:w="12240" w:h="15840" w:orient="portrait"/>
          <w:cols w:equalWidth="0" w:num="1">
            <w:col w:w="10460"/>
          </w:cols>
          <w:pgMar w:left="900" w:top="1440" w:right="8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13</w:t>
      </w:r>
    </w:p>
    <w:p>
      <w:pPr>
        <w:sectPr>
          <w:pgSz w:w="12240" w:h="15840" w:orient="portrait"/>
          <w:cols w:equalWidth="0" w:num="1">
            <w:col w:w="10460"/>
          </w:cols>
          <w:pgMar w:left="900" w:top="1440" w:right="880" w:bottom="210" w:gutter="0" w:footer="0" w:header="0"/>
          <w:type w:val="continuous"/>
        </w:sectPr>
      </w:pPr>
    </w:p>
    <w:bookmarkStart w:id="21" w:name="page22"/>
    <w:bookmarkEnd w:id="21"/>
    <w:p>
      <w:pPr>
        <w:spacing w:after="0" w:line="275" w:lineRule="auto"/>
        <w:rPr>
          <w:sz w:val="20"/>
          <w:szCs w:val="20"/>
          <w:color w:val="auto"/>
        </w:rPr>
      </w:pPr>
      <w:r>
        <w:rPr>
          <w:rFonts w:ascii="Times New Roman" w:cs="Times New Roman" w:eastAsia="Times New Roman" w:hAnsi="Times New Roman"/>
          <w:sz w:val="20"/>
          <w:szCs w:val="20"/>
          <w:i w:val="1"/>
          <w:iCs w:val="1"/>
          <w:color w:val="auto"/>
        </w:rPr>
        <w:t>APOLLO: Ongoing Phase 3 Randomized, Double-Blind, Placebo-Controlled, Clinical Trial of Bitopertin in Patients with EPP and XLP</w:t>
      </w:r>
    </w:p>
    <w:p>
      <w:pPr>
        <w:spacing w:after="0" w:line="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In December 2024, we aligned with the FDA on the design of APOLLO, a Phase 3, randomized, double-blind, placebo-controlled, clinical trial of bitopertin in EPP and XLP patients. Key features of the trial include:</w:t>
      </w:r>
    </w:p>
    <w:p>
      <w:pPr>
        <w:spacing w:after="0" w:line="184" w:lineRule="exact"/>
        <w:rPr>
          <w:sz w:val="20"/>
          <w:szCs w:val="20"/>
          <w:color w:val="auto"/>
        </w:rPr>
      </w:pPr>
    </w:p>
    <w:p>
      <w:pPr>
        <w:jc w:val="both"/>
        <w:ind w:left="720" w:hanging="367"/>
        <w:spacing w:after="0" w:line="258"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Co-primary endpoints of average monthly total time in sunlight without pain between 10:00 a.m. and 6:00 p.m. during the last month of the six-month treatment period and percent change from baseline in whole blood metal-free PPIX after six months of treatment;</w:t>
      </w:r>
    </w:p>
    <w:p>
      <w:pPr>
        <w:spacing w:after="0" w:line="20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Other measures of efficacy such as occurrence of phototoxic reactions, cumulative total pain-free time in sunlight, PGIC, and time to prodrome;</w:t>
      </w:r>
    </w:p>
    <w:p>
      <w:pPr>
        <w:spacing w:after="0" w:line="184" w:lineRule="exact"/>
        <w:rPr>
          <w:rFonts w:ascii="Arial" w:cs="Arial" w:eastAsia="Arial" w:hAnsi="Arial"/>
          <w:sz w:val="20"/>
          <w:szCs w:val="20"/>
          <w:color w:val="auto"/>
        </w:rPr>
      </w:pPr>
    </w:p>
    <w:p>
      <w:pPr>
        <w:ind w:left="720" w:hanging="367"/>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Selection of 60 mg dose of bitopertin and six-month treatment duration;</w:t>
      </w:r>
    </w:p>
    <w:p>
      <w:pPr>
        <w:spacing w:after="0" w:line="253" w:lineRule="exact"/>
        <w:rPr>
          <w:rFonts w:ascii="Arial" w:cs="Arial" w:eastAsia="Arial" w:hAnsi="Arial"/>
          <w:sz w:val="20"/>
          <w:szCs w:val="20"/>
          <w:color w:val="auto"/>
        </w:rPr>
      </w:pPr>
    </w:p>
    <w:p>
      <w:pPr>
        <w:ind w:left="720" w:hanging="367"/>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Inclusion of patients aged 12+ with EPP, including XLP; and</w:t>
      </w:r>
    </w:p>
    <w:p>
      <w:pPr>
        <w:spacing w:after="0" w:line="25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Double-blind, placebo-controlled study with at least 150 patients randomized 1:1 across sites in the United States, Canada, Europe and Australia.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initiated the APOLLO trial in May 2025 and anticipate topline data in the fourth quarter of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NDA for Bitopertin in EPP and XLP</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our end-of-Phase 2 meeting in September 2024, the FDA agreed with the potential for reduction of PPIX to serve as a surrogate endpoint to support a potential accelerated approval of bitopertin in EPP and XLP. In our Type C meeting in December 2024, we aligned with the FDA on the design of our APOLLO clinical trial, that in the setting of an accelerated approval would serve as a post- marketing confirmatory trial. In September 2025 we submitted an NDA for accelerated approval of bitopertin in EPP and XLP in the United States based on our existing data. In October 2025, we were awarded a CNPV from the FDA for bitopertin in EPP and XLP. The CNPV program, announced in June 2025, is designed to accelerate the development and review of certain drugs aligned with US national health priorities. The FDA accepted our NDA for review in November 2025 and in February 2026 issued a CRL.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in PPIX is reasonably likely to predict clinical benefit, despite the strong mechanistic and biological plausibility supporting the use of the PPIX biomarker in protoporphyria. The FDA indicated that results of the ongoing APOLLO trial could serve as evidence to support a potential traditional approval, and we plan to request a Type A meeting to review our approach with the FDA. We plan to submit a response to the CRL following receipt of topline data from the APOLLO clinical trial, which we expect to report in the fourth quarter of 2026. The APOLLO trial is also intended to serve as a registrational trial with respect to any potential future marketing applications for bitopertin in EPP and XLP outside the United States.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Bitopertin in Additional Indications: Diamond-Blackfan Anemia</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believe that bitopertin may be therapeutically beneficial for the treatment of DBA.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We have entered into a collaborative research and development agreement with the NIH to conduct an NIH-sponsored clinical trial of bitopertin in DBA, which trial began in July 2023 and results were reported in December 2025. In this trial, bitopertin was generally well-tolerated, and bioavailability, pharmacokinetics and effects upon hemoglobin were consistent with the Roche clinical data set. Although bitopertin did not yield transfusion-independence in these patients, the baseline iron overload, marrow hypocellularity and prior failure of steroids reflected a cohort with long-standing disease and minimal erythropoietic marrow reserve.</w:t>
      </w:r>
    </w:p>
    <w:p>
      <w:pPr>
        <w:sectPr>
          <w:pgSz w:w="12240" w:h="15840" w:orient="portrait"/>
          <w:cols w:equalWidth="0" w:num="1">
            <w:col w:w="10460"/>
          </w:cols>
          <w:pgMar w:left="900" w:top="932"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460"/>
          </w:cols>
          <w:pgMar w:left="900" w:top="932" w:right="88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Our Iron Homeostasis Portfolio</w:t>
      </w:r>
    </w:p>
    <w:p>
      <w:pPr>
        <w:spacing w:after="0" w:line="123" w:lineRule="exact"/>
        <w:rPr>
          <w:sz w:val="20"/>
          <w:szCs w:val="20"/>
          <w:color w:val="auto"/>
        </w:rPr>
      </w:pPr>
    </w:p>
    <w:p>
      <w:pPr>
        <w:jc w:val="both"/>
        <w:ind w:firstLine="5"/>
        <w:spacing w:after="0" w:line="245" w:lineRule="auto"/>
        <w:rPr>
          <w:sz w:val="20"/>
          <w:szCs w:val="20"/>
          <w:color w:val="auto"/>
        </w:rPr>
      </w:pPr>
      <w:r>
        <w:rPr>
          <w:rFonts w:ascii="Times New Roman" w:cs="Times New Roman" w:eastAsia="Times New Roman" w:hAnsi="Times New Roman"/>
          <w:sz w:val="20"/>
          <w:szCs w:val="20"/>
          <w:color w:val="auto"/>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Hepcidin: The Master Regulator of Iron Homeostasis</w:t>
      </w:r>
    </w:p>
    <w:p>
      <w:pPr>
        <w:spacing w:after="0" w:line="119" w:lineRule="exact"/>
        <w:rPr>
          <w:sz w:val="20"/>
          <w:szCs w:val="20"/>
          <w:color w:val="auto"/>
        </w:rPr>
      </w:pPr>
    </w:p>
    <w:p>
      <w:pPr>
        <w:jc w:val="both"/>
        <w:ind w:right="20" w:firstLine="5"/>
        <w:spacing w:after="0" w:line="245" w:lineRule="auto"/>
        <w:rPr>
          <w:sz w:val="20"/>
          <w:szCs w:val="20"/>
          <w:color w:val="auto"/>
        </w:rPr>
      </w:pPr>
      <w:r>
        <w:rPr>
          <w:rFonts w:ascii="Times New Roman" w:cs="Times New Roman" w:eastAsia="Times New Roman" w:hAnsi="Times New Roman"/>
          <w:sz w:val="20"/>
          <w:szCs w:val="20"/>
          <w:color w:val="auto"/>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189865</wp:posOffset>
            </wp:positionV>
            <wp:extent cx="5648325" cy="2171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564832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Hepcidin is a Therapeutic Target for Diseases of Iron Metabolism</w:t>
      </w:r>
    </w:p>
    <w:p>
      <w:pPr>
        <w:spacing w:after="0" w:line="119" w:lineRule="exact"/>
        <w:rPr>
          <w:sz w:val="20"/>
          <w:szCs w:val="20"/>
          <w:color w:val="auto"/>
        </w:rPr>
      </w:pPr>
    </w:p>
    <w:p>
      <w:pPr>
        <w:jc w:val="both"/>
        <w:ind w:firstLine="3"/>
        <w:spacing w:after="0" w:line="244" w:lineRule="auto"/>
        <w:rPr>
          <w:sz w:val="20"/>
          <w:szCs w:val="20"/>
          <w:color w:val="auto"/>
        </w:rPr>
      </w:pPr>
      <w:r>
        <w:rPr>
          <w:rFonts w:ascii="Times New Roman" w:cs="Times New Roman" w:eastAsia="Times New Roman" w:hAnsi="Times New Roman"/>
          <w:sz w:val="20"/>
          <w:szCs w:val="20"/>
          <w:color w:val="auto"/>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SCD, iron restriction and agents that increase hepcidin could be beneficial by lowering the concentration of sickle hemoglobin inside red blood cells and reducing the tendency of red blood cells to sickle and hemolyze, the red blood cell processes which can lead to the clinical sequelae in SCD.</w:t>
      </w:r>
    </w:p>
    <w:p>
      <w:pPr>
        <w:sectPr>
          <w:pgSz w:w="12240" w:h="15840" w:orient="portrait"/>
          <w:cols w:equalWidth="0" w:num="1">
            <w:col w:w="10460"/>
          </w:cols>
          <w:pgMar w:left="900" w:top="926" w:right="8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15</w:t>
      </w:r>
    </w:p>
    <w:p>
      <w:pPr>
        <w:sectPr>
          <w:pgSz w:w="12240" w:h="15840" w:orient="portrait"/>
          <w:cols w:equalWidth="0" w:num="1">
            <w:col w:w="10460"/>
          </w:cols>
          <w:pgMar w:left="900" w:top="926" w:right="880" w:bottom="21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195580</wp:posOffset>
            </wp:positionV>
            <wp:extent cx="6096000" cy="1562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6096000" cy="156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
        <w:spacing w:after="0" w:line="252" w:lineRule="auto"/>
        <w:rPr>
          <w:sz w:val="20"/>
          <w:szCs w:val="20"/>
          <w:color w:val="auto"/>
        </w:rPr>
      </w:pPr>
      <w:r>
        <w:rPr>
          <w:rFonts w:ascii="Times New Roman" w:cs="Times New Roman" w:eastAsia="Times New Roman" w:hAnsi="Times New Roman"/>
          <w:sz w:val="20"/>
          <w:szCs w:val="20"/>
          <w:color w:val="auto"/>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Hepcidin Suppression</w:t>
      </w:r>
    </w:p>
    <w:p>
      <w:pPr>
        <w:spacing w:after="0" w:line="117" w:lineRule="exact"/>
        <w:rPr>
          <w:sz w:val="20"/>
          <w:szCs w:val="20"/>
          <w:color w:val="auto"/>
        </w:rPr>
      </w:pPr>
    </w:p>
    <w:p>
      <w:pPr>
        <w:jc w:val="both"/>
        <w:ind w:firstLine="3"/>
        <w:spacing w:after="0" w:line="249" w:lineRule="auto"/>
        <w:rPr>
          <w:sz w:val="20"/>
          <w:szCs w:val="20"/>
          <w:color w:val="auto"/>
        </w:rPr>
      </w:pPr>
      <w:r>
        <w:rPr>
          <w:rFonts w:ascii="Times New Roman" w:cs="Times New Roman" w:eastAsia="Times New Roman" w:hAnsi="Times New Roman"/>
          <w:sz w:val="20"/>
          <w:szCs w:val="20"/>
          <w:color w:val="auto"/>
        </w:rPr>
        <w:t>We are developing a portfolio of product candidates designed to lower hepcidin and restore serum iron levels to address anemia of inflammatory diseases. Our lead product candidate, DISC-0974, is a monoclonal antibody, which we in -licensed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Hepcidin Induction</w:t>
      </w:r>
    </w:p>
    <w:p>
      <w:pPr>
        <w:spacing w:after="0" w:line="117" w:lineRule="exact"/>
        <w:rPr>
          <w:sz w:val="20"/>
          <w:szCs w:val="20"/>
          <w:color w:val="auto"/>
        </w:rPr>
      </w:pPr>
    </w:p>
    <w:p>
      <w:pPr>
        <w:jc w:val="both"/>
        <w:ind w:right="20" w:firstLine="3"/>
        <w:spacing w:after="0" w:line="246" w:lineRule="auto"/>
        <w:rPr>
          <w:sz w:val="20"/>
          <w:szCs w:val="20"/>
          <w:color w:val="auto"/>
        </w:rPr>
      </w:pPr>
      <w:r>
        <w:rPr>
          <w:rFonts w:ascii="Times New Roman" w:cs="Times New Roman" w:eastAsia="Times New Roman" w:hAnsi="Times New Roman"/>
          <w:sz w:val="20"/>
          <w:szCs w:val="20"/>
          <w:color w:val="auto"/>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DISC-3405, which we licensed from Mabwell,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Lead Hepcidin Suppression Program: DISC-0974 For the Treatment of Anemia of Inflammatory Diseases</w:t>
      </w:r>
    </w:p>
    <w:p>
      <w:pPr>
        <w:spacing w:after="0" w:line="119" w:lineRule="exact"/>
        <w:rPr>
          <w:sz w:val="20"/>
          <w:szCs w:val="20"/>
          <w:color w:val="auto"/>
        </w:rPr>
      </w:pPr>
    </w:p>
    <w:p>
      <w:pPr>
        <w:jc w:val="both"/>
        <w:ind w:firstLine="3"/>
        <w:spacing w:after="0" w:line="246" w:lineRule="auto"/>
        <w:rPr>
          <w:sz w:val="20"/>
          <w:szCs w:val="20"/>
          <w:color w:val="auto"/>
        </w:rPr>
      </w:pPr>
      <w:r>
        <w:rPr>
          <w:rFonts w:ascii="Times New Roman" w:cs="Times New Roman" w:eastAsia="Times New Roman" w:hAnsi="Times New Roman"/>
          <w:sz w:val="20"/>
          <w:szCs w:val="20"/>
          <w:color w:val="auto"/>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Anemia Associated with Inflammatory Diseases</w:t>
      </w:r>
    </w:p>
    <w:p>
      <w:pPr>
        <w:spacing w:after="0" w:line="117" w:lineRule="exact"/>
        <w:rPr>
          <w:sz w:val="20"/>
          <w:szCs w:val="20"/>
          <w:color w:val="auto"/>
        </w:rPr>
      </w:pPr>
    </w:p>
    <w:p>
      <w:pPr>
        <w:jc w:val="both"/>
        <w:ind w:firstLine="2"/>
        <w:spacing w:after="0" w:line="245" w:lineRule="auto"/>
        <w:rPr>
          <w:sz w:val="20"/>
          <w:szCs w:val="20"/>
          <w:color w:val="auto"/>
        </w:rPr>
      </w:pPr>
      <w:r>
        <w:rPr>
          <w:rFonts w:ascii="Times New Roman" w:cs="Times New Roman" w:eastAsia="Times New Roman" w:hAnsi="Times New Roman"/>
          <w:sz w:val="20"/>
          <w:szCs w:val="20"/>
          <w:color w:val="auto"/>
        </w:rPr>
        <w:t>Anemia of inflammation is a hallmark of a wide range of autoimmune and chronic diseases, including MF, IBD, CKD, rheumatoid arthritis, cancer, obesity, chronic obstructive pulmonary disease, and cardiovascular disease. Anemia occurs frequently in these diseases and for example, affects approximately 87% of MF, 25-35% of IBD, 17-50% of CKD,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ectPr>
          <w:pgSz w:w="12240" w:h="15840" w:orient="portrait"/>
          <w:cols w:equalWidth="0" w:num="1">
            <w:col w:w="10460"/>
          </w:cols>
          <w:pgMar w:left="900" w:top="926" w:right="8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10460"/>
          </w:cols>
          <w:pgMar w:left="900" w:top="926" w:right="880" w:bottom="187"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i w:val="1"/>
          <w:iCs w:val="1"/>
          <w:color w:val="auto"/>
        </w:rPr>
        <w:t>Anemia of Myelofibrosis</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MF is a rare, chronic blood cancer that currently affects an estimated 25,000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77" w:lineRule="exact"/>
        <w:rPr>
          <w:sz w:val="20"/>
          <w:szCs w:val="20"/>
          <w:color w:val="auto"/>
        </w:rPr>
      </w:pPr>
    </w:p>
    <w:p>
      <w:pPr>
        <w:jc w:val="both"/>
        <w:ind w:firstLine="2"/>
        <w:spacing w:after="0" w:line="244" w:lineRule="auto"/>
        <w:rPr>
          <w:sz w:val="20"/>
          <w:szCs w:val="20"/>
          <w:color w:val="auto"/>
        </w:rPr>
      </w:pPr>
      <w:r>
        <w:rPr>
          <w:rFonts w:ascii="Times New Roman" w:cs="Times New Roman" w:eastAsia="Times New Roman" w:hAnsi="Times New Roman"/>
          <w:sz w:val="20"/>
          <w:szCs w:val="20"/>
          <w:color w:val="auto"/>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pacing w:after="0" w:line="82" w:lineRule="exact"/>
        <w:rPr>
          <w:sz w:val="20"/>
          <w:szCs w:val="20"/>
          <w:color w:val="auto"/>
        </w:rPr>
      </w:pPr>
    </w:p>
    <w:p>
      <w:pPr>
        <w:jc w:val="both"/>
        <w:ind w:right="20" w:firstLine="7"/>
        <w:spacing w:after="0" w:line="259" w:lineRule="auto"/>
        <w:rPr>
          <w:sz w:val="20"/>
          <w:szCs w:val="20"/>
          <w:color w:val="auto"/>
        </w:rPr>
      </w:pPr>
      <w:r>
        <w:rPr>
          <w:rFonts w:ascii="Times New Roman" w:cs="Times New Roman" w:eastAsia="Times New Roman" w:hAnsi="Times New Roman"/>
          <w:sz w:val="20"/>
          <w:szCs w:val="20"/>
          <w:color w:val="auto"/>
        </w:rPr>
        <w:t>Currently, patients with MF are treated with JAK inhibitors approved to treat intermediate or high risk MF, including ruxolitinib and fedratinib, which reduce splenomegaly and other symptoms, but typically worsen anemia to the point that patients frequently discontinue treatment.</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189865</wp:posOffset>
            </wp:positionV>
            <wp:extent cx="3886200" cy="2619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3886200" cy="2619375"/>
                    </a:xfrm>
                    <a:prstGeom prst="rect">
                      <a:avLst/>
                    </a:prstGeom>
                    <a:noFill/>
                  </pic:spPr>
                </pic:pic>
              </a:graphicData>
            </a:graphic>
          </wp:anchor>
        </w:drawing>
      </w:r>
    </w:p>
    <w:p>
      <w:pPr>
        <w:sectPr>
          <w:pgSz w:w="12240" w:h="15840" w:orient="portrait"/>
          <w:cols w:equalWidth="0" w:num="1">
            <w:col w:w="10460"/>
          </w:cols>
          <w:pgMar w:left="900" w:top="932" w:right="8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10460"/>
          </w:cols>
          <w:pgMar w:left="900" w:top="932" w:right="880" w:bottom="187" w:gutter="0" w:footer="0" w:header="0"/>
          <w:type w:val="continuous"/>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196215</wp:posOffset>
            </wp:positionV>
            <wp:extent cx="2819400" cy="2105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2819400" cy="210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Anemia of Inflammatory Bowel Disease</w:t>
      </w:r>
    </w:p>
    <w:p>
      <w:pPr>
        <w:spacing w:after="0" w:line="117" w:lineRule="exact"/>
        <w:rPr>
          <w:sz w:val="20"/>
          <w:szCs w:val="20"/>
          <w:color w:val="auto"/>
        </w:rPr>
      </w:pPr>
    </w:p>
    <w:p>
      <w:pPr>
        <w:jc w:val="both"/>
        <w:ind w:firstLine="5"/>
        <w:spacing w:after="0" w:line="244" w:lineRule="auto"/>
        <w:rPr>
          <w:sz w:val="20"/>
          <w:szCs w:val="20"/>
          <w:color w:val="auto"/>
        </w:rPr>
      </w:pPr>
      <w:r>
        <w:rPr>
          <w:rFonts w:ascii="Times New Roman" w:cs="Times New Roman" w:eastAsia="Times New Roman" w:hAnsi="Times New Roman"/>
          <w:sz w:val="20"/>
          <w:szCs w:val="20"/>
          <w:color w:val="auto"/>
        </w:rPr>
        <w:t>IBD, which includes Crohn’s disease and ulcerative colitis, is characterized by chronic inflammation of the gastrointestinal tract. IBD is estimated to affect more than two million people in North America and is associated with numerous symptoms and complications, with the most common being anemia, which can be caused by anemia of inflammation, iron deficiency, and/or blood loss. Anemia has been found to occur in up to 74% of hospitalized IBD patients. Anemia of inflammation is driven by low iron availability from elevated hepcidin levels. Iron deficiency in IBD is caused by inadequate intake, malabsorption (including duodenal involvement and surgical removal), and chronic blood loss by mucosal ulcerations. There is no directed treatment option for anemia of inflammation beyond improving the disease status of the underlying IBD. Iron supplementation can correct iron deficiency and improve anemia due to low total body iron. IBD-associated anemia is associated with a significant decrease in quality of life and with clinical symptoms such as chronic fatigue, dizziness, reduced exercise tolerance, pale skin, nails, conjunctiva, and fainting. However, despite these numerous adverse symptoms, anemia of IBD remains undertreated.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 DISC-0974, an Anti-HJV Monoclonal Antibody</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DISC-0974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and our completed Phase 1 clinical trial, we are developing DISC-0974 as a once-monthly, subcutaneous injection.</w:t>
      </w:r>
    </w:p>
    <w:p>
      <w:pPr>
        <w:sectPr>
          <w:pgSz w:w="12240" w:h="15840" w:orient="portrait"/>
          <w:cols w:equalWidth="0" w:num="1">
            <w:col w:w="10460"/>
          </w:cols>
          <w:pgMar w:left="900" w:top="926" w:right="8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18</w:t>
      </w:r>
    </w:p>
    <w:p>
      <w:pPr>
        <w:sectPr>
          <w:pgSz w:w="12240" w:h="15840" w:orient="portrait"/>
          <w:cols w:equalWidth="0" w:num="1">
            <w:col w:w="10460"/>
          </w:cols>
          <w:pgMar w:left="900" w:top="926" w:right="880" w:bottom="21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i w:val="1"/>
          <w:iCs w:val="1"/>
          <w:color w:val="auto"/>
        </w:rPr>
        <w:t>Hemojuvelin Has a Critical and Specific Role for Hepcidin Regulation and Homeostasis</w:t>
      </w:r>
    </w:p>
    <w:p>
      <w:pPr>
        <w:spacing w:after="0" w:line="11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2159635</wp:posOffset>
            </wp:positionH>
            <wp:positionV relativeFrom="paragraph">
              <wp:posOffset>200660</wp:posOffset>
            </wp:positionV>
            <wp:extent cx="2305050" cy="2343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2305050" cy="234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196215</wp:posOffset>
            </wp:positionV>
            <wp:extent cx="3343275" cy="2543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3343275" cy="2543175"/>
                    </a:xfrm>
                    <a:prstGeom prst="rect">
                      <a:avLst/>
                    </a:prstGeom>
                    <a:noFill/>
                  </pic:spPr>
                </pic:pic>
              </a:graphicData>
            </a:graphic>
          </wp:anchor>
        </w:drawing>
      </w:r>
    </w:p>
    <w:p>
      <w:pPr>
        <w:sectPr>
          <w:pgSz w:w="12240" w:h="15840" w:orient="portrait"/>
          <w:cols w:equalWidth="0" w:num="1">
            <w:col w:w="10460"/>
          </w:cols>
          <w:pgMar w:left="900" w:top="932" w:right="8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10460"/>
          </w:cols>
          <w:pgMar w:left="900" w:top="932" w:right="880" w:bottom="187" w:gutter="0" w:footer="0" w:header="0"/>
          <w:type w:val="continuous"/>
        </w:sectPr>
      </w:pPr>
    </w:p>
    <w:bookmarkStart w:id="27" w:name="page28"/>
    <w:bookmarkEnd w:id="27"/>
    <w:p>
      <w:pPr>
        <w:jc w:val="both"/>
        <w:ind w:firstLine="5"/>
        <w:spacing w:after="0" w:line="246" w:lineRule="auto"/>
        <w:rPr>
          <w:sz w:val="20"/>
          <w:szCs w:val="20"/>
          <w:color w:val="auto"/>
        </w:rPr>
      </w:pPr>
      <w:r>
        <w:rPr>
          <w:rFonts w:ascii="Times New Roman" w:cs="Times New Roman" w:eastAsia="Times New Roman" w:hAnsi="Times New Roman"/>
          <w:sz w:val="20"/>
          <w:szCs w:val="20"/>
          <w:color w:val="auto"/>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Completed Phase 1 Clinical Trial</w:t>
      </w:r>
    </w:p>
    <w:p>
      <w:pPr>
        <w:spacing w:after="0" w:line="117" w:lineRule="exact"/>
        <w:rPr>
          <w:sz w:val="20"/>
          <w:szCs w:val="20"/>
          <w:color w:val="auto"/>
        </w:rPr>
      </w:pPr>
    </w:p>
    <w:p>
      <w:pPr>
        <w:jc w:val="both"/>
        <w:ind w:right="20" w:firstLine="5"/>
        <w:spacing w:after="0" w:line="265" w:lineRule="auto"/>
        <w:rPr>
          <w:sz w:val="20"/>
          <w:szCs w:val="20"/>
          <w:color w:val="auto"/>
        </w:rPr>
      </w:pPr>
      <w:r>
        <w:rPr>
          <w:rFonts w:ascii="Times New Roman" w:cs="Times New Roman" w:eastAsia="Times New Roman" w:hAnsi="Times New Roman"/>
          <w:sz w:val="19"/>
          <w:szCs w:val="19"/>
          <w:color w:val="auto"/>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 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189865</wp:posOffset>
            </wp:positionV>
            <wp:extent cx="5648325" cy="2143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56483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firstLine="3"/>
        <w:spacing w:after="0" w:line="278" w:lineRule="auto"/>
        <w:rPr>
          <w:sz w:val="20"/>
          <w:szCs w:val="20"/>
          <w:color w:val="auto"/>
        </w:rPr>
      </w:pPr>
      <w:r>
        <w:rPr>
          <w:rFonts w:ascii="Times New Roman" w:cs="Times New Roman" w:eastAsia="Times New Roman" w:hAnsi="Times New Roman"/>
          <w:sz w:val="20"/>
          <w:szCs w:val="20"/>
          <w:color w:val="auto"/>
        </w:rPr>
        <w:t>We have completed this Phase 1 clinical trial. Data from the Phase 1 clinical trial showed an acceptable tolerability profile and evidence of target engagement and iron mobilization and augmented erythropoiesis.</w:t>
      </w:r>
    </w:p>
    <w:p>
      <w:pPr>
        <w:spacing w:after="0" w:line="4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Notably, at the 56 mg SC dose level, a single administration of DISC-0974 resulted in a statistically significant improvement in hemoglobin compared to placebo (+1.1 g/dL, p=0.009) at Day 42 and a marked increase in red blood cell count. 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EHA meeting in June 2022 and the 2022 ASH annual meeting.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Ongoing Phase 1b/2 Clinical Trial in Patients with Anemia of MF</w:t>
      </w:r>
    </w:p>
    <w:p>
      <w:pPr>
        <w:spacing w:after="0" w:line="117" w:lineRule="exact"/>
        <w:rPr>
          <w:sz w:val="20"/>
          <w:szCs w:val="20"/>
          <w:color w:val="auto"/>
        </w:rPr>
      </w:pPr>
    </w:p>
    <w:p>
      <w:pPr>
        <w:jc w:val="both"/>
        <w:ind w:firstLine="5"/>
        <w:spacing w:after="0" w:line="249" w:lineRule="auto"/>
        <w:rPr>
          <w:sz w:val="20"/>
          <w:szCs w:val="20"/>
          <w:color w:val="auto"/>
        </w:rPr>
      </w:pPr>
      <w:r>
        <w:rPr>
          <w:rFonts w:ascii="Times New Roman" w:cs="Times New Roman" w:eastAsia="Times New Roman" w:hAnsi="Times New Roman"/>
          <w:sz w:val="20"/>
          <w:szCs w:val="20"/>
          <w:color w:val="auto"/>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JAK inhibitors. The study is being conducted in two parts:</w:t>
      </w:r>
    </w:p>
    <w:p>
      <w:pPr>
        <w:spacing w:after="0" w:line="92"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20"/>
          <w:szCs w:val="20"/>
          <w:color w:val="auto"/>
        </w:rPr>
        <w:t>Phase 1b (Dose-Escalation): Ascending, monthly doses of DISC-0974 administered for six months to patients with anemia of MF, (Hb levels &lt; 10 g/dL,), where a dose level is selected based on optimal increases in hemoglobin and serum iron;</w:t>
      </w:r>
    </w:p>
    <w:p>
      <w:pPr>
        <w:sectPr>
          <w:pgSz w:w="12240" w:h="15840" w:orient="portrait"/>
          <w:cols w:equalWidth="0" w:num="1">
            <w:col w:w="10460"/>
          </w:cols>
          <w:pgMar w:left="900" w:top="929" w:right="8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10460"/>
          </w:cols>
          <w:pgMar w:left="900" w:top="929" w:right="880" w:bottom="187" w:gutter="0" w:footer="0" w:header="0"/>
          <w:type w:val="continuous"/>
        </w:sectPr>
      </w:pPr>
    </w:p>
    <w:bookmarkStart w:id="28" w:name="page29"/>
    <w:bookmarkEnd w:id="28"/>
    <w:p>
      <w:pPr>
        <w:jc w:val="both"/>
        <w:ind w:left="720" w:right="20"/>
        <w:spacing w:after="0" w:line="259" w:lineRule="auto"/>
        <w:rPr>
          <w:sz w:val="20"/>
          <w:szCs w:val="20"/>
          <w:color w:val="auto"/>
        </w:rPr>
      </w:pPr>
      <w:r>
        <w:rPr>
          <w:rFonts w:ascii="Times New Roman" w:cs="Times New Roman" w:eastAsia="Times New Roman" w:hAnsi="Times New Roman"/>
          <w:sz w:val="20"/>
          <w:szCs w:val="20"/>
          <w:color w:val="auto"/>
        </w:rPr>
        <w:t>Phase 2 (Expansion Stage): Multiple doses of DISC-0974 administered once-a-month at the dose level selected from the Phase 1b portion of the study to patients with anemia of MF who are transfusion dependent or non-transfusion dependent, generally defined according to the baseline transfusion burden in a 12-week period.</w:t>
      </w:r>
    </w:p>
    <w:p>
      <w:pPr>
        <w:spacing w:after="0" w:line="65" w:lineRule="exact"/>
        <w:rPr>
          <w:sz w:val="20"/>
          <w:szCs w:val="20"/>
          <w:color w:val="auto"/>
        </w:rPr>
      </w:pPr>
    </w:p>
    <w:p>
      <w:pPr>
        <w:jc w:val="both"/>
        <w:ind w:firstLine="5"/>
        <w:spacing w:after="0"/>
        <w:rPr>
          <w:sz w:val="20"/>
          <w:szCs w:val="20"/>
          <w:color w:val="auto"/>
        </w:rPr>
      </w:pPr>
      <w:r>
        <w:rPr>
          <w:rFonts w:ascii="Times New Roman" w:cs="Times New Roman" w:eastAsia="Times New Roman" w:hAnsi="Times New Roman"/>
          <w:sz w:val="20"/>
          <w:szCs w:val="20"/>
          <w:color w:val="auto"/>
        </w:rPr>
        <w:t xml:space="preserve">Interim data from the Phase 1b part of this trial was first presented at the ASH annual meeting in December 2023, with additional interim data presented in June 2024 and additional analyses presented in December 2024 and June 2025. Of the 35 enrolled patients, data from 32 evaluable participants in the five dose cohorts (14 mg, 28 mg, 50 mg, 75 mg and 100 mg) were presented as of an October 17, 2024 data cutoff date. Two participants withdrew early from the trial due to an inadequate response, and two participants were not considered evaluable for efficacy due to incomplete transfusion data entry as of the October 17, 2024 data cutoff. Thirteen participants were taking concomitant JAK inhibitors. Twenty-two of the evaluable participants were non-transfusion dependent receiving no transfusions (nTD), five were transfusion dependent with one to two transfusions within a 12-week period at baseline (TD Low), and five were transfusion dependent with three to 12 transfusions within a 12-week period at baseline (TD High). DISC-0974 was administered subcutaneously at 14 mg (n=1), 28 mg (n=7), 50 mg (n=12), 75 mg (n=9), or 100 mg (n=6) every four weeks for up to six treatments; patients can remain on continuation treatment after the first six doses. Results demonstrated consistent, substantial decreases in hepcidin reaching &gt;75% from baseline and corresponding increases in serum iron across patients, which translated to increased levels of reticulocyte hemoglobin and hemoglobin, as well as reduced levels of zinc protoporphyrin, a marker of iron-restricted erythropoiesis. 68% of baseline nTD patients achieved a hemoglobin increase of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g/dL during the study period and 50% had sustained mean increases for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weeks. 100% of TD Low patients achieved a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reduction in transfusion requirement, and 80% of TD Low patients achieved transfusion independence, defined as no blood transfusions, over a 16-week period. 60% of TD High patients achieved a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reduction in transfusion requirement, and 40% of evaluable TD High patients achieved transfusion independence over a 12-week period. 54% of patients receiving concomitant JAK inhibitor therapy achieved a major hematologic response.</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DISC-0974 Anemia of MF Phase 1b Clinical Trial Results: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629400" cy="2228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662940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DISC-0974 was generally well-tolerated at all evaluated dose levels. Diarrhea was the only adverse event that was considered related to DISC-0974 and reported in two or more subjects. The majority of adverse events were not considered related to DISC-0974.</w:t>
      </w:r>
    </w:p>
    <w:p>
      <w:pPr>
        <w:spacing w:after="0" w:line="68" w:lineRule="exact"/>
        <w:rPr>
          <w:sz w:val="20"/>
          <w:szCs w:val="20"/>
          <w:color w:val="auto"/>
        </w:rPr>
      </w:pPr>
    </w:p>
    <w:p>
      <w:pPr>
        <w:jc w:val="both"/>
        <w:ind w:right="20" w:firstLine="5"/>
        <w:spacing w:after="0" w:line="278" w:lineRule="auto"/>
        <w:rPr>
          <w:sz w:val="20"/>
          <w:szCs w:val="20"/>
          <w:color w:val="auto"/>
        </w:rPr>
      </w:pPr>
      <w:r>
        <w:rPr>
          <w:rFonts w:ascii="Times New Roman" w:cs="Times New Roman" w:eastAsia="Times New Roman" w:hAnsi="Times New Roman"/>
          <w:sz w:val="20"/>
          <w:szCs w:val="20"/>
          <w:color w:val="auto"/>
        </w:rPr>
        <w:t>In December 2024, we initiated RALLY-MF, the open-label Phase 2 portion of this clinical trial to evaluate the safety, tolerability and efficacy of DISC-0974 in patients with anemia of MF. The Phase 2 study design is summarized below.</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460"/>
          </w:cols>
          <w:pgMar w:left="900" w:top="944" w:right="880" w:bottom="175" w:gutter="0" w:footer="0" w:header="0"/>
          <w:type w:val="continuous"/>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RALLY-MF Trial Design: Open-Label Phase 2 Clinical Trial of DISC-0974 in Patients with Anemia of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161290</wp:posOffset>
            </wp:positionV>
            <wp:extent cx="6438900" cy="2333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6438900"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818181"/>
        </w:rPr>
        <w:t>*Patients carried over from Phase 1b: nTD n=8, TD (Low + High) n=4</w:t>
      </w:r>
    </w:p>
    <w:p>
      <w:pPr>
        <w:spacing w:after="0" w:line="114" w:lineRule="exact"/>
        <w:rPr>
          <w:sz w:val="20"/>
          <w:szCs w:val="20"/>
          <w:color w:val="auto"/>
        </w:rPr>
      </w:pPr>
    </w:p>
    <w:p>
      <w:pPr>
        <w:jc w:val="both"/>
        <w:ind w:firstLine="5"/>
        <w:spacing w:after="0"/>
        <w:rPr>
          <w:sz w:val="20"/>
          <w:szCs w:val="20"/>
          <w:color w:val="auto"/>
        </w:rPr>
      </w:pPr>
      <w:r>
        <w:rPr>
          <w:rFonts w:ascii="Times New Roman" w:cs="Times New Roman" w:eastAsia="Times New Roman" w:hAnsi="Times New Roman"/>
          <w:sz w:val="20"/>
          <w:szCs w:val="20"/>
          <w:color w:val="auto"/>
        </w:rPr>
        <w:t xml:space="preserve">Initial data from the Phase 2 part of this trial was first presented at the ASH annual meeting in December 2025. Of the 47 patients enrolled as of the October 16, 2025 cutoff date, data from 34 evaluable participants were presented. Eighteen of the evaluable participants were taking concomitant JAK inhibitors. Twenty-four of the evaluable participants were non-transfusion dependent receiving no transfusions (nTD), seven were transfusion dependent with one to two transfusions within a 12-week period at baseline (TD Low), and three were transfusion dependent with three to 12 transfusions within a 12-week period at baseline (TD High). DISC-0974 was administered subcutaneously at 50 mg every four weeks for up to six treatments. Initial results demonstrated consistent, substantial decreases in hepcidin reaching &gt;75% from baseline and corresponding increases in serum iron across patients. 63% of baseline nTD patients achieved a hemoglobin increase of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g/dL for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weeks (an overall response) and 50% had an increase of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g/dL for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weeks (a major response). 71% of TD Low patients achieved transfusion independence, defined as no blood transfusions, over a 16-week period. 67% of TD High patients with at least 85 days on study achieved a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reduction in transfusion requirement, and initial data for an additional n=3 TD High patients was trending towards a major response of transfusion independence for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weeks. 50% of patients receiving concomitant JAK inhibitor therapy achieved a major hematologic response. Dosing with DISC-0974 was associated with improvements in FACIT-Fatigue scores in nTD and TD Low participants.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Initial RALLY-MF Phase 2 Clinical Trial Results: Effects on Hepcidin and Iron Serum, and Hematologic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6629400" cy="2238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extLst>
                    </a:blip>
                    <a:srcRect/>
                    <a:stretch>
                      <a:fillRect/>
                    </a:stretch>
                  </pic:blipFill>
                  <pic:spPr bwMode="auto">
                    <a:xfrm>
                      <a:off x="0" y="0"/>
                      <a:ext cx="662940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DISC-0974 was generally well-tolerated. Diarrhea and urinary tract infections, neither considered serious, were the only adverse events that were considered related to DISC-0974 and reported in two or more subjects. The majority of adverse events were not considered related to DISC-0974.</w:t>
      </w:r>
    </w:p>
    <w:p>
      <w:pPr>
        <w:spacing w:after="0" w:line="65" w:lineRule="exact"/>
        <w:rPr>
          <w:sz w:val="20"/>
          <w:szCs w:val="20"/>
          <w:color w:val="auto"/>
        </w:rPr>
      </w:pPr>
    </w:p>
    <w:p>
      <w:pPr>
        <w:jc w:val="both"/>
        <w:ind w:right="20" w:firstLine="3"/>
        <w:spacing w:after="0" w:line="278" w:lineRule="auto"/>
        <w:rPr>
          <w:sz w:val="20"/>
          <w:szCs w:val="20"/>
          <w:color w:val="auto"/>
        </w:rPr>
      </w:pPr>
      <w:r>
        <w:rPr>
          <w:rFonts w:ascii="Times New Roman" w:cs="Times New Roman" w:eastAsia="Times New Roman" w:hAnsi="Times New Roman"/>
          <w:sz w:val="20"/>
          <w:szCs w:val="20"/>
          <w:color w:val="auto"/>
        </w:rPr>
        <w:t>We expect to report topline data from our RALLY-MF Phase 2 trial in 2026, which, if positive, are expected to support discussions with regulatory agencies on the potential regulatory path for DISC-0974 in anemia of MF.</w:t>
      </w:r>
    </w:p>
    <w:p>
      <w:pPr>
        <w:sectPr>
          <w:pgSz w:w="12240" w:h="15840" w:orient="portrait"/>
          <w:cols w:equalWidth="0" w:num="1">
            <w:col w:w="10460"/>
          </w:cols>
          <w:pgMar w:left="900" w:top="926" w:right="880" w:bottom="187"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10460"/>
          </w:cols>
          <w:pgMar w:left="900" w:top="926" w:right="880" w:bottom="187"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i w:val="1"/>
          <w:iCs w:val="1"/>
          <w:color w:val="auto"/>
        </w:rPr>
        <w:t>Ongoing Phase 2 Clinical Trial in Patients with Anemia of Inflammatory Bowel Disease</w:t>
      </w:r>
    </w:p>
    <w:p>
      <w:pPr>
        <w:spacing w:after="0" w:line="117" w:lineRule="exact"/>
        <w:rPr>
          <w:sz w:val="20"/>
          <w:szCs w:val="20"/>
          <w:color w:val="auto"/>
        </w:rPr>
      </w:pPr>
    </w:p>
    <w:p>
      <w:pPr>
        <w:ind w:right="40" w:firstLine="3"/>
        <w:spacing w:after="0" w:line="278" w:lineRule="auto"/>
        <w:rPr>
          <w:sz w:val="20"/>
          <w:szCs w:val="20"/>
          <w:color w:val="auto"/>
        </w:rPr>
      </w:pPr>
      <w:r>
        <w:rPr>
          <w:rFonts w:ascii="Times New Roman" w:cs="Times New Roman" w:eastAsia="Times New Roman" w:hAnsi="Times New Roman"/>
          <w:sz w:val="20"/>
          <w:szCs w:val="20"/>
          <w:color w:val="auto"/>
        </w:rPr>
        <w:t>We initiated a Phase 2 clinical trial of DISC-0974 in patients with IBD and anemia in the first quarter of 2026. The study design is below. We are also planning exploratory studies in additional patient populations with anemia of chronic disease.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Phase 2 Clinical Trial of DISC-0974 in IBD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98425</wp:posOffset>
            </wp:positionV>
            <wp:extent cx="5629275" cy="3390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extLst>
                    </a:blip>
                    <a:srcRect/>
                    <a:stretch>
                      <a:fillRect/>
                    </a:stretch>
                  </pic:blipFill>
                  <pic:spPr bwMode="auto">
                    <a:xfrm>
                      <a:off x="0" y="0"/>
                      <a:ext cx="5629275" cy="339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Completed Phase 1b Clinical Trial in Patients with Non-Dialysis Dependent Chronic Kidney Disease (NDD-CKD)</w:t>
      </w:r>
    </w:p>
    <w:p>
      <w:pPr>
        <w:spacing w:after="0" w:line="117" w:lineRule="exact"/>
        <w:rPr>
          <w:sz w:val="20"/>
          <w:szCs w:val="20"/>
          <w:color w:val="auto"/>
        </w:rPr>
      </w:pPr>
    </w:p>
    <w:p>
      <w:pPr>
        <w:jc w:val="both"/>
        <w:ind w:firstLine="5"/>
        <w:spacing w:after="0" w:line="249" w:lineRule="auto"/>
        <w:rPr>
          <w:sz w:val="20"/>
          <w:szCs w:val="20"/>
          <w:color w:val="auto"/>
        </w:rPr>
      </w:pPr>
      <w:r>
        <w:rPr>
          <w:rFonts w:ascii="Times New Roman" w:cs="Times New Roman" w:eastAsia="Times New Roman" w:hAnsi="Times New Roman"/>
          <w:sz w:val="20"/>
          <w:szCs w:val="20"/>
          <w:color w:val="auto"/>
        </w:rPr>
        <w:t>In February 2023, we initiated a Phase 1b clinical trial to evaluate the safety, tolerability and efficacy of DISC-0974 in patients with CKD who are not receiving dialysis and are anemic. The study consisted of two parts: a randomized, placebo-controlled, single-ascending dose stage, where a dose level was selected based on optimal increases in serum iron; followed by an expansion stage where patients received multiple doses of DISC-0974 at the selected dose level. The study endpoints include hepcidin levels, serum iron and markers of iron mobilization and measures of anemia benefit such as hemoglobin.</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Phase 1b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162560</wp:posOffset>
            </wp:positionV>
            <wp:extent cx="5067300" cy="2343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extLst>
                    </a:blip>
                    <a:srcRect/>
                    <a:stretch>
                      <a:fillRect/>
                    </a:stretch>
                  </pic:blipFill>
                  <pic:spPr bwMode="auto">
                    <a:xfrm>
                      <a:off x="0" y="0"/>
                      <a:ext cx="5067300" cy="234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20"/>
          <w:szCs w:val="20"/>
          <w:color w:val="auto"/>
        </w:rPr>
        <w:t>Interim data from the SAD portion of this trial were presented in December 2023 and October 2024. Additional data, including data from the multiple dose portion of this trial, were presented in October 2025. In this trial, DISC-0974 was generally well-tolerated and results demonstrated substantial decreases in hepcidin, increases in iron, and improvements in markers of</w:t>
      </w:r>
    </w:p>
    <w:p>
      <w:pPr>
        <w:sectPr>
          <w:pgSz w:w="12240" w:h="15840" w:orient="portrait"/>
          <w:cols w:equalWidth="0" w:num="1">
            <w:col w:w="10460"/>
          </w:cols>
          <w:pgMar w:left="900" w:top="932" w:right="880" w:bottom="210" w:gutter="0" w:footer="0" w:header="0"/>
        </w:sectPr>
      </w:pP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23</w:t>
      </w:r>
    </w:p>
    <w:p>
      <w:pPr>
        <w:sectPr>
          <w:pgSz w:w="12240" w:h="15840" w:orient="portrait"/>
          <w:cols w:equalWidth="0" w:num="1">
            <w:col w:w="10460"/>
          </w:cols>
          <w:pgMar w:left="900" w:top="932" w:right="880" w:bottom="210" w:gutter="0" w:footer="0" w:header="0"/>
          <w:type w:val="continuous"/>
        </w:sectPr>
      </w:pPr>
    </w:p>
    <w:bookmarkStart w:id="31" w:name="page32"/>
    <w:bookmarkEnd w:id="31"/>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erythropoiesis. However, meaningful hemoglobin increases were observed in only a subset of patients, which were in part driven by those with higher baseline erythropoietin, or EPO, levels. As such, DISC-0974 demonstrated engagement of mechanism in anemia of NDD-CKD but with variable effects on hemoglobin. We are assessing options for our DISC-0974 NDD-CKD program on the basis of this data.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Second Hepcidin Suppression Program: DISC-0998</w:t>
      </w:r>
    </w:p>
    <w:p>
      <w:pPr>
        <w:spacing w:after="0" w:line="119" w:lineRule="exact"/>
        <w:rPr>
          <w:sz w:val="20"/>
          <w:szCs w:val="20"/>
          <w:color w:val="auto"/>
        </w:rPr>
      </w:pPr>
    </w:p>
    <w:p>
      <w:pPr>
        <w:jc w:val="both"/>
        <w:ind w:firstLine="3"/>
        <w:spacing w:after="0" w:line="252" w:lineRule="auto"/>
        <w:rPr>
          <w:sz w:val="20"/>
          <w:szCs w:val="20"/>
          <w:color w:val="auto"/>
        </w:rPr>
      </w:pPr>
      <w:r>
        <w:rPr>
          <w:rFonts w:ascii="Times New Roman" w:cs="Times New Roman" w:eastAsia="Times New Roman" w:hAnsi="Times New Roman"/>
          <w:sz w:val="20"/>
          <w:szCs w:val="20"/>
          <w:color w:val="auto"/>
        </w:rPr>
        <w:t>We are also developing a next-generation, long-acting antibody that targets hepcidin suppression, which efforts include our preclinical product candidate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p>
    <w:p>
      <w:pPr>
        <w:spacing w:after="0" w:line="74" w:lineRule="exact"/>
        <w:rPr>
          <w:sz w:val="20"/>
          <w:szCs w:val="20"/>
          <w:color w:val="auto"/>
        </w:rPr>
      </w:pPr>
    </w:p>
    <w:p>
      <w:pPr>
        <w:jc w:val="both"/>
        <w:ind w:right="20" w:firstLine="2"/>
        <w:spacing w:after="0" w:line="249" w:lineRule="auto"/>
        <w:rPr>
          <w:sz w:val="20"/>
          <w:szCs w:val="20"/>
          <w:color w:val="auto"/>
        </w:rPr>
      </w:pPr>
      <w:r>
        <w:rPr>
          <w:rFonts w:ascii="Times New Roman" w:cs="Times New Roman" w:eastAsia="Times New Roman" w:hAnsi="Times New Roman"/>
          <w:sz w:val="20"/>
          <w:szCs w:val="20"/>
          <w:color w:val="auto"/>
        </w:rPr>
        <w:t>A dose response PK/PD study of DISC-0998 in NHPs demonstrated that it had a lower clearance (~30 - 40%), higher volume of distribution (~30 - 70%), and longer half-life (~2 times), which translated to a longer duration of PD effects compared to DISC-0974. A single dose of DISC-0998 resulted in sustained elevation of serum iron levels. If these data are confirmed in humans, it would suggest the potential for an infrequent dosing regimen (such as potentially once every 2 or 3 months). We expect that such a dosing regimen would be perceived as convenient by patients and promote compliance.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continuing IND-enabling activities for this next-generation hepcidin suppression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Hepcidin Induction Program</w:t>
      </w:r>
    </w:p>
    <w:p>
      <w:pPr>
        <w:spacing w:after="0" w:line="119" w:lineRule="exact"/>
        <w:rPr>
          <w:sz w:val="20"/>
          <w:szCs w:val="20"/>
          <w:color w:val="auto"/>
        </w:rPr>
      </w:pPr>
    </w:p>
    <w:p>
      <w:pPr>
        <w:jc w:val="both"/>
        <w:ind w:right="20" w:firstLine="3"/>
        <w:spacing w:after="0" w:line="245" w:lineRule="auto"/>
        <w:rPr>
          <w:sz w:val="20"/>
          <w:szCs w:val="20"/>
          <w:color w:val="auto"/>
        </w:rPr>
      </w:pPr>
      <w:r>
        <w:rPr>
          <w:rFonts w:ascii="Times New Roman" w:cs="Times New Roman" w:eastAsia="Times New Roman" w:hAnsi="Times New Roman"/>
          <w:sz w:val="20"/>
          <w:szCs w:val="20"/>
          <w:color w:val="auto"/>
        </w:rPr>
        <w:t>We are also focused on developing product candidates designed to increase hepcidin levels and decrease serum iron levels to address a range of diseases where restricting iron would be beneficial, such as erythrocytosis of PV and diseases of iron overload, including SCD. Our lead hepcidin induction program, DISC-3405, is a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TMPRSS6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91440</wp:posOffset>
            </wp:positionV>
            <wp:extent cx="2695575" cy="2752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269557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Polycythemia Vera</w:t>
      </w:r>
    </w:p>
    <w:p>
      <w:pPr>
        <w:spacing w:after="0" w:line="11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7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Current management of PV centers around depleting the number of red blood cells to maintain a patient’s hematocrit (a measure of red blood cell mass) below 45%, the target threshold recommended by the National Comprehensive Cancer Network to reduce</w:t>
      </w:r>
    </w:p>
    <w:p>
      <w:pPr>
        <w:sectPr>
          <w:pgSz w:w="12240" w:h="15840" w:orient="portrait"/>
          <w:cols w:equalWidth="0" w:num="1">
            <w:col w:w="10460"/>
          </w:cols>
          <w:pgMar w:left="900" w:top="929" w:right="880" w:bottom="187"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10460"/>
          </w:cols>
          <w:pgMar w:left="900" w:top="929" w:right="880" w:bottom="187" w:gutter="0" w:footer="0" w:header="0"/>
          <w:type w:val="continuous"/>
        </w:sectPr>
      </w:pPr>
    </w:p>
    <w:bookmarkStart w:id="32" w:name="page33"/>
    <w:bookmarkEnd w:id="32"/>
    <w:p>
      <w:pPr>
        <w:jc w:val="both"/>
        <w:spacing w:after="0" w:line="245" w:lineRule="auto"/>
        <w:rPr>
          <w:sz w:val="20"/>
          <w:szCs w:val="20"/>
          <w:color w:val="auto"/>
        </w:rPr>
      </w:pPr>
      <w:r>
        <w:rPr>
          <w:rFonts w:ascii="Times New Roman" w:cs="Times New Roman" w:eastAsia="Times New Roman" w:hAnsi="Times New Roman"/>
          <w:sz w:val="20"/>
          <w:szCs w:val="20"/>
          <w:color w:val="auto"/>
        </w:rPr>
        <w:t>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Sickle Cell Disease</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SCD is an inherited blood disorder caused by mutations in hemoglobin that enable the hemoglobin to form long polymeric chains under certain conditions such as low oxygenation, or deoxygenation. Polymerization of this irregular hemoglobin results in red blood cells taking on a sickle shape, causing them to aggregate and obstruct small blood vessels, as well as hemolyze and release toxic metabolites, which collectively can restrict blood flow to organs resulting in pain, cell death and organ damage. We estimate that the prevalence of SCD is approximately 100,000 individuals in the United States, and greater than three million individuals worldwide. Red blood cell deoxygenation is modulated by several factors, including the levels of 2,3-diphosphoglycerate, or 2,3-DPG, which is found to be elevated in sickle cell patient red blood cells. Current treatment strategies focus on managing and preventing acute red blood cell sickling, and include hydroxyurea, L-glutamine and blood transfusions, as well as recently approved therapies such as Adakveo®, Casgevy®, and Lfygenia®.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Solution: DISC-3405 (MWTX-003), an anti-TMPRSS6 monoclonal antibody</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January 2023, we in-licensed MWTX-003 and other related molecules from Mabwell. In the Disc compound catalog, MWTX-003 is named DISC-3405. DISC-3405 is a monoclonal antibody designed to inhibit TMPRSS6, a serine protease that degrades HJV, a receptor required for hepcidin expression. TMPRSS6 plays a critical and specific function in iron metabolism by limiting the production of hepcidin. By inhibiting TMPRSS6, DISC-3405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Phase 2 and Phase 3 clinical trials conducted by a third-party, a peptide hepcidin mimetic administered weekly by subcutaneous injection lowered iron availability and reduced hematocrit in patients with PV, resulting in a substantial reduction in requirements for phlebotomy and improvements in disease symptoms. In SCD, iron depletion has been shown in open-label case series in SCD patients to reduce hemolysis and reduce some SCD complications. The rationale for limiting iron availability for red blood cell production rests in the relationship between sickle hemoglobin concentration inside red blood cells and the tendency for the sickle hemoglobin to polymerize and cause hemolysis, which is an initial step in SCD pathophysiology. By restricting iron availability through hepcidin induction, sickle hemoglobin concentration, and consequently abnormal sickle hemoglobin polymerization and hemolysis, is anticipated to be reduced and potentially lead to improved red blood cell health and fewer clinical complications of SCD. We are initially focused on developing our anti-TMPRSS6 programs as a potential treatment for PV and SCD, with plans to expand development to encompass additional diseases of iron overload and other conditions where restriction of iron would have therapeutic benefit.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Data</w:t>
      </w:r>
    </w:p>
    <w:p>
      <w:pPr>
        <w:spacing w:after="0" w:line="1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Preclinical studies of MWTX-003 have demonstrated that TMPRSS6 inhibition with a monoclonal antibody can induce hepcidin expression and consequently restrict iron availability. Specifically, preclinical studies have demonstrated:</w:t>
      </w:r>
    </w:p>
    <w:p>
      <w:pPr>
        <w:spacing w:after="0" w:line="64" w:lineRule="exact"/>
        <w:rPr>
          <w:sz w:val="20"/>
          <w:szCs w:val="20"/>
          <w:color w:val="auto"/>
        </w:rPr>
      </w:pPr>
    </w:p>
    <w:p>
      <w:pPr>
        <w:ind w:left="720" w:hanging="367"/>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Dose-dependent induction of endogenous hepcidin production in rodent and NHP studies;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hepcidin, reductions in serum and liver iron, and increases in red blood cells in a murine model of beta-thalassemia; and</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Reductions in iron and hematocrit in a murine model of PV.</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460"/>
          </w:cols>
          <w:pgMar w:left="900" w:top="930" w:right="880" w:bottom="175" w:gutter="0" w:footer="0" w:header="0"/>
          <w:type w:val="continuous"/>
        </w:sectPr>
      </w:pPr>
    </w:p>
    <w:bookmarkStart w:id="33" w:name="page34"/>
    <w:bookmarkEnd w:id="33"/>
    <w:p>
      <w:pPr>
        <w:jc w:val="center"/>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Treatment with MWTX-003 resulted in deep and sustained suppression of serum iron levels in normal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40005</wp:posOffset>
            </wp:positionV>
            <wp:extent cx="3810000" cy="2343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extLst>
                    </a:blip>
                    <a:srcRect/>
                    <a:stretch>
                      <a:fillRect/>
                    </a:stretch>
                  </pic:blipFill>
                  <pic:spPr bwMode="auto">
                    <a:xfrm>
                      <a:off x="0" y="0"/>
                      <a:ext cx="3810000" cy="234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 Additionally, a study was conducted assessing the efficacy of MWTX-003 in PV using a Jak2</w:t>
      </w:r>
      <w:r>
        <w:rPr>
          <w:rFonts w:ascii="Times New Roman" w:cs="Times New Roman" w:eastAsia="Times New Roman" w:hAnsi="Times New Roman"/>
          <w:sz w:val="13"/>
          <w:szCs w:val="13"/>
          <w:color w:val="auto"/>
        </w:rPr>
        <w:t>V</w:t>
      </w:r>
      <w:r>
        <w:rPr>
          <w:rFonts w:ascii="Times New Roman" w:cs="Times New Roman" w:eastAsia="Times New Roman" w:hAnsi="Times New Roman"/>
          <w:sz w:val="26"/>
          <w:szCs w:val="26"/>
          <w:color w:val="auto"/>
          <w:vertAlign w:val="superscript"/>
        </w:rPr>
        <w:t>617</w:t>
      </w:r>
      <w:r>
        <w:rPr>
          <w:rFonts w:ascii="Times New Roman" w:cs="Times New Roman" w:eastAsia="Times New Roman" w:hAnsi="Times New Roman"/>
          <w:sz w:val="13"/>
          <w:szCs w:val="13"/>
          <w:color w:val="auto"/>
        </w:rPr>
        <w:t>F</w:t>
      </w:r>
      <w:r>
        <w:rPr>
          <w:rFonts w:ascii="Times New Roman" w:cs="Times New Roman" w:eastAsia="Times New Roman" w:hAnsi="Times New Roman"/>
          <w:sz w:val="20"/>
          <w:szCs w:val="20"/>
          <w:color w:val="auto"/>
        </w:rPr>
        <w:t xml:space="preserve"> bone marrow transplantation mouse model. In these mice, treatment with MWTX-003 at 2-10 mg/kg every 4 days for 3 weeks led to significantly increased serum hepcidin with reduced hematocrit levels, red blood cell counts, and hemoglobin concentration that were comparable to that of wildtype control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Completed Phase 1 Clinical Trial</w:t>
      </w:r>
    </w:p>
    <w:p>
      <w:pPr>
        <w:spacing w:after="0" w:line="117" w:lineRule="exact"/>
        <w:rPr>
          <w:sz w:val="20"/>
          <w:szCs w:val="20"/>
          <w:color w:val="auto"/>
        </w:rPr>
      </w:pPr>
    </w:p>
    <w:p>
      <w:pPr>
        <w:jc w:val="both"/>
        <w:ind w:firstLine="3"/>
        <w:spacing w:after="0" w:line="247" w:lineRule="auto"/>
        <w:rPr>
          <w:sz w:val="20"/>
          <w:szCs w:val="20"/>
          <w:color w:val="auto"/>
        </w:rPr>
      </w:pPr>
      <w:r>
        <w:rPr>
          <w:rFonts w:ascii="Times New Roman" w:cs="Times New Roman" w:eastAsia="Times New Roman" w:hAnsi="Times New Roman"/>
          <w:sz w:val="20"/>
          <w:szCs w:val="20"/>
          <w:color w:val="auto"/>
        </w:rPr>
        <w:t>We initiated a Phase 1 clinical trial of DISC-3405 in healthy adult volunteers in October 2023. Interim data was presented from the SAD portion of the Phase 1 clinical trial in June 2024. We presented data from the MAD portion of the Phase 1 healthy volunteer study of DISC-3405 in December 2024. In the SAD portion of this trial, healthy males and females ages 18 to 65 were given a single dose of placebo (n=10) or DISC-3405 at 75 mg intravenously (IV) (n=6), 37.5 mg subcutaneously (SC) (n=6), 75 mg SC (n=6), 150 mg SC (n=6), or 300 mg SC (n=6). The MAD portion of this trial included placebo (n=4), 75 mg SC (n=6), and 150 mg SC (n=6) cohorts dosed every four weeks for a total of two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133350</wp:posOffset>
            </wp:positionV>
            <wp:extent cx="5476875" cy="2447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5476875" cy="244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5"/>
        <w:spacing w:after="0" w:line="252" w:lineRule="auto"/>
        <w:rPr>
          <w:sz w:val="20"/>
          <w:szCs w:val="20"/>
          <w:color w:val="auto"/>
        </w:rPr>
      </w:pPr>
      <w:r>
        <w:rPr>
          <w:rFonts w:ascii="Times New Roman" w:cs="Times New Roman" w:eastAsia="Times New Roman" w:hAnsi="Times New Roman"/>
          <w:sz w:val="20"/>
          <w:szCs w:val="20"/>
          <w:color w:val="auto"/>
        </w:rPr>
        <w:t>In this trial, DISC-3405 produced dose-related increases in serum hepcidin with corresponding reductions in serum iron across all dose levels. DISC-3405 also resulted in deep reductions in serum iron (ranging maximally from 50% to 80% from baseline) that were sustained and support a once-monthly SC dosing regimen. In addition, single and repeat dosing of DISC-3405 demonstrated meaningful reductions in hematologic parameters, including reticulocyte hemoglobin, hemoglobin, and hematocrit.</w:t>
      </w:r>
    </w:p>
    <w:p>
      <w:pPr>
        <w:sectPr>
          <w:pgSz w:w="12240" w:h="15840" w:orient="portrait"/>
          <w:cols w:equalWidth="0" w:num="1">
            <w:col w:w="10460"/>
          </w:cols>
          <w:pgMar w:left="900" w:top="926" w:right="880" w:bottom="187"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10460"/>
          </w:cols>
          <w:pgMar w:left="900" w:top="926" w:right="880" w:bottom="187"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DISC-3405 Phase 1 Healthy Volunteers Study: Hepcidin, Iron and Ferritin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6629400" cy="2028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662940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DISC-3405 Phase 1 Healthy Volunteers Study: Hematologic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6629400" cy="2314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extLst>
                    </a:blip>
                    <a:srcRect/>
                    <a:stretch>
                      <a:fillRect/>
                    </a:stretch>
                  </pic:blipFill>
                  <pic:spPr bwMode="auto">
                    <a:xfrm>
                      <a:off x="0" y="0"/>
                      <a:ext cx="66294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hanging="1"/>
        <w:spacing w:after="0" w:line="278" w:lineRule="auto"/>
        <w:rPr>
          <w:sz w:val="20"/>
          <w:szCs w:val="20"/>
          <w:color w:val="auto"/>
        </w:rPr>
      </w:pPr>
      <w:r>
        <w:rPr>
          <w:rFonts w:ascii="Times New Roman" w:cs="Times New Roman" w:eastAsia="Times New Roman" w:hAnsi="Times New Roman"/>
          <w:sz w:val="20"/>
          <w:szCs w:val="20"/>
          <w:color w:val="auto"/>
        </w:rPr>
        <w:t>DISC-3405 was generally well-tolerated at all evaluated dose levels, with no serious adverse events, no adverse events greater than Grade 2, or adverse events leading to study withdrawal.</w:t>
      </w:r>
    </w:p>
    <w:p>
      <w:pPr>
        <w:sectPr>
          <w:pgSz w:w="12240" w:h="15840" w:orient="portrait"/>
          <w:cols w:equalWidth="0" w:num="1">
            <w:col w:w="10440"/>
          </w:cols>
          <w:pgMar w:left="900" w:top="92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10440"/>
          </w:cols>
          <w:pgMar w:left="900" w:top="926" w:right="900" w:bottom="187"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i w:val="1"/>
          <w:iCs w:val="1"/>
          <w:color w:val="auto"/>
        </w:rPr>
        <w:t>RESTORE-PV: Ongoing Phase 2, Open-Label Clinical Trial of DISC-3405 in Participants with PV</w:t>
      </w:r>
    </w:p>
    <w:p>
      <w:pPr>
        <w:spacing w:after="0" w:line="117" w:lineRule="exact"/>
        <w:rPr>
          <w:sz w:val="20"/>
          <w:szCs w:val="20"/>
          <w:color w:val="auto"/>
        </w:rPr>
      </w:pPr>
    </w:p>
    <w:p>
      <w:pPr>
        <w:jc w:val="both"/>
        <w:ind w:firstLine="5"/>
        <w:spacing w:after="0" w:line="247" w:lineRule="auto"/>
        <w:rPr>
          <w:sz w:val="20"/>
          <w:szCs w:val="20"/>
          <w:color w:val="auto"/>
        </w:rPr>
      </w:pPr>
      <w:r>
        <w:rPr>
          <w:rFonts w:ascii="Times New Roman" w:cs="Times New Roman" w:eastAsia="Times New Roman" w:hAnsi="Times New Roman"/>
          <w:sz w:val="20"/>
          <w:szCs w:val="20"/>
          <w:color w:val="auto"/>
        </w:rPr>
        <w:t>In the first half of 2025, we initiated RESTORE-PV, a Phase 2, open-label clinical trial of DISC-3405 in participants with PV. This 52-week study is designed to enroll up to 60 participants with PV from sites in the United States. The aims of the study are to assess safety and tolerability, PK, pharmacodynamics, and therapeutic effect of DISC-3405 on PV disease control as evidenced by phlebotomy requirements. The main efficacy endpoints of the study include proportion of participants achieving therapeutic response, defined as absence of phlebotomy eligibility; number of phlebotomies during the treatment period; and proportion of participants with hematocrit HCT values of less than 45% throughout the study.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RESTORE-PV Phase 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93980</wp:posOffset>
            </wp:positionV>
            <wp:extent cx="5353050" cy="2143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extLst>
                    </a:blip>
                    <a:srcRect/>
                    <a:stretch>
                      <a:fillRect/>
                    </a:stretch>
                  </pic:blipFill>
                  <pic:spPr bwMode="auto">
                    <a:xfrm>
                      <a:off x="0" y="0"/>
                      <a:ext cx="53530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expect to report initial data from our RESTORE-PV trial in the second half of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Ongoing Phase 1b Clinical Trial of DISC-3405 in Patients with SCD</w:t>
      </w:r>
    </w:p>
    <w:p>
      <w:pPr>
        <w:spacing w:after="0" w:line="117" w:lineRule="exact"/>
        <w:rPr>
          <w:sz w:val="20"/>
          <w:szCs w:val="20"/>
          <w:color w:val="auto"/>
        </w:rPr>
      </w:pPr>
    </w:p>
    <w:p>
      <w:pPr>
        <w:jc w:val="both"/>
        <w:ind w:right="20" w:firstLine="3"/>
        <w:spacing w:after="0" w:line="278" w:lineRule="auto"/>
        <w:rPr>
          <w:sz w:val="20"/>
          <w:szCs w:val="20"/>
          <w:color w:val="auto"/>
        </w:rPr>
      </w:pPr>
      <w:r>
        <w:rPr>
          <w:rFonts w:ascii="Times New Roman" w:cs="Times New Roman" w:eastAsia="Times New Roman" w:hAnsi="Times New Roman"/>
          <w:sz w:val="20"/>
          <w:szCs w:val="20"/>
          <w:color w:val="auto"/>
        </w:rPr>
        <w:t>We also initiated a Phase 1b, open-label clinical trial of DISC-3405 in patients with SCD in October 2025, with initial data expected in the second half of 2026, and plan to explore the role of therapeutic iron restriction in other indications.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3" w:lineRule="exact"/>
        <w:rPr>
          <w:sz w:val="20"/>
          <w:szCs w:val="20"/>
          <w:color w:val="auto"/>
        </w:rPr>
      </w:pPr>
    </w:p>
    <w:p>
      <w:pPr>
        <w:jc w:val="both"/>
        <w:ind w:firstLine="3"/>
        <w:spacing w:after="0" w:line="247" w:lineRule="auto"/>
        <w:rPr>
          <w:sz w:val="20"/>
          <w:szCs w:val="20"/>
          <w:color w:val="auto"/>
        </w:rPr>
      </w:pPr>
      <w:r>
        <w:rPr>
          <w:rFonts w:ascii="Times New Roman" w:cs="Times New Roman" w:eastAsia="Times New Roman" w:hAnsi="Times New Roman"/>
          <w:sz w:val="20"/>
          <w:szCs w:val="20"/>
          <w:color w:val="auto"/>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DISC-3405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Some of our product candidates are biological products. Manufacturing biologics can be particularly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 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p>
    <w:p>
      <w:pPr>
        <w:spacing w:after="0" w:line="80" w:lineRule="exact"/>
        <w:rPr>
          <w:sz w:val="20"/>
          <w:szCs w:val="20"/>
          <w:color w:val="auto"/>
        </w:rPr>
      </w:pPr>
    </w:p>
    <w:p>
      <w:pPr>
        <w:jc w:val="both"/>
        <w:ind w:firstLine="3"/>
        <w:spacing w:after="0" w:line="245" w:lineRule="auto"/>
        <w:rPr>
          <w:sz w:val="20"/>
          <w:szCs w:val="20"/>
          <w:color w:val="auto"/>
        </w:rPr>
      </w:pPr>
      <w:r>
        <w:rPr>
          <w:rFonts w:ascii="Times New Roman" w:cs="Times New Roman" w:eastAsia="Times New Roman" w:hAnsi="Times New Roman"/>
          <w:sz w:val="20"/>
          <w:szCs w:val="20"/>
          <w:color w:val="auto"/>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ongoing clinical trials.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 commercial-scale production process has been designed for bitopertin, including a four-step chemical synthesis and an optimized oral formulation. To support the commercial launch of bitopertin, if approved, we are in the process of establishing a validated drug substance and drug product manufacturing process at a CDMO.</w:t>
      </w:r>
    </w:p>
    <w:p>
      <w:pPr>
        <w:sectPr>
          <w:pgSz w:w="12240" w:h="15840" w:orient="portrait"/>
          <w:cols w:equalWidth="0" w:num="1">
            <w:col w:w="10460"/>
          </w:cols>
          <w:pgMar w:left="900" w:top="932" w:right="880" w:bottom="21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28</w:t>
      </w:r>
    </w:p>
    <w:p>
      <w:pPr>
        <w:sectPr>
          <w:pgSz w:w="12240" w:h="15840" w:orient="portrait"/>
          <w:cols w:equalWidth="0" w:num="1">
            <w:col w:w="10460"/>
          </w:cols>
          <w:pgMar w:left="900" w:top="932" w:right="880" w:bottom="21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face competition more specifically from companies that discover, develop, and market therapies for the treatment of hematologic diseases, including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Agios Pharmaceuticals, Inc., Akebia Therapeutics, Inc., Amgen, Inc., Astellas Pharma, Inc., Bristol-Myers Squibb Company, FibroGen, Inc., GlaxoSmithKline, plc, Incyte Corporation, Ono Pharmaceuticals, Inc., Keros Therapeutics, Inc., Merck &amp; Co., Inc., Otsuka Pharmaceutical Co., Ltd. and Vifor Pharma AG, among others.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Dersimelagon, an oral MC1R agonist, recently completed a Phase 3 trial conducted by Mitsubishi Tanabe Pharma Corporation for the treatment of EPP or XLP. Portal Therapeutics, a subsidiary of BridgeBio Pharma, Inc., is currently testing in a first-in-human Phase 1 clinical study in healthy volunteers and a Phase 2a study in adults with EPP, PORT-77, an ABCG2 inhibitor, with a development goal to reduce plasma PPIX in EPP.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Bitopertin is a selective inhibitor of GlyT1 that we are developing to treat porphyrias and other hematologic diseases. GlyT1 inhibition has been pursued in the past as an approach to treat schizophrenia. We are aware that Boehringer Ingelheim conducted a Phase 3 clinical study of BI 425809 (iclepertin), a GlyT1 inhibitor, for the improvement of cognition in patients with schizophrenia that failed to meet its primary endpoint.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EPs, such a program would be a potential competitor to bitopertin.</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also developing DISC-0974, our lead program in our hepcidin suppression portfolio, for the treatment of anemia caused by inflammatory diseases, including MF and IBD.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recently completed a myelofibrosis Phase 3 trial by Bristol-Myers Squibb, and KER-050, which is in a Phase 2 trial by Keros, Inc. In addition, GlaxoSmithKline has developed Ojaara (momelotinib), a JAK2 kinase inhibitor that lowers hepcidin by inhibiting ALK2 (a kinase that is similar to but less specific than HJV), which was approved to treat myelofibrosis patients with anemia.</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 the treatment of anemia of IBD, there are several approved iron therapies, including oral irons such as Accrufer (Shield Therapeutics) and IV irons such as Monoferric (Pharmacosmos Therapeutics) and Injectafer (Daiichi Sankyo). We are not aware of any other products in development for anemia of IBD. Clinical data from IBD-directed therapies show that anemia can sometimes be addressed by decreasing inflammation of the underlying IBD process.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are developing DISC-3405, an anti-TMPRSS6 monoclonal antibody designed to induce hepcidin production and restrict serum iron levels, with an initial focus on PV and SCD. There are several therapies in development that are also designed to</w:t>
      </w:r>
    </w:p>
    <w:p>
      <w:pPr>
        <w:sectPr>
          <w:pgSz w:w="12240" w:h="15840" w:orient="portrait"/>
          <w:cols w:equalWidth="0" w:num="1">
            <w:col w:w="10460"/>
          </w:cols>
          <w:pgMar w:left="900" w:top="926" w:right="880" w:bottom="175" w:gutter="0" w:footer="0" w:header="0"/>
        </w:sect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460"/>
          </w:cols>
          <w:pgMar w:left="900" w:top="926" w:right="880" w:bottom="175" w:gutter="0" w:footer="0" w:header="0"/>
          <w:type w:val="continuous"/>
        </w:sectPr>
      </w:pPr>
    </w:p>
    <w:bookmarkStart w:id="37" w:name="page38"/>
    <w:bookmarkEnd w:id="37"/>
    <w:p>
      <w:pPr>
        <w:jc w:val="both"/>
        <w:spacing w:after="0" w:line="243" w:lineRule="auto"/>
        <w:rPr>
          <w:sz w:val="20"/>
          <w:szCs w:val="20"/>
          <w:color w:val="auto"/>
        </w:rPr>
      </w:pPr>
      <w:r>
        <w:rPr>
          <w:rFonts w:ascii="Times New Roman" w:cs="Times New Roman" w:eastAsia="Times New Roman" w:hAnsi="Times New Roman"/>
          <w:sz w:val="20"/>
          <w:szCs w:val="20"/>
          <w:color w:val="auto"/>
        </w:rPr>
        <w:t>increase hepcidin production or mimic hepcidin activity, such as hepcidin mimetics, TMPRSS6 inhibitors, and ferroportin inhibitors. These are in various stages of development by companies, including Regeneron, Silence Therapeutics plc, Ionis Pharmaceuticals, Inc., Rallybio, Agios Pharmaceuticals, Inc., and CSL Vifor, among others. In particular, rusfertide, an investigational hepcidin mimetic peptide therapeutic for PV, recently completed a Phase 3 clinical trial conducted by Protagonist Therapeutics, Inc. We may also face competition from therapies that are currently marketed or in development that affect pathways unrelated to hepcidin, including growth and differentiation factor-based therapies, cytoreductive therapies, and chemotherapeutic agents, among others. For the treatment of SCD, there are two gene therapy products that were approved in 2023, Casgevy (Vertex Pharmaceuticals) and Lyfgenia (Bluebird Bio). Additionally, hydroxyurea is approved to reduce the frequency of painful crises and reduce the need for blood transfusions in SCD patients with moderate to severe painful crises. Adakveo (Novartis) is approved for the reduction of vasoocclusive crises and Endari (Emmaus Medical Inc) is approved to reduce acute complications of SCD. The competitive pipeline for SCD is crowded with multiple drugs in development.</w:t>
      </w:r>
    </w:p>
    <w:p>
      <w:pPr>
        <w:spacing w:after="0" w:line="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Collaborations and License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2019 Exclusive License Agreement with AbbVie Deutschland GmbH &amp; Co. KG</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 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 the terms of the AbbVie Agreement, we made an initial license payment to AbbVie of $0.6 million. Additionally, we are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$87.5 million in aggregate. In January 2025, we made a milestone payment of $3.0 million upon the first administration to a patient in the Phase 2 clinical trial of DISC-0974. We are also obligated to pay a royalty on net sales of licensed products at a low-single digit rate. The royalty rates are subject to up to a high first decile percentage reduction for lack of a valid claim on a country-by-country basis. See “Business-Intellectual Property-Iron Homeostasis Portfolio” for additional information concerning the intellectual property related to the AbbVie Agreement.</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obligation to pay royalties under the AbbVie Agreement expires on a licensed product-by-licensed product and country- 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460"/>
          </w:cols>
          <w:pgMar w:left="900" w:top="930" w:right="880" w:bottom="175"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2021 Exclusive License Agreement with F. Hoffmann-La Roche Ltd and Hoffmann-La Roche Inc.</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May 2021, we entered into a license agreement, or the Roche Agreement, with F. Hoffmann-La Roche Ltd. and Hoffmann-La Roche Inc., or together, Roche, pursuant to which Roche granted us an exclusive and sublicensable (subject to Roche’s consent, not to be unreasonably withheld, except with respect to affiliates) worldwide license under certain of Roche’s patent rights and know- 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are required to use commercially reasonable efforts to develop, seek regulatory approval and, on a country-by-country basis where such regulatory approval has been obtained, commercialize at least one licensed product in each such country.</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Under the Roche Agreement, we paid Roche an initial license payment of $4.5 million and we are required to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In June 2025, we made a milestone payment of $10.0 million upon the initiation of the first Phase 3 clinical trial with a licensed product in a first indication. The next potential milestone payment is $15.0 million due upon regulatory approval in the United States with a licensed product in a first indication. We will also pay Roche up to an aggregate of $120.0 million based on achievement of certain thresholds for annual net sales of licensed products. We are also obligated to pay a royalty on annual net sales of licensed 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2023 Exclusive License Agreement with Mabwell Therapeutics, Inc.</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Under the Mabwell Agreement, we paid an upfront payment of $10.0 million in March 2023. In addition, we are required to pay certain development and regulatory milestone payments for the licensed antibody products, for up to three indications, up to a</w:t>
      </w:r>
    </w:p>
    <w:p>
      <w:pPr>
        <w:sectPr>
          <w:pgSz w:w="12240" w:h="15840" w:orient="portrait"/>
          <w:cols w:equalWidth="0" w:num="1">
            <w:col w:w="10460"/>
          </w:cols>
          <w:pgMar w:left="900" w:top="930" w:right="880" w:bottom="175"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460"/>
          </w:cols>
          <w:pgMar w:left="900" w:top="930" w:right="880" w:bottom="175" w:gutter="0" w:footer="0" w:header="0"/>
          <w:type w:val="continuous"/>
        </w:sectPr>
      </w:pPr>
    </w:p>
    <w:bookmarkStart w:id="39" w:name="page40"/>
    <w:bookmarkEnd w:id="39"/>
    <w:p>
      <w:pPr>
        <w:jc w:val="both"/>
        <w:spacing w:after="0" w:line="244" w:lineRule="auto"/>
        <w:rPr>
          <w:sz w:val="20"/>
          <w:szCs w:val="20"/>
          <w:color w:val="auto"/>
        </w:rPr>
      </w:pPr>
      <w:r>
        <w:rPr>
          <w:rFonts w:ascii="Times New Roman" w:cs="Times New Roman" w:eastAsia="Times New Roman" w:hAnsi="Times New Roman"/>
          <w:sz w:val="20"/>
          <w:szCs w:val="20"/>
          <w:color w:val="auto"/>
        </w:rPr>
        <w:t>maximum aggregate amount of $127.5 million, as well as certain commercial milestone payments for certain licensed antibody product net sales achievements, up to a maximum aggregate amount of $275.0 million. In October 2023, we made a milestone payment of $5.0 million upon the first administration to a patient in the Phase 1 clinical trial for DISC-3405. In September 2025, we made a milestone payment of $10.0 million upon the first administration to a patient in a Phase 2 clinical trial for DISC-3405. In February 2026, we completed the first administration to a patient in a Phase 1b clinical trial with a licensed product in a second indication which resulted in milestone payable of $5.0 million. We are further obligated to pay a tiered percentage of revenue that we receive from our sublicensees (excluding revenue that is attributable to net sales on which royalty payments are due), ranging from a low third decile percentage 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 containing the licensed antibodies. In such circumstances, we and Mabwell will negotiate a royalty to be paid by Mabwell on the net sales of such products in the licensed territory.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plan to continue to expand our intellectual property estate by filing patent applications directed to pharmaceutical compositions, methods of treatment, methods of manufacture or new inventions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460"/>
          </w:cols>
          <w:pgMar w:left="900" w:top="930" w:right="880" w:bottom="175" w:gutter="0" w:footer="0" w:header="0"/>
          <w:type w:val="continuous"/>
        </w:sectPr>
      </w:pPr>
    </w:p>
    <w:bookmarkStart w:id="40" w:name="page41"/>
    <w:bookmarkEnd w:id="40"/>
    <w:p>
      <w:pPr>
        <w:jc w:val="both"/>
        <w:spacing w:after="0" w:line="245" w:lineRule="auto"/>
        <w:rPr>
          <w:sz w:val="20"/>
          <w:szCs w:val="20"/>
          <w:color w:val="auto"/>
        </w:rPr>
      </w:pPr>
      <w:r>
        <w:rPr>
          <w:rFonts w:ascii="Times New Roman" w:cs="Times New Roman" w:eastAsia="Times New Roman" w:hAnsi="Times New Roman"/>
          <w:sz w:val="20"/>
          <w:szCs w:val="20"/>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Portfolio</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patent portfolio includes patents and patent applications in the United States and selected jurisdictions outside of the United States. As of February 1, 2026, our patent portfolio in total consisted of 17 issued U.S. patents and 145 issued patents in foreign jurisdictions (e.g., Australia, China, United Kingdom, Germany, Mexico, Japan, and others), six PCT applications, 182 pending non-provisional applications (U.S., EP and other jurisdictions), and seven pending U.S. provisional applications, which include claims directed to compositions and methods of use.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patent portfolio includes patents and applications with claims related to the following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Heme Biosynthesis Modulation Portfolio - GlyT1 Inhibition - Bitopertin</w:t>
      </w:r>
    </w:p>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With regard to our heme biosynthesis modulation program, we own eight pending patent families directed to GlyT1 inhibitors (e.g., bitopertin) and various methods of treatment and use claims related, but not limited to EPP, XLP, CEP, DBA, PV, and hepatic porphyrias. Patents and pending applications directed to GlyT1 inhibitors (e.g., bitopertin) and methods of making and using them are expected to expire between 2041 and 2045,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The first family has entered the national phase in the U.S. Australia, Canada, China, Europe, Japan, and Korea. One U.S patent has granted from the first patent family and is directed to methods of treating EPP or XLP with bitopertin. This patent is expected to expire in 2042, without accounting for any potential terminal disclaimers or available extensions. The second family has entered the national phase in the U.S., Australia, Canada, China, Europe, and Japan. Our third family is directed to methods of treating polycythemias, including PV, with bitopertin and related compounds, and this family, upon grant, will have a twenty-year statutory expiration date of 2042, without accounting for any potential terminal disclaimers, available patent term adjustments or extensions. The third patent family has entered the national phase in the U.S. Australia, Brazil, Canada, China, Europe, Israel, Japan, Korea, and Mexico. Our fourth family is directed to methods of treating anemia associated with a ribosomal disorder (e.g., DBA) with bitopertin and related compounds, and this family, upon grant, will have a twenty-year statutory expiration date of 2042, without accounting for any potential terminal disclaimers, available patent term adjustments or extensions. The fourth patent family has entered the national phase in the U.S. Australia, Brazil, Canada, China, Europe, Israel, Japan, Korea, and Mexico. Our fifth family is directed to methods of treating hepatic porphyrias with bitopertin and related compounds, and this family, upon grant, will have a twenty-year statutory expiration date of 2043, without accounting for any potential terminal disclaimers, available patent term adjustments or extensions. The fifth patent family has entered the national phase in the U.S., Australia, Brazil, Canada, China, Europe, Israel, Japan, Korea, and Mexico. Our sixth family is directed to methods of treating EPP, XLP, and CEP with additional GlyT1 inhibitors, and this family, upon grant, will have a twenty-year statutory expiration date of 2042, without accounting for any potential terminal disclaimers, available patent term adjustments or extensions. The sixth patent family has entered the national phase in the U.S. Australia, Canada, China, Europe, and Japan. Our remaining two patent families are all directed to GlyT1 inhibitors (e.g., bitopertin) and methods of treating various disorders and conditions. These two patent families, upon grant, will have a twenty-year statutory expiration date from 2044 to 2045. We have also in-licensed multiple patent families from F. Hoffmann-La Roche Ltd and Hoffmann-La Roche Inc. comprising seven issued U.S. patents and additional granted patents in the following jurisdictions: Algeria, Australia, Austria, Belgium, Brazil, Bulgaria, Canada, Chile, China, Croatia, Cyprus, Czech Republic, Denmark, Estonia, European Patent Convention, Finland, France, Germany, Great Britain, Greece, Gulf Cooperation Council, Hong Kong, Hungary, Indonesia, Ireland, Israel,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Thailand,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2026 and 2035, without accounting for any potential terminal disclaimers. In particular, the first family is directed to composition of matter of bitopertin and processes of preparation. This family has an issued patent in the U.S. that expires in 2026.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460"/>
          </w:cols>
          <w:pgMar w:left="900" w:top="930" w:right="880" w:bottom="175" w:gutter="0" w:footer="0" w:header="0"/>
          <w:type w:val="continuous"/>
        </w:sectPr>
      </w:pPr>
    </w:p>
    <w:bookmarkStart w:id="41" w:name="page42"/>
    <w:bookmarkEnd w:id="41"/>
    <w:p>
      <w:pPr>
        <w:jc w:val="both"/>
        <w:spacing w:after="0" w:line="242" w:lineRule="auto"/>
        <w:rPr>
          <w:sz w:val="20"/>
          <w:szCs w:val="20"/>
          <w:color w:val="auto"/>
        </w:rPr>
      </w:pPr>
      <w:r>
        <w:rPr>
          <w:rFonts w:ascii="Times New Roman" w:cs="Times New Roman" w:eastAsia="Times New Roman" w:hAnsi="Times New Roman"/>
          <w:sz w:val="20"/>
          <w:szCs w:val="20"/>
          <w:color w:val="auto"/>
        </w:rPr>
        <w:t>France, Germany, Great 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 year statutory expiration date of 2035. This family has issued patents in the U.S. and the following jurisdictions: Algeria, China, Croatia, Cyprus, European Patent Convention, France, Germany, Great Britain, Greece, Hong Kong, Indonesia, Italy, Japan, Malaysia, Morocco, Philippines, Portugal, Republic of Korea, Republic of Serbia, Slovenia, South Africa, Spain, Switzerland, and Turkey. The sixth family is directed composition of matter of additional GlyT1 inhibitors, and this family has a twenty-year statutory 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Several of the indications that we expect to pursue with bitopertin, including EPP, XLP and DBA, are rare diseases. We have received orphan drug designation from the FDA for bitopertin for the treatment of EPP and the European Committee for Orphan Medical Products adopted a positive opinion on Orphan Designation for bitopertin for treatment of EPP. We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Iron Homeostasis Portfolio – Hepcidin Suppression – DISC-0974 and DISC-0998</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With regard to our iron homeostasis portfolio, including our DISC-0974 and DISC-0998 programs, we own eleven patent families, including one PCT patent application that has entered the national phase in Australia, Canada, China, Europe, Hong Kong, Israel, Japan, Korea, and United States, one PCT patent application that has entered the national phase in Europe, and United States, one PCT patent application that has entered the national phase in Australia, Canada, China, Europe, Hong Kong, Israel, Japan, Korea, and United States, one PCT patent application that has entered the national phase in Australia, Brazil, Canada, China, Europe, Hong Kong, Israel, India, Japan, Korea, Mexico, New Zealand, Singapore, and United States, one PCT patent application that has entered the national phase in Australia, Brazil, Canada, China, Europe, Hong Kong, Japan, Korea, Mexico, and United States, one PCT patent application that has entered the national phase in Australia, Brazil, Canada, China, Europe, Hong Kong, Japan, Korea, Mexico, and United States, three pending PCT patent applications, and two pending U.S. provisional applications. These patent families contain claims directed at composition of matter, method of treatment and use claims related to our initial indications, anemia of myelofibrosis and chronic kidney disease as well as other indications, e.g., anemia of inflammatory bowel disease and other anemias of chronic disease involving iron restriction from elevated hepcidin. Patents issuing from these applications are expected to expire between 2040 and 2046 without accounting for any potential terminal disclaimers, available patent term adjustments or extensions. Further, several of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also in-license a patent family from AbbVie comprised of four issued U.S. patents that are expected to expire in 2032 and 2035, and issued patents in Australia, Canada, Brazil,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 -licensed patent family also includes seven pending non-provisional applications in the United States, Australia, Brazil, Canada, China, Europe, and Japan. Any patents that issue on these pending non-provisional applications are likewise expected to expire in 2032, without accounting for any potential terminal disclaimers, available patent term adjustments or extensions.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Iron Homeostasis Portfolio – Hepcidin Induction – MWTX-001, MWTX-002, and DISC-3405 (formerly MWTX-003)</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With regard to our TMPRSS6 inhibitor program, we in-license a patent family from Mabwell comprised of nine pending non-provisional applications in Australia, Canada, Europe, India, Japan, Korea, and United States; and a patent family consisting of pending non-provisional applications in Australia, Brazil, Canada, China, Europe, Japan, Korea, Mexico, and United States. These in-licensed patent applications include composition of matter claims to antibodies designed to inhibit TMPRSS6, including MWTX-001, MWTX-002, and DISC-3405, as well as method of treatment and use claims related to diseases of iron metabolism</w:t>
      </w:r>
    </w:p>
    <w:p>
      <w:pPr>
        <w:sectPr>
          <w:pgSz w:w="12240" w:h="15840" w:orient="portrait"/>
          <w:cols w:equalWidth="0" w:num="1">
            <w:col w:w="10460"/>
          </w:cols>
          <w:pgMar w:left="900" w:top="930" w:right="880" w:bottom="175" w:gutter="0" w:footer="0" w:header="0"/>
        </w:sect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460"/>
          </w:cols>
          <w:pgMar w:left="900" w:top="930" w:right="880" w:bottom="175" w:gutter="0" w:footer="0" w:header="0"/>
          <w:type w:val="continuous"/>
        </w:sectPr>
      </w:pPr>
    </w:p>
    <w:bookmarkStart w:id="42" w:name="page43"/>
    <w:bookmarkEnd w:id="42"/>
    <w:p>
      <w:pPr>
        <w:jc w:val="both"/>
        <w:spacing w:after="0" w:line="242" w:lineRule="auto"/>
        <w:rPr>
          <w:sz w:val="20"/>
          <w:szCs w:val="20"/>
          <w:color w:val="auto"/>
        </w:rPr>
      </w:pPr>
      <w:r>
        <w:rPr>
          <w:rFonts w:ascii="Times New Roman" w:cs="Times New Roman" w:eastAsia="Times New Roman" w:hAnsi="Times New Roman"/>
          <w:sz w:val="20"/>
          <w:szCs w:val="20"/>
          <w:color w:val="auto"/>
        </w:rPr>
        <w:t>(e.g., PV). Two U.S patents have been granted from the in-licensed patent family and are directed to the DISC-3405 TMPRSS antibody. These patents are expected to expire in 2041, without accounting for any potential terminal disclaimers, available patent term adjustments or extensions. We also own four patent families in our iron homeostasis portfolio. The first patent family is directed to methods of treatment claims related to diseases of iron metabolism, and this patent family consists of nine pending non-provisional applications in Australia, Brazil, Canada, China, Europe, Japan, Korea, Mexico, and United States. This application, upon grant, will have a twenty-year statutory expiration date of 2044, without accounting for any potential terminal disclaimers, available patent term adjustments or extensions. The second patent family includes one pending PCT directed to TMPRSS6 antibody formulations. This application, upon grant, will have a twenty-year statutory expiration date of 2045, without accounting for any potential terminal disclaimers, available patent term adjustments or extensions. The third patent family includes one US provisional application directed to method of treatment claims related to dietary iron absorption. This application, upon grant, will have a twenty-year statutory expiration date of 2046, without accounting for any potential terminal disclaimers, available patent term adjustments, or extensions. The fourth patent family includes one US provisional application directed to method of treatment claims related to SCD. This application, upon grant, will have a twenty-year statutory expiration date of 2046, without accounting for any potential terminal disclaimers, available patent term adjustments, or extensions. Further, several of the above owned patent applications within our iron homeostasis portfolio and any patents granted thereon are jointly owned by us and Mabwell, and we hold an exclusive license to Mabwell’s interest in the patent applications and any patents granted thereon pursuant to the Mabwell Agreement.</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also own a fifth patent family comprising five patents in Australia, China, Europe, India, and Japan and three pending non-provisional applications in United States, Japan, and Canada, and a sixth and seventh patent family each comprising one non-provisional application in the U.S. These patent families are directed to other compounds that inhibit TMPRSS6 and methods of using the same. Any patents that issue on the non-provisional applications in the first family are expected to expire in 2039, without accounting for any potential terminal disclaimers, available patent term adjustments or extensions. Any patents that issue from the non-provisional application in the second or third families are expected to expire in 2041 and 2044, respectively, without accounting for any potential terminal disclaimers, available patent term adjustments or extensions.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460"/>
          </w:cols>
          <w:pgMar w:left="900" w:top="930" w:right="880" w:bottom="175" w:gutter="0" w:footer="0" w:header="0"/>
          <w:type w:val="continuous"/>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pacing w:after="0" w:line="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that DISC-0974, DISC-0998 and DISC-3405,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product candidates must be approved for therapeutic indications by the FDA before they may be marketed in the United States. For drug product candidates regulated under the FD&amp;C Act, FDA must approve an NDA. For biologic product candidates regulated under the FD&amp;C Act and PHSA, FDA must approve a Biologics License Application, or BLA. The process is similar for both drugs and biologics and generally involves the following:</w:t>
      </w:r>
    </w:p>
    <w:p>
      <w:pPr>
        <w:spacing w:after="0" w:line="88" w:lineRule="exact"/>
        <w:rPr>
          <w:sz w:val="20"/>
          <w:szCs w:val="20"/>
          <w:color w:val="auto"/>
        </w:rPr>
      </w:pPr>
    </w:p>
    <w:p>
      <w:pPr>
        <w:ind w:left="720" w:hanging="367"/>
        <w:spacing w:after="0" w:line="276"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extensive preclinical studies in accordance with applicable regulations, including studies conducted in accordance with good laboratory practice, or GLP, requirements;</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clinical trials may begin and must be updated annually and when certain changes are made;</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institutional review board, or IRB, or independent ethics committee at each clinical trial site before each trial may be initiated;</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preparation and submission to the FDA of an NDA or BLA;</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determination by the FDA within 60 days of its receipt of an NDA or BLA to file the application for review;</w:t>
      </w:r>
    </w:p>
    <w:p>
      <w:pPr>
        <w:spacing w:after="0" w:line="133"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FDA audit of the clinical trial sites that generated the data in support of the NDA or BLA;</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payment of user fees for FDA review of the NDA or BLA, unless a waiver is applicable; and</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460"/>
          </w:cols>
          <w:pgMar w:left="900" w:top="930" w:right="880" w:bottom="175" w:gutter="0" w:footer="0" w:header="0"/>
          <w:type w:val="continuous"/>
        </w:sectPr>
      </w:pPr>
    </w:p>
    <w:bookmarkStart w:id="44" w:name="page45"/>
    <w:bookmarkEnd w:id="44"/>
    <w:p>
      <w:pPr>
        <w:ind w:left="720" w:right="20" w:hanging="367"/>
        <w:spacing w:after="0" w:line="27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or BLA, including, where applicable, consideration of the views of any FDA advisory committee, prior to any commercial marketing or sale of the drug in the United States.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Clinical Trials for Drugs and Biologics</w:t>
      </w:r>
    </w:p>
    <w:p>
      <w:pPr>
        <w:spacing w:after="0" w:line="12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Before testing any drug or biologic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Clinical trials to evaluate therapeutic indications to support NDAs and BLAs for marketing approval are typically conducted in three sequential phases, which may overlap.</w:t>
      </w:r>
    </w:p>
    <w:p>
      <w:pPr>
        <w:spacing w:after="0" w:line="64" w:lineRule="exact"/>
        <w:rPr>
          <w:sz w:val="20"/>
          <w:szCs w:val="20"/>
          <w:color w:val="auto"/>
        </w:rPr>
      </w:pPr>
    </w:p>
    <w:p>
      <w:pPr>
        <w:jc w:val="both"/>
        <w:ind w:left="720" w:hanging="367"/>
        <w:spacing w:after="0" w:line="252"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Phase 1 </w:t>
      </w:r>
      <w:r>
        <w:rPr>
          <w:rFonts w:ascii="Times New Roman" w:cs="Times New Roman" w:eastAsia="Times New Roman" w:hAnsi="Times New Roman"/>
          <w:sz w:val="20"/>
          <w:szCs w:val="20"/>
          <w:color w:val="auto"/>
        </w:rPr>
        <w:t>- Phase 1 clinical trials involve initial introduction of the investigational product in a limited population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460"/>
          </w:cols>
          <w:pgMar w:left="900" w:top="944" w:right="880" w:bottom="175" w:gutter="0" w:footer="0" w:header="0"/>
          <w:type w:val="continuous"/>
        </w:sectPr>
      </w:pPr>
    </w:p>
    <w:bookmarkStart w:id="45" w:name="page46"/>
    <w:bookmarkEnd w:id="45"/>
    <w:p>
      <w:pPr>
        <w:jc w:val="both"/>
        <w:ind w:left="720" w:hanging="367"/>
        <w:spacing w:after="0" w:line="25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Phase 2 </w:t>
      </w:r>
      <w:r>
        <w:rPr>
          <w:rFonts w:ascii="Times New Roman" w:cs="Times New Roman" w:eastAsia="Times New Roman" w:hAnsi="Times New Roman"/>
          <w:sz w:val="20"/>
          <w:szCs w:val="20"/>
          <w:color w:val="auto"/>
        </w:rPr>
        <w:t>- Phase 2 clinical trials typically involve administration of the investigational product to a limited patient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population with a specified disease or condition to evaluate the drug’s potential efficacy, to determine the optimal dosages and dosing schedule and to identify possible adverse side effects and safety risks.</w:t>
      </w:r>
    </w:p>
    <w:p>
      <w:pPr>
        <w:spacing w:after="0" w:line="81" w:lineRule="exact"/>
        <w:rPr>
          <w:rFonts w:ascii="Arial" w:cs="Arial" w:eastAsia="Arial" w:hAnsi="Arial"/>
          <w:sz w:val="20"/>
          <w:szCs w:val="20"/>
          <w:color w:val="auto"/>
        </w:rPr>
      </w:pPr>
    </w:p>
    <w:p>
      <w:pPr>
        <w:jc w:val="both"/>
        <w:ind w:left="720" w:hanging="367"/>
        <w:spacing w:after="0" w:line="246"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Phase 3 </w:t>
      </w:r>
      <w:r>
        <w:rPr>
          <w:rFonts w:ascii="Times New Roman" w:cs="Times New Roman" w:eastAsia="Times New Roman" w:hAnsi="Times New Roman"/>
          <w:sz w:val="20"/>
          <w:szCs w:val="20"/>
          <w:color w:val="auto"/>
        </w:rPr>
        <w:t>- Phase 3 clinical trials typically involve administration of the investigational product to an expanded patient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Historically, two adequate and well-controlled Phase 3 trials have generally been required by the FDA for approval of an NDA or BLA. However, more recently, the FDA indicated that one adequate and well-controlled Phase 3 trial, combined with confirmatory evidence, may serve as the basis of marketing authorization of novel products.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 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Marketing Approval for Drugs and Biologics</w:t>
      </w:r>
    </w:p>
    <w:p>
      <w:pPr>
        <w:spacing w:after="0" w:line="1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ectPr>
          <w:pgSz w:w="12240" w:h="15840" w:orient="portrait"/>
          <w:cols w:equalWidth="0" w:num="1">
            <w:col w:w="10460"/>
          </w:cols>
          <w:pgMar w:left="900" w:top="944" w:right="880" w:bottom="175" w:gutter="0" w:footer="0" w:header="0"/>
        </w:sect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460"/>
          </w:cols>
          <w:pgMar w:left="900" w:top="944" w:right="880" w:bottom="175" w:gutter="0" w:footer="0" w:header="0"/>
          <w:type w:val="continuous"/>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20"/>
          <w:szCs w:val="20"/>
          <w:color w:val="auto"/>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w:t>
      </w:r>
    </w:p>
    <w:p>
      <w:pPr>
        <w:sectPr>
          <w:pgSz w:w="12240" w:h="15840" w:orient="portrait"/>
          <w:cols w:equalWidth="0" w:num="1">
            <w:col w:w="10460"/>
          </w:cols>
          <w:pgMar w:left="900" w:top="930" w:right="880" w:bottom="175" w:gutter="0" w:footer="0" w:header="0"/>
        </w:sect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460"/>
          </w:cols>
          <w:pgMar w:left="900" w:top="930" w:right="880" w:bottom="175" w:gutter="0" w:footer="0" w:header="0"/>
          <w:type w:val="continuous"/>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7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FDA may further reevaluate its regulations and policies under the Orphan Drug Act. It is unclear as to how, if at all, the FDA may change the orphan drug regulations and policies in the future.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Rare Pediatric Disease Designation and Priority Review Vouchers</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Under the FD&amp;C Act, the FDA incentivizes the development of products that meet the definition of a “rare pediatric disease,” defined to mean a serious or life-threatening disease in which the serious or life- 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Under current statutory provisions, after September 30, 2029, the FDA may not award any rare pediatric disease priority review vouchers, although the FDA's authority to do so could be extended by Congress in the future.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 for Drugs and Biologics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and biologics to get them to patients more quickly than standard FDA review timelines typically permit.</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8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generally contingent on a sponsor’s agreement to conduct, in a diligent manner, adequate and well-controlled additional post-approval confirmatory trials to verify and describe the product’s clinical benefit. Under the Food and</w:t>
      </w:r>
    </w:p>
    <w:p>
      <w:pPr>
        <w:sectPr>
          <w:pgSz w:w="12240" w:h="15840" w:orient="portrait"/>
          <w:cols w:equalWidth="0" w:num="1">
            <w:col w:w="10460"/>
          </w:cols>
          <w:pgMar w:left="900" w:top="930" w:right="880" w:bottom="175" w:gutter="0" w:footer="0" w:header="0"/>
        </w:sect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460"/>
          </w:cols>
          <w:pgMar w:left="900" w:top="930" w:right="880" w:bottom="175" w:gutter="0" w:footer="0" w:header="0"/>
          <w:type w:val="continuous"/>
        </w:sectPr>
      </w:pPr>
    </w:p>
    <w:bookmarkStart w:id="48" w:name="page49"/>
    <w:bookmarkEnd w:id="48"/>
    <w:p>
      <w:pPr>
        <w:jc w:val="both"/>
        <w:spacing w:after="0" w:line="245" w:lineRule="auto"/>
        <w:rPr>
          <w:sz w:val="20"/>
          <w:szCs w:val="20"/>
          <w:color w:val="auto"/>
        </w:rPr>
      </w:pPr>
      <w:r>
        <w:rPr>
          <w:rFonts w:ascii="Times New Roman" w:cs="Times New Roman" w:eastAsia="Times New Roman" w:hAnsi="Times New Roman"/>
          <w:sz w:val="20"/>
          <w:szCs w:val="20"/>
          <w:color w:val="auto"/>
        </w:rPr>
        <w:t>Drug Omnibus Reform Act of 2022, or FDORA, the FDA is now permitted to require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Information and Pediatric Exclusivity</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or biologic for an indication for which orphan designation has been granted.</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product can also obtain pediatric market exclusivity in the United States. Pediatric exclusivity, if granted, adds six months to existing exclusivity periods for biologics and drugs and patent terms for drugs. This six-month exclusivity, which runs from the end of other exclusivity protection for biologics and drugs or patent term for drugs, may be granted based on the voluntary completion of a pediatric study in accordance with an FDA-issued “Written Request” for such a study.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Post-Approval Requirements for Drugs and Biologics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w:t>
      </w:r>
    </w:p>
    <w:p>
      <w:pPr>
        <w:sectPr>
          <w:pgSz w:w="12240" w:h="15840" w:orient="portrait"/>
          <w:cols w:equalWidth="0" w:num="1">
            <w:col w:w="10460"/>
          </w:cols>
          <w:pgMar w:left="900" w:top="930" w:right="880" w:bottom="175" w:gutter="0" w:footer="0" w:header="0"/>
        </w:sect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460"/>
          </w:cols>
          <w:pgMar w:left="900" w:top="930" w:right="880" w:bottom="175" w:gutter="0" w:footer="0" w:header="0"/>
          <w:type w:val="continuous"/>
        </w:sectPr>
      </w:pPr>
    </w:p>
    <w:bookmarkStart w:id="49" w:name="page50"/>
    <w:bookmarkEnd w:id="49"/>
    <w:p>
      <w:pPr>
        <w:jc w:val="both"/>
        <w:spacing w:after="0" w:line="243" w:lineRule="auto"/>
        <w:rPr>
          <w:sz w:val="20"/>
          <w:szCs w:val="20"/>
          <w:color w:val="auto"/>
        </w:rPr>
      </w:pPr>
      <w:r>
        <w:rPr>
          <w:rFonts w:ascii="Times New Roman" w:cs="Times New Roman" w:eastAsia="Times New Roman" w:hAnsi="Times New Roman"/>
          <w:sz w:val="20"/>
          <w:szCs w:val="20"/>
          <w:color w:val="auto"/>
        </w:rPr>
        <w:t>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4" w:lineRule="exact"/>
        <w:rPr>
          <w:sz w:val="20"/>
          <w:szCs w:val="20"/>
          <w:color w:val="auto"/>
        </w:rPr>
      </w:pPr>
    </w:p>
    <w:p>
      <w:pPr>
        <w:ind w:left="720" w:hanging="367"/>
        <w:spacing w:after="0" w:line="276"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or other communications containing warnings or other safety information about the product;</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applications or supplements to approved applications, or suspension or revocation of product approvals;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mandated modification of promotional materials and labeling and issuance of corrective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Patent Term Restoration and Marketing Exclusivity</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p>
    <w:p>
      <w:pPr>
        <w:spacing w:after="0" w:line="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w:t>
      </w:r>
    </w:p>
    <w:p>
      <w:pPr>
        <w:sectPr>
          <w:pgSz w:w="12240" w:h="15840" w:orient="portrait"/>
          <w:cols w:equalWidth="0" w:num="1">
            <w:col w:w="10460"/>
          </w:cols>
          <w:pgMar w:left="900" w:top="930" w:right="880" w:bottom="175" w:gutter="0" w:footer="0" w:header="0"/>
        </w:sect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460"/>
          </w:cols>
          <w:pgMar w:left="900" w:top="930" w:right="880" w:bottom="175" w:gutter="0" w:footer="0" w:header="0"/>
          <w:type w:val="continuous"/>
        </w:sectPr>
      </w:pPr>
    </w:p>
    <w:bookmarkStart w:id="50" w:name="page51"/>
    <w:bookmarkEnd w:id="50"/>
    <w:p>
      <w:pPr>
        <w:jc w:val="both"/>
        <w:spacing w:after="0" w:line="247" w:lineRule="auto"/>
        <w:rPr>
          <w:sz w:val="20"/>
          <w:szCs w:val="20"/>
          <w:color w:val="auto"/>
        </w:rPr>
      </w:pPr>
      <w:r>
        <w:rPr>
          <w:rFonts w:ascii="Times New Roman" w:cs="Times New Roman" w:eastAsia="Times New Roman" w:hAnsi="Times New Roman"/>
          <w:sz w:val="20"/>
          <w:szCs w:val="20"/>
          <w:color w:val="auto"/>
        </w:rPr>
        <w:t>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Biosimilars and Exclusivity</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Regulatory Matters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U.S. Healthcare Laws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subject to various federal and state laws targeting fraud and abuse in the healthcare industry. These laws may impact, among other things, our sales and marketing programs. In addition, we may be subject to patient privacy regulation by both the federal government and the states in which we conduct our business. The laws that may affect our operations include:</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460"/>
          </w:cols>
          <w:pgMar w:left="900" w:top="930" w:right="880" w:bottom="175" w:gutter="0" w:footer="0" w:header="0"/>
          <w:type w:val="continuous"/>
        </w:sectPr>
      </w:pPr>
    </w:p>
    <w:bookmarkStart w:id="51" w:name="page52"/>
    <w:bookmarkEnd w:id="51"/>
    <w:p>
      <w:pPr>
        <w:jc w:val="both"/>
        <w:ind w:left="367" w:hanging="367"/>
        <w:spacing w:after="0" w:line="242" w:lineRule="auto"/>
        <w:tabs>
          <w:tab w:leader="none" w:pos="367"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106" w:lineRule="exact"/>
        <w:rPr>
          <w:rFonts w:ascii="Arial" w:cs="Arial" w:eastAsia="Arial" w:hAnsi="Arial"/>
          <w:sz w:val="20"/>
          <w:szCs w:val="20"/>
          <w:color w:val="auto"/>
        </w:rPr>
      </w:pPr>
    </w:p>
    <w:p>
      <w:pPr>
        <w:jc w:val="both"/>
        <w:ind w:left="367" w:hanging="367"/>
        <w:spacing w:after="0" w:line="244" w:lineRule="auto"/>
        <w:tabs>
          <w:tab w:leader="none" w:pos="367"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95" w:lineRule="exact"/>
        <w:rPr>
          <w:rFonts w:ascii="Arial" w:cs="Arial" w:eastAsia="Arial" w:hAnsi="Arial"/>
          <w:sz w:val="20"/>
          <w:szCs w:val="20"/>
          <w:color w:val="auto"/>
        </w:rPr>
      </w:pPr>
    </w:p>
    <w:p>
      <w:pPr>
        <w:jc w:val="both"/>
        <w:ind w:left="367" w:hanging="367"/>
        <w:spacing w:after="0" w:line="249" w:lineRule="auto"/>
        <w:tabs>
          <w:tab w:leader="none" w:pos="367"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0" w:lineRule="exact"/>
        <w:rPr>
          <w:rFonts w:ascii="Arial" w:cs="Arial" w:eastAsia="Arial" w:hAnsi="Arial"/>
          <w:sz w:val="20"/>
          <w:szCs w:val="20"/>
          <w:color w:val="auto"/>
        </w:rPr>
      </w:pPr>
    </w:p>
    <w:p>
      <w:pPr>
        <w:jc w:val="both"/>
        <w:ind w:left="367" w:hanging="367"/>
        <w:spacing w:after="0" w:line="247" w:lineRule="auto"/>
        <w:tabs>
          <w:tab w:leader="none" w:pos="367"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93" w:lineRule="exact"/>
        <w:rPr>
          <w:rFonts w:ascii="Arial" w:cs="Arial" w:eastAsia="Arial" w:hAnsi="Arial"/>
          <w:sz w:val="20"/>
          <w:szCs w:val="20"/>
          <w:color w:val="auto"/>
        </w:rPr>
      </w:pPr>
    </w:p>
    <w:p>
      <w:pPr>
        <w:ind w:left="367" w:hanging="367"/>
        <w:spacing w:after="0" w:line="276" w:lineRule="auto"/>
        <w:tabs>
          <w:tab w:leader="none" w:pos="367"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auto"/>
        </w:rPr>
      </w:pPr>
    </w:p>
    <w:p>
      <w:pPr>
        <w:jc w:val="both"/>
        <w:ind w:left="367" w:hanging="367"/>
        <w:spacing w:after="0" w:line="258" w:lineRule="auto"/>
        <w:tabs>
          <w:tab w:leader="none" w:pos="367"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6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Current and Future U.S. Healthcare Reform Measures</w:t>
      </w:r>
    </w:p>
    <w:p>
      <w:pPr>
        <w:spacing w:after="0" w:line="120" w:lineRule="exact"/>
        <w:rPr>
          <w:sz w:val="20"/>
          <w:szCs w:val="20"/>
          <w:color w:val="auto"/>
        </w:rPr>
      </w:pPr>
    </w:p>
    <w:p>
      <w:pPr>
        <w:jc w:val="both"/>
        <w:ind w:left="7"/>
        <w:spacing w:after="0" w:line="243" w:lineRule="auto"/>
        <w:rPr>
          <w:sz w:val="20"/>
          <w:szCs w:val="20"/>
          <w:color w:val="auto"/>
        </w:rPr>
      </w:pPr>
      <w:r>
        <w:rPr>
          <w:rFonts w:ascii="Times New Roman" w:cs="Times New Roman" w:eastAsia="Times New Roman" w:hAnsi="Times New Roman"/>
          <w:sz w:val="20"/>
          <w:szCs w:val="20"/>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the ACA,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under which manufacturers were required to agree to offer 70% point-of-sale discounts off negotiated prices of applicable brand drugs to eligible beneficiaries during their coverage gap period, as a condition for the manufacturer’s outpatient drugs to be covered under Medicare Part D (later revised by the Inflation Reduction Act); and provided incentives to programs that increase the federal government’s comparative effectiveness research.</w:t>
      </w:r>
    </w:p>
    <w:p>
      <w:pPr>
        <w:spacing w:after="0" w:line="86" w:lineRule="exact"/>
        <w:rPr>
          <w:sz w:val="20"/>
          <w:szCs w:val="20"/>
          <w:color w:val="auto"/>
        </w:rPr>
      </w:pPr>
    </w:p>
    <w:p>
      <w:pPr>
        <w:jc w:val="both"/>
        <w:ind w:left="7"/>
        <w:spacing w:after="0" w:line="277" w:lineRule="auto"/>
        <w:rPr>
          <w:sz w:val="20"/>
          <w:szCs w:val="20"/>
          <w:color w:val="auto"/>
        </w:rPr>
      </w:pPr>
      <w:r>
        <w:rPr>
          <w:rFonts w:ascii="Times New Roman" w:cs="Times New Roman" w:eastAsia="Times New Roman" w:hAnsi="Times New Roman"/>
          <w:sz w:val="20"/>
          <w:szCs w:val="20"/>
          <w:color w:val="171717"/>
        </w:rPr>
        <w:t>There has been increasing legislative and enforcement interest in the United States with respect to drug pricing practices. Specifically, there have been several recent U.S. Congressional inquiries and proposed federal and state legislation designed to,</w:t>
      </w:r>
    </w:p>
    <w:p>
      <w:pPr>
        <w:sectPr>
          <w:pgSz w:w="12240" w:h="15840" w:orient="portrait"/>
          <w:cols w:equalWidth="0" w:num="1">
            <w:col w:w="10467"/>
          </w:cols>
          <w:pgMar w:left="893" w:top="944" w:right="880" w:bottom="175" w:gutter="0" w:footer="0" w:header="0"/>
        </w:sectPr>
      </w:pPr>
    </w:p>
    <w:p>
      <w:pPr>
        <w:spacing w:after="0" w:line="17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467"/>
          </w:cols>
          <w:pgMar w:left="893" w:top="944" w:right="880" w:bottom="175" w:gutter="0" w:footer="0" w:header="0"/>
          <w:type w:val="continuous"/>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20"/>
          <w:szCs w:val="20"/>
          <w:color w:val="171717"/>
        </w:rPr>
        <w:t xml:space="preserve">among other things, bring more transparency to drug pricing, reduce the cost of prescription drugs under Medicare, review the relationship between pricing and </w:t>
      </w:r>
      <w:r>
        <w:rPr>
          <w:rFonts w:ascii="Times New Roman" w:cs="Times New Roman" w:eastAsia="Times New Roman" w:hAnsi="Times New Roman"/>
          <w:sz w:val="20"/>
          <w:szCs w:val="20"/>
          <w:color w:val="000000"/>
        </w:rPr>
        <w:t>manufacturer</w:t>
      </w:r>
      <w:r>
        <w:rPr>
          <w:rFonts w:ascii="Times New Roman" w:cs="Times New Roman" w:eastAsia="Times New Roman" w:hAnsi="Times New Roman"/>
          <w:sz w:val="20"/>
          <w:szCs w:val="20"/>
          <w:color w:val="171717"/>
        </w:rPr>
        <w:t xml:space="preserve"> patient programs, and reform government program reimbursement methodologies for drugs. Both the current administration and Congress have indicated that they will continue to seek new legislative and executive measures to control drug costs.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In </w:t>
      </w:r>
      <w:r>
        <w:rPr>
          <w:rFonts w:ascii="PMingLiU" w:cs="PMingLiU" w:eastAsia="PMingLiU" w:hAnsi="PMingLiU"/>
          <w:sz w:val="19"/>
          <w:szCs w:val="19"/>
          <w:color w:val="auto"/>
        </w:rPr>
        <w:t>DGGLWLRQ PXOWLSOH</w:t>
      </w:r>
      <w:r>
        <w:rPr>
          <w:rFonts w:ascii="Times New Roman" w:cs="Times New Roman" w:eastAsia="Times New Roman" w:hAnsi="Times New Roman"/>
          <w:sz w:val="19"/>
          <w:szCs w:val="19"/>
          <w:color w:val="auto"/>
        </w:rPr>
        <w:t xml:space="preserve"> executive orders have been issued (and we anticipate that additional executive orders will be issued under the current administration) that have sought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legislative measures to control drug costs. It is unclear how these healthcare reform measures will impact our business.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With respect to drug pricing reforms proposed by the current administration, CMS released two proposed rules on December 19, 2025 that would introduce most-favored-nation pricing principles into Medicare drug reimbursement. The first proposal, the Global Benchmark for Efficient Drug Pricing Model, for Medicare Part B, would require manufacturers of specified single source drugs and sole source biologics to pay incremental rebates based on international benchmark prices, with participation triggered for products meeting certain spending and eligibility criteria established by CMS. The second proposal, the Guarding U.S. Medicare Against Rising Drug Costs model for Medicare Part D, would similarly mandate manufacturer rebates for qualifying sole source drugs where the Medicare net price exceeds a most-favored-nation benchmark derived from international reference pricing methodologies. As proposed, Global Benchmark for Efficient Drug Pricing Model would begin a five-year performance period on October 1, 2026 and the Guarding U.S. Medicare Against Rising Drug Costs would begin its performance period in 2027. These proposals are likely to face legal challenges that could delay or modify their implementation. Separately, in November 2025, CMS introduced the GENErating cost Reductions fOr U.S. Medicaid, or GENEROUS Model, a voluntary most-favored-nation-based framework for manufacturers participating in the Medicaid Drug Rebate Program. While participation is optional, the GENEROUS Model could nonetheless influence manufacturer pricing strategies and the broader drug pricing landscape.</w:t>
      </w:r>
    </w:p>
    <w:p>
      <w:pPr>
        <w:spacing w:after="0" w:line="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Other legislative changes have been proposed and adopted in the United States since the ACA was enacted. For example, the U.S. American Rescue Plan Act of 2021 eliminated the statutory Medicaid drug rebate cap, previously set at 100% of a drug’s average manufacturer price, for single source and innovator multiple source drugs, starting January 1, 2024. Due to the Statutory Pay-As-You-Go Act of 2010, estimated budget deficit increases resulting from the American Rescue Plan Act of 2021, and subsequent legislation, Medicare payments to providers will be further reduced starting in 2025 absent further legislation. Further, the U.S. Budget Control Act of 2011, included aggregate reductions of Medicare payments to providers of 2% per fiscal year that will remain in effect through 2031.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 Inflation Reduction Act of 2022, or the IRA, includes several provisions that will impact our business to varying degrees,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w:t>
      </w:r>
      <w:r>
        <w:rPr>
          <w:rFonts w:ascii="PMingLiU" w:cs="PMingLiU" w:eastAsia="PMingLiU" w:hAnsi="PMingLiU"/>
          <w:sz w:val="20"/>
          <w:szCs w:val="20"/>
          <w:color w:val="auto"/>
        </w:rPr>
        <w:t> WKH</w:t>
      </w:r>
      <w:r>
        <w:rPr>
          <w:rFonts w:ascii="Times New Roman" w:cs="Times New Roman" w:eastAsia="Times New Roman" w:hAnsi="Times New Roman"/>
          <w:sz w:val="20"/>
          <w:szCs w:val="20"/>
          <w:color w:val="auto"/>
        </w:rPr>
        <w:t xml:space="preserv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 of IRA on our business and the healthcare industry in general is not yet known.</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any of which could limit the amounts that federal and state governments will pay for healthcare products and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U.S. Environmental, Health and Safety Laws and Regulations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w:t>
      </w:r>
    </w:p>
    <w:p>
      <w:pPr>
        <w:sectPr>
          <w:pgSz w:w="12240" w:h="15840" w:orient="portrait"/>
          <w:cols w:equalWidth="0" w:num="1">
            <w:col w:w="10460"/>
          </w:cols>
          <w:pgMar w:left="900" w:top="930" w:right="880" w:bottom="175"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460"/>
          </w:cols>
          <w:pgMar w:left="900" w:top="930" w:right="880" w:bottom="175" w:gutter="0" w:footer="0" w:header="0"/>
          <w:type w:val="continuous"/>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20"/>
          <w:szCs w:val="20"/>
          <w:color w:val="auto"/>
        </w:rPr>
        <w:t>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December 31, 2025, we had 155 full-time employees, including 45 who hold Ph.D. or M.D. degrees, and no part-time employees. Of the full-time employees, 99 employees are engaged in research and development and 56 employees are engaged in management or selling, general and administrative activities. None of our employees are subject to a collective bargaining agreement or represented by a trade or labor union. We consider our relationship with our employees to be good.</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principal office is located at 321 Arsenal Street, Suite 101, Watertown, MA 02472, where we lease and sublease a total of approximately 16,847 square feet of office space. Our sublease expires in November 2026 and our lease expires in December 2029. Upon expiration of the sublease, we will lease the same space through December 2029 pursuant to an existing agreement.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From time to time, we may be involved in various other claims and legal proceedings relating to claims arising out of our operations. We are not currently a party to any material legal proceedings.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460"/>
          </w:cols>
          <w:pgMar w:left="900" w:top="930" w:right="880" w:bottom="175" w:gutter="0" w:footer="0" w:header="0"/>
          <w:type w:val="continuous"/>
        </w:sectPr>
      </w:pPr>
    </w:p>
    <w:bookmarkStart w:id="54" w:name="page55"/>
    <w:bookmarkEnd w:id="54"/>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1A.</w:t>
        <w:tab/>
        <w:t>RISK FACTORS</w:t>
      </w:r>
    </w:p>
    <w:p>
      <w:pPr>
        <w:spacing w:after="0" w:line="1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Limited Operating History, Financial Position and Capital Requirements</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since our inception and anticipate that we will continue to incur losses for the foreseeable future.</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net losses were $212.2 million, $109.4 million and $76.4 million for the years ended December 31, 2025, 2024 and 2023, respectively. We had an accumulated deficit of $510.2 million as of December 31, 2025. Substantially all of our net losses have resulted from costs incurred in connection with our research and development programs and from selling, general and administrative costs associated with our operations. We expect our research and development expenses to continue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83" w:lineRule="exact"/>
        <w:rPr>
          <w:sz w:val="20"/>
          <w:szCs w:val="20"/>
          <w:color w:val="auto"/>
        </w:rPr>
      </w:pPr>
    </w:p>
    <w:p>
      <w:pPr>
        <w:jc w:val="both"/>
        <w:ind w:left="720" w:hanging="367"/>
        <w:spacing w:after="0" w:line="258"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open clinical trial sites and recruit and retain subjects for clinical trials and any delays caused by difficulties in such efforts;</w:t>
      </w:r>
    </w:p>
    <w:p>
      <w:pPr>
        <w:spacing w:after="0" w:line="64"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regulatory approval for our product candidates, and the timing and scope of any such approvals we may receive;</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product candidates, which may change from time to time;</w:t>
      </w:r>
    </w:p>
    <w:p>
      <w:pPr>
        <w:spacing w:after="0" w:line="64"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 candidates and products, should they receive regulatory approval, which may vary depending on the quantity of production and the terms of our agreements with manufacturers;</w:t>
      </w:r>
    </w:p>
    <w:p>
      <w:pPr>
        <w:sectPr>
          <w:pgSz w:w="12240" w:h="15840" w:orient="portrait"/>
          <w:cols w:equalWidth="0" w:num="1">
            <w:col w:w="10460"/>
          </w:cols>
          <w:pgMar w:left="900" w:top="926" w:right="880" w:bottom="175"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460"/>
          </w:cols>
          <w:pgMar w:left="900" w:top="926" w:right="880" w:bottom="175" w:gutter="0" w:footer="0" w:header="0"/>
          <w:type w:val="continuous"/>
        </w:sectPr>
      </w:pPr>
    </w:p>
    <w:bookmarkStart w:id="55" w:name="page56"/>
    <w:bookmarkEnd w:id="55"/>
    <w:p>
      <w:pPr>
        <w:ind w:left="720" w:hanging="36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hire and retain qualified personnel;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develop additional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products should they receive regulatory approval, which may vary significantly;</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product candidates, if approved, and existing and potential future therapeutics that compete with our product candidates;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U.S. and global economic environments;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 products approved for commercial sale and have not generated any revenue from product sales.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spacing w:after="0" w:line="91" w:lineRule="exact"/>
        <w:rPr>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complete our ongoing and planned preclinical studies for our current and future product candidates;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timely file and receive acceptance of our Investigational New Drug applications, or INDs, in order to commence our planned clinical trials or future clinical trials;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enroll subjects in and complete, our ongoing and planned clinical trials;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and successfully complete all safety and efficacy studies necessary to obtain U.S. and foreign regulatory approval for our product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address the prevalence, duration and severity of potential side effects or other safety issues experienced with our product candidates, if any;</w:t>
      </w:r>
    </w:p>
    <w:p>
      <w:pPr>
        <w:spacing w:after="0" w:line="64" w:lineRule="exact"/>
        <w:rPr>
          <w:rFonts w:ascii="Arial" w:cs="Arial" w:eastAsia="Arial" w:hAnsi="Arial"/>
          <w:sz w:val="20"/>
          <w:szCs w:val="20"/>
          <w:color w:val="auto"/>
        </w:rPr>
      </w:pPr>
    </w:p>
    <w:p>
      <w:pPr>
        <w:jc w:val="both"/>
        <w:ind w:left="720" w:right="20" w:hanging="367"/>
        <w:spacing w:after="0" w:line="258"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and maintain clinical and commercial manufacturing capabilities or make arrangements with third-party manufacturers for clinical supply and commercial manufacturing;</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patent and trade secret protection or regulatory exclusivity for our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launch commercial sales of our products, if and when approved, whether alone or in collaboration with others;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acceptance of our products, if and when approved, by patients, the medical community and third-party payors;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position our product candidates to effectively compete with other therapies;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healthcare coverage and adequate reimbursement, if and when our product candidates are approved;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enforce and defend intellectual property rights and claims;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maintain a continued acceptable safety profile of our products following approval.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460"/>
          </w:cols>
          <w:pgMar w:left="900" w:top="944" w:right="88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i w:val="1"/>
          <w:iCs w:val="1"/>
          <w:color w:val="auto"/>
        </w:rPr>
        <w:t>Our existing and any future indebtedness could adversely affect our ability to operate our business.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If we raise any additional debt financing, the terms of such additional debt could further restrict our operating and financial flexibility.</w:t>
      </w:r>
    </w:p>
    <w:p>
      <w:pPr>
        <w:spacing w:after="0" w:line="4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believe that our cash, cash equivalents and marketable securities will be sufficient to fund our current operating and capital expenditure plans and our debt service obligations into 2029, </w:t>
      </w:r>
      <w:r>
        <w:rPr>
          <w:rFonts w:ascii="Times New Roman" w:cs="Times New Roman" w:eastAsia="Times New Roman" w:hAnsi="Times New Roman"/>
          <w:sz w:val="19"/>
          <w:szCs w:val="19"/>
          <w:color w:val="auto"/>
        </w:rPr>
        <w:t>without taking into account any potential net cash inflows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bitopertin or any other marketed product, if approved during such period. </w:t>
      </w:r>
      <w:r>
        <w:rPr>
          <w:rFonts w:ascii="Times New Roman" w:cs="Times New Roman" w:eastAsia="Times New Roman" w:hAnsi="Times New Roman"/>
          <w:sz w:val="20"/>
          <w:szCs w:val="20"/>
          <w:color w:val="auto"/>
        </w:rPr>
        <w:t>However, we have based this estimate on assumptions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that may prove to be wrong, and we could exhaust our available capital resources sooner than expected. Our future capital requirements will depend on and could increase significantly as a result of many factors, including:</w:t>
      </w:r>
    </w:p>
    <w:p>
      <w:pPr>
        <w:spacing w:after="0" w:line="91" w:lineRule="exact"/>
        <w:rPr>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preclinical and clinical programs we decide to pursue;</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raise additional funds to the extent necessary to complete clinical development of and commercialize our product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new and maintain existing licensing or collaboration arrangements and the progress of the development efforts of third parties with whom we may enter into such arrangements;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current research and development programs and to establish new programs;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successful initiation, enrollment and completion of clinical trials with safety, tolerability and efficacy profiles that are satisfactory to the FDA or any comparable foreign regulatory authority;</w:t>
      </w:r>
    </w:p>
    <w:p>
      <w:pPr>
        <w:spacing w:after="0" w:line="63" w:lineRule="exact"/>
        <w:rPr>
          <w:rFonts w:ascii="Arial" w:cs="Arial" w:eastAsia="Arial" w:hAnsi="Arial"/>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receipt and related terms of regulatory approvals from applicable regulatory authorities for any product candidates;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460"/>
          </w:cols>
          <w:pgMar w:left="900" w:top="930" w:right="880" w:bottom="175" w:gutter="0" w:footer="0" w:header="0"/>
          <w:type w:val="continuous"/>
        </w:sectPr>
      </w:pPr>
    </w:p>
    <w:bookmarkStart w:id="57" w:name="page58"/>
    <w:bookmarkEnd w:id="57"/>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raw materials for use in production of our product candidates;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of agreements with third-party manufacturers for supply of product candidate components for our clinical trials;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patents, trade secret protection and regulatory exclusivity, both in the United States and internationally;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other rights in our intellectual property portfolio;</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commercializing product candidates, if and when approved, whether alone or in collaboration with others;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third-party insurance coverage and adequate reimbursement for any approved products.</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product candidates.</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460"/>
          </w:cols>
          <w:pgMar w:left="900" w:top="944" w:right="880" w:bottom="175"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and Development of Our Product Candidates</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currently have only three product candidates in clinical development, none of which has yet progressed through a completed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any of our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 outcomes of our interactions with these regulatory authorities, including interactions critical to successfully advancing through the different phases of clinical development, such as end-of-phase 2 meetings with the FDA, may be difficult to predict ahead of time. In particular,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Our ability to successfully advance from preclinical studies through the different phases of clinical development is therefore subject to significant uncertainty.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single well-controlled clinical trial may not be sufficient for approval. Historically, the FDA has generally required two well-controlled clinical trials to support registration of a new drug or biologic, although exceptions have been made in cases of a severe disease with few treatment options, and in principle this exception may appear applicable to many of the diseases that we seek to treat, such as EPP, XLP, anemia of MF, DBA and others. More recently, the FDA has indicated that its default position will be that one well-controlled clinical trial, combined with confirmatory evidence, will serve as the basis of marketing authorization of novel products. Nonetheless, the FDA and other regulators may always require additional clinical trials to support regulatory approval.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83" w:lineRule="exact"/>
        <w:rPr>
          <w:sz w:val="20"/>
          <w:szCs w:val="20"/>
          <w:color w:val="auto"/>
        </w:rPr>
      </w:pPr>
    </w:p>
    <w:p>
      <w:pPr>
        <w:ind w:left="720" w:hanging="367"/>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be delayed in obtaining regulatory approval for our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not obtain regulatory approval at all;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obtain regulatory approval for indications or patient populations that are not as broad as intended or desired;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be subject to post-marketing testing requirements; or</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having the product removed from the market after obtaining regulatory approval.</w:t>
      </w:r>
    </w:p>
    <w:p>
      <w:pPr>
        <w:spacing w:after="0" w:line="1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w:t>
      </w:r>
    </w:p>
    <w:p>
      <w:pPr>
        <w:sectPr>
          <w:pgSz w:w="12240" w:h="15840" w:orient="portrait"/>
          <w:cols w:equalWidth="0" w:num="1">
            <w:col w:w="10460"/>
          </w:cols>
          <w:pgMar w:left="900" w:top="926" w:right="880" w:bottom="175"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460"/>
          </w:cols>
          <w:pgMar w:left="900" w:top="926" w:right="880" w:bottom="175" w:gutter="0" w:footer="0" w:header="0"/>
          <w:type w:val="continuous"/>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or certain indications. The patient populations for our product candidates are limited to those with specific hematologic diseases. We cannot be certain </w:t>
      </w:r>
      <w:r>
        <w:rPr>
          <w:rFonts w:ascii="Times New Roman" w:cs="Times New Roman" w:eastAsia="Times New Roman" w:hAnsi="Times New Roman"/>
          <w:sz w:val="19"/>
          <w:szCs w:val="19"/>
          <w:color w:val="auto"/>
        </w:rPr>
        <w:t>that the patient populations for each specific disease will be large enough to allow us to successfully obtain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approval for and commercialize our product candidates and achieve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involves a lengthy and expensive process, with an uncertain outcome.</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Additionally, some of the clinical trials we conduct, </w:t>
      </w:r>
      <w:r>
        <w:rPr>
          <w:rFonts w:ascii="Times New Roman" w:cs="Times New Roman" w:eastAsia="Times New Roman" w:hAnsi="Times New Roman"/>
          <w:sz w:val="19"/>
          <w:szCs w:val="19"/>
          <w:color w:val="auto"/>
        </w:rPr>
        <w:t>such as our completed BEACON Phase 2 clinical trial of bitopertin,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ongoing RALLY-MF Phase 2 clinical trial of DISC-0974, and our ongoing clinical trials of DISC-3405</w:t>
      </w:r>
      <w:r>
        <w:rPr>
          <w:rFonts w:ascii="Times New Roman" w:cs="Times New Roman" w:eastAsia="Times New Roman" w:hAnsi="Times New Roman"/>
          <w:sz w:val="20"/>
          <w:szCs w:val="20"/>
          <w:color w:val="auto"/>
        </w:rPr>
        <w:t>, may be open-label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3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or prior clinical trial results may not be indicative or predictive of future clinical trial results.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For example, in the Complete Response Letter, or CRL, that the FDA issued in February 2026 with respect to our NDA for accelerated approval of bitopertin in EPP and XLP, the FDA agreed that clinical data from our AURORA and BEACON clinical trials provided sufficient evidence</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460"/>
          </w:cols>
          <w:pgMar w:left="900" w:top="930" w:right="880" w:bottom="175" w:gutter="0" w:footer="0" w:header="0"/>
          <w:type w:val="continuous"/>
        </w:sectPr>
      </w:pPr>
    </w:p>
    <w:bookmarkStart w:id="60" w:name="page61"/>
    <w:bookmarkEnd w:id="60"/>
    <w:p>
      <w:pPr>
        <w:jc w:val="both"/>
        <w:spacing w:after="0" w:line="243" w:lineRule="auto"/>
        <w:rPr>
          <w:sz w:val="20"/>
          <w:szCs w:val="20"/>
          <w:color w:val="auto"/>
        </w:rPr>
      </w:pPr>
      <w:r>
        <w:rPr>
          <w:rFonts w:ascii="Times New Roman" w:cs="Times New Roman" w:eastAsia="Times New Roman" w:hAnsi="Times New Roman"/>
          <w:sz w:val="20"/>
          <w:szCs w:val="20"/>
          <w:color w:val="auto"/>
        </w:rPr>
        <w:t>that bitopertin significantly lowers whole blood metal-free PPIX, but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clinical benefit from an additional trial, such as our ongoing APOLLO trial, to support a potential traditional approval.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RALLY-MF Phase 2 DISC-0974 trial in patients with anemia of MF in December 2025.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3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4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94" w:lineRule="exact"/>
        <w:rPr>
          <w:sz w:val="20"/>
          <w:szCs w:val="20"/>
          <w:color w:val="auto"/>
        </w:rPr>
      </w:pPr>
    </w:p>
    <w:p>
      <w:pPr>
        <w:ind w:left="720" w:hanging="367"/>
        <w:spacing w:after="0" w:line="276"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receive feedback from regulatory authorities that requires us to modify the design or implementation of our preclinical studies or clinical trials or to delay or terminate a clinical trial;</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institutional review boards, or IRBs, or ethics committees may delay or may not authorize us or our investigators to commence a clinical trial or conduct a clinical trial at a prospective trial site;</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460"/>
          </w:cols>
          <w:pgMar w:left="900" w:top="930" w:right="880" w:bottom="175" w:gutter="0" w:footer="0" w:header="0"/>
          <w:type w:val="continuous"/>
        </w:sectPr>
      </w:pPr>
    </w:p>
    <w:bookmarkStart w:id="61" w:name="page62"/>
    <w:bookmarkEnd w:id="61"/>
    <w:p>
      <w:pPr>
        <w:jc w:val="both"/>
        <w:ind w:left="720" w:hanging="367"/>
        <w:spacing w:after="0" w:line="258"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studies or clinical trials of our product candidates may not produce differentiated or clinically significant results across indications;</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81"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87"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our product candidates may be greater than anticipated;</w:t>
      </w:r>
    </w:p>
    <w:p>
      <w:pPr>
        <w:spacing w:after="0" w:line="133"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any future collaborators may conduct clinical trials in ways they view as advantageous to them but that are suboptimal for us; and</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may revise the requirements for approving our product candidates, or such requirements may not be as anticipated.</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w:t>
      </w:r>
    </w:p>
    <w:p>
      <w:pPr>
        <w:sectPr>
          <w:pgSz w:w="12240" w:h="15840" w:orient="portrait"/>
          <w:cols w:equalWidth="0" w:num="1">
            <w:col w:w="10460"/>
          </w:cols>
          <w:pgMar w:left="900" w:top="944" w:right="880" w:bottom="175" w:gutter="0" w:footer="0" w:header="0"/>
        </w:sect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460"/>
          </w:cols>
          <w:pgMar w:left="900" w:top="944" w:right="880" w:bottom="175" w:gutter="0" w:footer="0" w:header="0"/>
          <w:type w:val="continuous"/>
        </w:sectPr>
      </w:pPr>
    </w:p>
    <w:bookmarkStart w:id="62" w:name="page63"/>
    <w:bookmarkEnd w:id="62"/>
    <w:p>
      <w:pPr>
        <w:jc w:val="both"/>
        <w:spacing w:after="0" w:line="277" w:lineRule="auto"/>
        <w:rPr>
          <w:sz w:val="20"/>
          <w:szCs w:val="20"/>
          <w:color w:val="auto"/>
        </w:rPr>
      </w:pPr>
      <w:r>
        <w:rPr>
          <w:rFonts w:ascii="Times New Roman" w:cs="Times New Roman" w:eastAsia="Times New Roman" w:hAnsi="Times New Roman"/>
          <w:sz w:val="20"/>
          <w:szCs w:val="20"/>
          <w:color w:val="auto"/>
        </w:rPr>
        <w:t>products to market before we do, which would impair our ability to successfully commercialize our product candidates and may significantly harm our business, operating results, financial condition and prospects.</w:t>
      </w:r>
    </w:p>
    <w:p>
      <w:pPr>
        <w:spacing w:after="0" w:line="4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Patient enrollment may be affected by other factors, including:</w:t>
      </w:r>
    </w:p>
    <w:p>
      <w:pPr>
        <w:spacing w:after="0" w:line="134" w:lineRule="exact"/>
        <w:rPr>
          <w:sz w:val="20"/>
          <w:szCs w:val="20"/>
          <w:color w:val="auto"/>
        </w:rPr>
      </w:pPr>
    </w:p>
    <w:p>
      <w:pPr>
        <w:ind w:left="720" w:hanging="367"/>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severity of the disease under investigation;</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efforts to obtain and maintain patient consents and facilitate timely enrollment in clinical trials;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clinical trials will drop out of the clinical trials before clinical trial completion;</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recruit clinical trial investigators with the appropriate competencies and experience;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reporting of the preliminary results of any of our clinical trials; and</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factors we may not be able to control, including the impacts of any public health crises, that may limit patients, principal investigators or staff or clinical site availability.</w:t>
      </w:r>
    </w:p>
    <w:p>
      <w:pPr>
        <w:spacing w:after="0" w:line="5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previously announced positive data from our Phase 2 BEACON and AURORA clinical trials of bitopertin in patients with EPP, but there can be no assurance that our Phase 3 APOLLO clinical trial of bitopertin in patients with EPP will be successful or that the results of our APOLLO clinical trial will support a traditional approval of bitopertin for EPP. In addition, we previously announced positive initial data from our RALLY-MF Phase 2 clinical trial of DISC-0974 in patients with anemia of MF. However, there can be no assurance that DISC-0974 will achieve the desired effects in this indication. Further, we announced positive results from a Phase 1 clinical trial of DISC-3405 in healthy adult volunteers in December 2024 and June 2025,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Many companies in the biopharmaceutical and biotechnology industries have suffered significant setbacks in late-stage clinical trials after achieving positive results in early-stage development, and we cannot be certain that we will not face similar setbacks.</w:t>
      </w:r>
    </w:p>
    <w:p>
      <w:pPr>
        <w:sectPr>
          <w:pgSz w:w="12240" w:h="15840" w:orient="portrait"/>
          <w:cols w:equalWidth="0" w:num="1">
            <w:col w:w="10460"/>
          </w:cols>
          <w:pgMar w:left="900" w:top="930" w:right="880" w:bottom="175" w:gutter="0" w:footer="0" w:header="0"/>
        </w:sect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460"/>
          </w:cols>
          <w:pgMar w:left="900" w:top="930" w:right="880" w:bottom="175" w:gutter="0" w:footer="0" w:header="0"/>
          <w:type w:val="continuous"/>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20"/>
          <w:szCs w:val="20"/>
          <w:color w:val="auto"/>
        </w:rPr>
        <w:t>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the majority of our programs and product candidates are in an early or intermediate stage of development, there is a high risk of failure, and we may never succeed in developing any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Further, undesirable side effects in one of our clinical trials for a product candidate in one indication could adversely affect enrollment in clinical trials, regulatory approval and commercialization of such product candidate in other indications.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Some of our product candidates modulate pathways for which there are currently no approved or effective therapies, which may result in uncertainty. We select programs for targets based on compelling biological rationale, including evidence of expected</w:t>
      </w:r>
    </w:p>
    <w:p>
      <w:pPr>
        <w:sectPr>
          <w:pgSz w:w="12240" w:h="15840" w:orient="portrait"/>
          <w:cols w:equalWidth="0" w:num="1">
            <w:col w:w="10460"/>
          </w:cols>
          <w:pgMar w:left="900" w:top="930" w:right="880" w:bottom="175" w:gutter="0" w:footer="0" w:header="0"/>
        </w:sect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460"/>
          </w:cols>
          <w:pgMar w:left="900" w:top="930" w:right="880" w:bottom="175" w:gutter="0" w:footer="0" w:header="0"/>
          <w:type w:val="continuous"/>
        </w:sectPr>
      </w:pPr>
    </w:p>
    <w:bookmarkStart w:id="64" w:name="page65"/>
    <w:bookmarkEnd w:id="64"/>
    <w:p>
      <w:pPr>
        <w:jc w:val="both"/>
        <w:spacing w:after="0" w:line="243" w:lineRule="auto"/>
        <w:rPr>
          <w:sz w:val="20"/>
          <w:szCs w:val="20"/>
          <w:color w:val="auto"/>
        </w:rPr>
      </w:pPr>
      <w:r>
        <w:rPr>
          <w:rFonts w:ascii="Times New Roman" w:cs="Times New Roman" w:eastAsia="Times New Roman" w:hAnsi="Times New Roman"/>
          <w:sz w:val="20"/>
          <w:szCs w:val="20"/>
          <w:color w:val="auto"/>
        </w:rPr>
        <w:t>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We conducted BEACON, our Phase 2 open-label, parallel-dose clinical trial of bitopertin in EPP and XLP patients, at sites in Australia. All participants who completed BEACON were eligible to participate in HELIOS, an open-label, long-term extension study of bitopertin in EPP and XLP patients, that we are also conducting in Australia. </w:t>
      </w:r>
      <w:r>
        <w:rPr>
          <w:rFonts w:ascii="Times New Roman" w:cs="Times New Roman" w:eastAsia="Times New Roman" w:hAnsi="Times New Roman"/>
          <w:sz w:val="19"/>
          <w:szCs w:val="19"/>
          <w:color w:val="auto"/>
        </w:rPr>
        <w:t>We are also conducting APOLLO, a Phase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3, randomized, double-blind, placebo-controlled clinical trial of bitopertin in EPP and XLP patients, in Canada, Europe and Australia, as well as the United States. </w:t>
      </w:r>
      <w:r>
        <w:rPr>
          <w:rFonts w:ascii="Times New Roman" w:cs="Times New Roman" w:eastAsia="Times New Roman" w:hAnsi="Times New Roman"/>
          <w:sz w:val="20"/>
          <w:szCs w:val="20"/>
          <w:color w:val="auto"/>
        </w:rPr>
        <w:t>We may in the future choose to conduct additional clinical trials of our product candidates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88" w:lineRule="exact"/>
        <w:rPr>
          <w:sz w:val="20"/>
          <w:szCs w:val="20"/>
          <w:color w:val="auto"/>
        </w:rPr>
      </w:pPr>
    </w:p>
    <w:p>
      <w:pPr>
        <w:ind w:left="720" w:hanging="367"/>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research methodology used may not be successful in identifying potential indications and/or product candidates;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candidates may, after further study, be shown to have harmful adverse effects or other characteristics that indicate they are unlikely to be effective products; or</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w:t>
      </w:r>
    </w:p>
    <w:p>
      <w:pPr>
        <w:sectPr>
          <w:pgSz w:w="12240" w:h="15840" w:orient="portrait"/>
          <w:cols w:equalWidth="0" w:num="1">
            <w:col w:w="10460"/>
          </w:cols>
          <w:pgMar w:left="900" w:top="930" w:right="880" w:bottom="175" w:gutter="0" w:footer="0" w:header="0"/>
        </w:sect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460"/>
          </w:cols>
          <w:pgMar w:left="900" w:top="930" w:right="880" w:bottom="175" w:gutter="0" w:footer="0" w:header="0"/>
          <w:type w:val="continuous"/>
        </w:sectPr>
      </w:pPr>
    </w:p>
    <w:bookmarkStart w:id="65" w:name="page66"/>
    <w:bookmarkEnd w:id="65"/>
    <w:p>
      <w:pPr>
        <w:jc w:val="both"/>
        <w:spacing w:after="0" w:line="277" w:lineRule="auto"/>
        <w:rPr>
          <w:sz w:val="20"/>
          <w:szCs w:val="20"/>
          <w:color w:val="auto"/>
        </w:rPr>
      </w:pPr>
      <w:r>
        <w:rPr>
          <w:rFonts w:ascii="Times New Roman" w:cs="Times New Roman" w:eastAsia="Times New Roman" w:hAnsi="Times New Roman"/>
          <w:sz w:val="20"/>
          <w:szCs w:val="20"/>
          <w:color w:val="auto"/>
        </w:rPr>
        <w:t>our future growth and prospects. We may focus our efforts and resources on potential product candidates or other potential programs that ultimately prove to be unsuccessful.</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for review. Even if the FDA or a comparable foreign regulatory authority accepts an application for review, we can provide no assurance that an accepted application will ultimately result in an approval. Any guidance we receive from the FDA or other comparable regulatory authorities during the development or marketing application review processes is subject to change. As such, the outcomes of our interactions with such regulatory authorities during such review processes, such as pre-NDA or Type A meetings with the FDA, and the ultimate approval decision, are subject to significant uncertainty. Among other things, the FDA or a comparable foreign regulatory authority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106" w:lineRule="exact"/>
        <w:rPr>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enroll a sufficient number of patients in our clinical trials;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product candidate is safe and effective for its proposed indication;</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BLA or other submission or to obtain regulatory approval in the United States or elsewhere;</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such that our clinical data are insufficient for approval.</w:t>
      </w:r>
    </w:p>
    <w:p>
      <w:pPr>
        <w:sectPr>
          <w:pgSz w:w="12240" w:h="15840" w:orient="portrait"/>
          <w:cols w:equalWidth="0" w:num="1">
            <w:col w:w="10460"/>
          </w:cols>
          <w:pgMar w:left="900" w:top="930" w:right="880" w:bottom="175"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460"/>
          </w:cols>
          <w:pgMar w:left="900" w:top="930" w:right="880" w:bottom="175" w:gutter="0" w:footer="0" w:header="0"/>
          <w:type w:val="continuous"/>
        </w:sectPr>
      </w:pPr>
    </w:p>
    <w:bookmarkStart w:id="66" w:name="page67"/>
    <w:bookmarkEnd w:id="66"/>
    <w:p>
      <w:pPr>
        <w:jc w:val="both"/>
        <w:spacing w:after="0" w:line="244" w:lineRule="auto"/>
        <w:rPr>
          <w:sz w:val="20"/>
          <w:szCs w:val="20"/>
          <w:color w:val="auto"/>
        </w:rPr>
      </w:pPr>
      <w:r>
        <w:rPr>
          <w:rFonts w:ascii="Times New Roman" w:cs="Times New Roman" w:eastAsia="Times New Roman" w:hAnsi="Times New Roman"/>
          <w:sz w:val="20"/>
          <w:szCs w:val="20"/>
          <w:color w:val="auto"/>
        </w:rPr>
        <w:t>For example, we submitted an NDA for accelerated approval of bitopertin in EPP and XLP in the United States in September 2025. In February 2026, the FDA issued a CRL. Although the FDA agreed that clinical data from our AURORA and BEACON clinical trials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in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a clinical benefit from an additional clinical trial, such as our ongoing APOLLO trial, to support a potential traditional approval.</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4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4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“Business - Competition” for examples of the competition that our product candidates face.</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w:t>
      </w:r>
    </w:p>
    <w:p>
      <w:pPr>
        <w:sectPr>
          <w:pgSz w:w="12240" w:h="15840" w:orient="portrait"/>
          <w:cols w:equalWidth="0" w:num="1">
            <w:col w:w="10460"/>
          </w:cols>
          <w:pgMar w:left="900" w:top="930" w:right="880" w:bottom="175"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460"/>
          </w:cols>
          <w:pgMar w:left="900" w:top="930" w:right="880" w:bottom="175" w:gutter="0" w:footer="0" w:header="0"/>
          <w:type w:val="continuous"/>
        </w:sectPr>
      </w:pPr>
    </w:p>
    <w:bookmarkStart w:id="67" w:name="page68"/>
    <w:bookmarkEnd w:id="67"/>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inflammatory bowel disease, or IBD. We are initially focused on developing DISC-3405 for the treatment of PV and sickle cell disease, or SCD. Our projections of both the number of people who have these diseases, as well as the subset of people with these diseases who have the potential to benefit from treatment with our programs and product candidates, are based on our estimates.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EPP, XLP, anemias of MF or IBD, PV, SCD, or other indications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cannot be certain that the patient populations for each specific disease will be large enough to allow us to successfully obtain approval for our product candidates, or successfully commercialize any of our product candidates, if approved, and achieve profitability.</w:t>
      </w:r>
    </w:p>
    <w:p>
      <w:pPr>
        <w:spacing w:after="0" w:line="6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t>
      </w:r>
      <w:r>
        <w:rPr>
          <w:rFonts w:ascii="Times New Roman" w:cs="Times New Roman" w:eastAsia="Times New Roman" w:hAnsi="Times New Roman"/>
          <w:sz w:val="19"/>
          <w:szCs w:val="19"/>
          <w:b w:val="1"/>
          <w:bCs w:val="1"/>
          <w:i w:val="1"/>
          <w:iCs w:val="1"/>
          <w:color w:val="auto"/>
        </w:rPr>
        <w:t>our current product candidates or any future product candidates do not achieve broad market acceptance, the revenue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9"/>
          <w:szCs w:val="19"/>
          <w:b w:val="1"/>
          <w:bCs w:val="1"/>
          <w:i w:val="1"/>
          <w:iCs w:val="1"/>
          <w:color w:val="auto"/>
        </w:rPr>
        <w:t>we generate from our sales may be limited, and we may never become profitable.</w:t>
      </w:r>
    </w:p>
    <w:p>
      <w:pPr>
        <w:spacing w:after="0" w:line="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w:t>
      </w:r>
    </w:p>
    <w:p>
      <w:pPr>
        <w:sectPr>
          <w:pgSz w:w="12240" w:h="15840" w:orient="portrait"/>
          <w:cols w:equalWidth="0" w:num="1">
            <w:col w:w="10460"/>
          </w:cols>
          <w:pgMar w:left="900" w:top="930" w:right="880" w:bottom="175" w:gutter="0" w:footer="0" w:header="0"/>
        </w:sect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460"/>
          </w:cols>
          <w:pgMar w:left="900" w:top="930" w:right="880" w:bottom="175" w:gutter="0" w:footer="0" w:header="0"/>
          <w:type w:val="continuous"/>
        </w:sectPr>
      </w:pPr>
    </w:p>
    <w:bookmarkStart w:id="68" w:name="page69"/>
    <w:bookmarkEnd w:id="68"/>
    <w:p>
      <w:pPr>
        <w:jc w:val="both"/>
        <w:spacing w:after="0" w:line="277" w:lineRule="auto"/>
        <w:rPr>
          <w:sz w:val="20"/>
          <w:szCs w:val="20"/>
          <w:color w:val="auto"/>
        </w:rPr>
      </w:pPr>
      <w:r>
        <w:rPr>
          <w:rFonts w:ascii="Times New Roman" w:cs="Times New Roman" w:eastAsia="Times New Roman" w:hAnsi="Times New Roman"/>
          <w:sz w:val="20"/>
          <w:szCs w:val="20"/>
          <w:color w:val="auto"/>
        </w:rPr>
        <w:t>as private health insurers and health maintenance organizations, decide which medications they will pay for and establish reimbursement levels.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Efforts to educate the medical community and third-party payors on the benefits of our current product candidates and any future product candidates may require significant resources and may not be successful. </w:t>
      </w:r>
      <w:r>
        <w:rPr>
          <w:rFonts w:ascii="Times New Roman" w:cs="Times New Roman" w:eastAsia="Times New Roman" w:hAnsi="Times New Roman"/>
          <w:sz w:val="19"/>
          <w:szCs w:val="19"/>
          <w:color w:val="auto"/>
        </w:rPr>
        <w:t>If our current product candidates or any future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r>
        <w:rPr>
          <w:rFonts w:ascii="Times New Roman" w:cs="Times New Roman" w:eastAsia="Times New Roman" w:hAnsi="Times New Roman"/>
          <w:sz w:val="20"/>
          <w:szCs w:val="20"/>
          <w:color w:val="auto"/>
        </w:rPr>
        <w:t>:</w:t>
      </w:r>
    </w:p>
    <w:p>
      <w:pPr>
        <w:spacing w:after="0" w:line="88" w:lineRule="exact"/>
        <w:rPr>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of our current product candidates and any future product candidates;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the prevalence and severity of adverse events associated with </w:t>
      </w:r>
      <w:r>
        <w:rPr>
          <w:rFonts w:ascii="Times New Roman" w:cs="Times New Roman" w:eastAsia="Times New Roman" w:hAnsi="Times New Roman"/>
          <w:sz w:val="19"/>
          <w:szCs w:val="19"/>
          <w:color w:val="auto"/>
        </w:rPr>
        <w:t>our current product candidates and any future product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candidates</w:t>
      </w:r>
      <w:r>
        <w:rPr>
          <w:rFonts w:ascii="Times New Roman" w:cs="Times New Roman" w:eastAsia="Times New Roman" w:hAnsi="Times New Roman"/>
          <w:sz w:val="20"/>
          <w:szCs w:val="20"/>
          <w:color w:val="auto"/>
        </w:rPr>
        <w:t>;</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our product candidates are approved and the approved claims that we may make for the products;</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relative convenience and ease of administration of our current product candidates and any future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compared with the economic and clinical benefit of alternative treatments or therapies;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adequate coverage or reimbursement by third-party payors, including government healthcare programs such as Medicare and Medicaid and other healthcare payors;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concessions required by third-party payors to obtain coverage;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patients to pay out-of-pocket in the absence of adequate coverage and reimbursement;</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and strength of our marketing and distribution of our current product candidates and any future product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safety, efficacy, and other potential advantages over, and availability of, alternative treatments already used or that may later be approved;</w:t>
      </w:r>
    </w:p>
    <w:p>
      <w:pPr>
        <w:spacing w:after="0" w:line="64" w:lineRule="exact"/>
        <w:rPr>
          <w:rFonts w:ascii="Arial" w:cs="Arial" w:eastAsia="Arial" w:hAnsi="Arial"/>
          <w:sz w:val="20"/>
          <w:szCs w:val="20"/>
          <w:color w:val="auto"/>
        </w:rPr>
      </w:pPr>
    </w:p>
    <w:p>
      <w:pPr>
        <w:jc w:val="both"/>
        <w:ind w:left="720" w:right="20" w:hanging="367"/>
        <w:spacing w:after="0" w:line="258"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 of our current product candidates and any future product candidates, as well as competitive products;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offer our current product candidates and any future product candidates for sale at competitive prices;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and strength of our third-party manufacturer and supplier support;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of other new products;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about our current product candidates and any future product candidates or favorable publicity about competitive products; and</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liability claims.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ectPr>
          <w:pgSz w:w="12240" w:h="15840" w:orient="portrait"/>
          <w:cols w:equalWidth="0" w:num="1">
            <w:col w:w="10460"/>
          </w:cols>
          <w:pgMar w:left="900" w:top="930" w:right="880" w:bottom="175" w:gutter="0" w:footer="0" w:header="0"/>
        </w:sect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460"/>
          </w:cols>
          <w:pgMar w:left="900" w:top="930" w:right="880" w:bottom="175" w:gutter="0" w:footer="0" w:header="0"/>
          <w:type w:val="continuous"/>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20"/>
          <w:szCs w:val="20"/>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6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07" w:lineRule="exact"/>
        <w:rPr>
          <w:sz w:val="20"/>
          <w:szCs w:val="20"/>
          <w:color w:val="auto"/>
        </w:rPr>
      </w:pPr>
    </w:p>
    <w:p>
      <w:pPr>
        <w:ind w:left="720" w:right="20" w:hanging="367"/>
        <w:spacing w:after="0" w:line="27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withdrawal of the product from the market or voluntary or mandatory product recalls;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holds;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other regulatory enforcement action;</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460"/>
          </w:cols>
          <w:pgMar w:left="900" w:top="930" w:right="880" w:bottom="175" w:gutter="0" w:footer="0" w:header="0"/>
          <w:type w:val="continuous"/>
        </w:sectPr>
      </w:pPr>
    </w:p>
    <w:bookmarkStart w:id="70" w:name="page71"/>
    <w:bookmarkEnd w:id="70"/>
    <w:p>
      <w:pPr>
        <w:jc w:val="both"/>
        <w:ind w:left="7"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brought against us could cause us to incur substantial liabilities and could limit commercialization of any product candidates that we may develop.</w:t>
      </w:r>
    </w:p>
    <w:p>
      <w:pPr>
        <w:spacing w:after="0" w:line="49" w:lineRule="exact"/>
        <w:rPr>
          <w:sz w:val="20"/>
          <w:szCs w:val="20"/>
          <w:color w:val="auto"/>
        </w:rPr>
      </w:pPr>
    </w:p>
    <w:p>
      <w:pPr>
        <w:jc w:val="both"/>
        <w:ind w:left="7" w:right="20"/>
        <w:spacing w:after="0" w:line="258" w:lineRule="auto"/>
        <w:rPr>
          <w:sz w:val="20"/>
          <w:szCs w:val="20"/>
          <w:color w:val="auto"/>
        </w:rPr>
      </w:pPr>
      <w:r>
        <w:rPr>
          <w:rFonts w:ascii="Times New Roman" w:cs="Times New Roman" w:eastAsia="Times New Roman" w:hAnsi="Times New Roman"/>
          <w:sz w:val="20"/>
          <w:szCs w:val="20"/>
          <w:color w:val="auto"/>
        </w:rPr>
        <w:t>We face an inherent risk of product liability lawsuits related to the testing of any product candidates in human clinical trials and will face an even greater risk if we commercially sell such product candidates. If we cannot successfully defend ourselves against any such claims, we may incur substantial liabilities. Regardless of merit or eventual outcome, liability claims may result in:</w:t>
      </w:r>
    </w:p>
    <w:p>
      <w:pPr>
        <w:spacing w:after="0" w:line="83" w:lineRule="exact"/>
        <w:rPr>
          <w:sz w:val="20"/>
          <w:szCs w:val="20"/>
          <w:color w:val="auto"/>
        </w:rPr>
      </w:pPr>
    </w:p>
    <w:p>
      <w:pPr>
        <w:ind w:left="367" w:hanging="367"/>
        <w:spacing w:after="0"/>
        <w:tabs>
          <w:tab w:leader="none" w:pos="367"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our product candidates;</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termination of clinical trial sites or entire trial programs;</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litigation costs;</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or costly settlements with patients or other claimants;</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or a change in the indications for which products may be used;</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 and scientific resources from our business operations; and</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our product candidates.</w:t>
      </w:r>
    </w:p>
    <w:p>
      <w:pPr>
        <w:spacing w:after="0" w:line="119"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20"/>
          <w:szCs w:val="20"/>
          <w:color w:val="auto"/>
        </w:rPr>
        <w:t>We are highly dependent upon consumer perceptions of us and the safety and quality of any product candidate we commercialize. We could be adversely affected if we are subject to negative publicity. We could also be adversely affected if any of our future products or any similar products distributed by other companies prove to be, or are asserted to be, harmful to patients. 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product candidates. Insurance coverage is increasingly expensive. We may not be able to maintain insurance coverage at a reasonable cost or in an amount adequate to satisfy any liability that may arise.</w:t>
      </w:r>
    </w:p>
    <w:p>
      <w:pPr>
        <w:spacing w:after="0" w:line="1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4" w:lineRule="exact"/>
        <w:rPr>
          <w:sz w:val="20"/>
          <w:szCs w:val="20"/>
          <w:color w:val="auto"/>
        </w:rPr>
      </w:pPr>
    </w:p>
    <w:p>
      <w:pPr>
        <w:jc w:val="both"/>
        <w:ind w:left="7" w:right="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6"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20"/>
          <w:szCs w:val="20"/>
          <w:color w:val="auto"/>
        </w:rPr>
        <w:t>We do not have the ability to independently conduct clinical trials. We have relied on and expect to continue to rely on medical institutions, clinical investigators, contract laboratories and other third parties, such as CROs, to conduct or otherwise support the Phase 3 APOLLO clinical trial of bitopertin in EPP and XLP, as well as clinical trials for our other product candidates.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w:t>
      </w:r>
    </w:p>
    <w:p>
      <w:pPr>
        <w:spacing w:after="0" w:line="80" w:lineRule="exact"/>
        <w:rPr>
          <w:sz w:val="20"/>
          <w:szCs w:val="20"/>
          <w:color w:val="auto"/>
        </w:rPr>
      </w:pPr>
    </w:p>
    <w:p>
      <w:pPr>
        <w:jc w:val="both"/>
        <w:ind w:left="7"/>
        <w:spacing w:after="0" w:line="242" w:lineRule="auto"/>
        <w:rPr>
          <w:sz w:val="20"/>
          <w:szCs w:val="20"/>
          <w:color w:val="auto"/>
        </w:rPr>
      </w:pPr>
      <w:r>
        <w:rPr>
          <w:rFonts w:ascii="Times New Roman" w:cs="Times New Roman" w:eastAsia="Times New Roman" w:hAnsi="Times New Roman"/>
          <w:sz w:val="20"/>
          <w:szCs w:val="20"/>
          <w:color w:val="auto"/>
        </w:rPr>
        <w:t>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 For example, 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w:t>
      </w:r>
    </w:p>
    <w:p>
      <w:pPr>
        <w:sectPr>
          <w:pgSz w:w="12240" w:h="15840" w:orient="portrait"/>
          <w:cols w:equalWidth="0" w:num="1">
            <w:col w:w="10467"/>
          </w:cols>
          <w:pgMar w:left="893" w:top="930" w:right="880" w:bottom="175" w:gutter="0" w:footer="0" w:header="0"/>
        </w:sectPr>
      </w:pPr>
    </w:p>
    <w:p>
      <w:pPr>
        <w:spacing w:after="0" w:line="22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467"/>
          </w:cols>
          <w:pgMar w:left="893" w:top="930" w:right="880" w:bottom="175" w:gutter="0" w:footer="0" w:header="0"/>
          <w:type w:val="continuous"/>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20"/>
          <w:szCs w:val="20"/>
          <w:color w:val="auto"/>
        </w:rPr>
        <w:t>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6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Communicating with outside parties can also be challenging, potentially leading to mistakes as well as difficulties in coordinating activities. Outside parties may:</w:t>
      </w:r>
    </w:p>
    <w:p>
      <w:pPr>
        <w:spacing w:after="0" w:line="64" w:lineRule="exact"/>
        <w:rPr>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have staffing difficulties;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fail to comply with contractual obligations;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regulatory compliance issues;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undergo changes in priorities or become financially distressed; or</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form relationships with other entities, some of which may be our competitors.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or if any of our relationships with these third-party principal investigators or CROs terminate,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may also rely on academic and private non-academic institutions to conduct and sponsor clinical trials relating to our product candidates, such as the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9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might not realize the anticipated benefits of our current collaborations with Mabwell or NIH, or any other collaborations we enter into in the future.</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Research, development, commercialization and/or strategic collaborations, including those that we have with Mabwell and NIH, are subject to numerous risks, which include the following:</w:t>
      </w:r>
    </w:p>
    <w:p>
      <w:pPr>
        <w:spacing w:after="0" w:line="64" w:lineRule="exact"/>
        <w:rPr>
          <w:sz w:val="20"/>
          <w:szCs w:val="20"/>
          <w:color w:val="auto"/>
        </w:rPr>
      </w:pPr>
    </w:p>
    <w:p>
      <w:pPr>
        <w:ind w:left="720" w:hanging="367"/>
        <w:spacing w:after="0" w:line="276"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81"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87"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delay, provide insufficient resources to, or modify or stop research or clinical development for collaboration product candidates or require a new formulation of a product candidate for clinical testing;</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460"/>
          </w:cols>
          <w:pgMar w:left="900" w:top="930" w:right="880" w:bottom="175" w:gutter="0" w:footer="0" w:header="0"/>
          <w:type w:val="continuous"/>
        </w:sectPr>
      </w:pPr>
    </w:p>
    <w:bookmarkStart w:id="72" w:name="page73"/>
    <w:bookmarkEnd w:id="72"/>
    <w:p>
      <w:pPr>
        <w:jc w:val="both"/>
        <w:ind w:left="720" w:hanging="367"/>
        <w:spacing w:after="0" w:line="258"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81"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be in compliance with laws applicable to their activities under the collaboration, which could impact the collaboration and us;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might arise between a collaborator and us that could cause a delay or termination of the collaboration or result in costly litigation that diverts management attention and resources; and</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might be terminated, which could result in a need for additional capital to pursue further research, development and/or commercialization of our product candidates.</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 -consuming to negotiate and document. In addition, there have been a significant number of recent business combinations among large pharmaceutical companies that have resulted in a reduced number of potential future collaborators.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460"/>
          </w:cols>
          <w:pgMar w:left="900" w:top="944" w:right="880" w:bottom="175" w:gutter="0" w:footer="0" w:header="0"/>
          <w:type w:val="continuous"/>
        </w:sectPr>
      </w:pPr>
    </w:p>
    <w:bookmarkStart w:id="73" w:name="page74"/>
    <w:bookmarkEnd w:id="73"/>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obtain additional capital, which may not be available to us on acceptable terms or at all. If we do not have sufficient funds, we may not be able to further develop our product candidates or bring them to market and generate product revenue.</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8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do not currently own or operate, nor do we have any plans to establish in the future, any manufacturing facilities. As such, we rely, and expect to continue to rely, on third parties such as contract development and manufacturing organizations, or CDMOs, f</w:t>
      </w:r>
      <w:r>
        <w:rPr>
          <w:rFonts w:ascii="Times New Roman" w:cs="Times New Roman" w:eastAsia="Times New Roman" w:hAnsi="Times New Roman"/>
          <w:sz w:val="19"/>
          <w:szCs w:val="19"/>
          <w:color w:val="auto"/>
        </w:rPr>
        <w:t>or the manufacture of our product candidates for preclinical development and clinical testing. We also expect to rely on 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time, cost or quality, which could delay, prevent or impair our development or commercialization efforts</w:t>
      </w:r>
      <w:r>
        <w:rPr>
          <w:rFonts w:ascii="Times New Roman" w:cs="Times New Roman" w:eastAsia="Times New Roman" w:hAnsi="Times New Roman"/>
          <w:sz w:val="20"/>
          <w:szCs w:val="20"/>
          <w:color w:val="auto"/>
        </w:rPr>
        <w:t>.</w:t>
      </w:r>
    </w:p>
    <w:p>
      <w:pPr>
        <w:spacing w:after="0" w:line="3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supply used in our clinical trials and that of any new manufacturer. We may be unsuccessful in demonstrating the comparability of clinical supplies which could require the conduct of additional clinical trials.</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may be unable to establish any additional agreements with CDMOs or do so on acceptable terms. Reliance on CDMOs entails additional risks, including:</w:t>
      </w:r>
    </w:p>
    <w:p>
      <w:pPr>
        <w:spacing w:after="0" w:line="64" w:lineRule="exact"/>
        <w:rPr>
          <w:sz w:val="20"/>
          <w:szCs w:val="20"/>
          <w:color w:val="auto"/>
        </w:rPr>
      </w:pPr>
    </w:p>
    <w:p>
      <w:pPr>
        <w:ind w:left="720" w:hanging="367"/>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the third party for regulatory compliance and quality assurance;</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 and</w:t>
      </w:r>
    </w:p>
    <w:p>
      <w:pPr>
        <w:sectPr>
          <w:pgSz w:w="12240" w:h="15840" w:orient="portrait"/>
          <w:cols w:equalWidth="0" w:num="1">
            <w:col w:w="10460"/>
          </w:cols>
          <w:pgMar w:left="900" w:top="930" w:right="880" w:bottom="175" w:gutter="0" w:footer="0" w:header="0"/>
        </w:sect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460"/>
          </w:cols>
          <w:pgMar w:left="900" w:top="930" w:right="880" w:bottom="175" w:gutter="0" w:footer="0" w:header="0"/>
          <w:type w:val="continuous"/>
        </w:sectPr>
      </w:pPr>
    </w:p>
    <w:bookmarkStart w:id="74" w:name="page75"/>
    <w:bookmarkEnd w:id="74"/>
    <w:p>
      <w:pPr>
        <w:ind w:left="720" w:hanging="367"/>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legislation pending in Congress would prohibit U.S. federal funding in connection with biotechnology equipment or services produced or provided by certain named Chinese “biotechnology companies of concern” and loans and grants to, and federal contracts with any entity that uses biotechnology equipment or services from one of these entities. The legislation would also give the federal government the authority to name additional “biotechnology companies of concern” that are engaged in research activities with the Chinese government and that pose a risk of U.S. national security. In addition, in 2025, the United States imposed substantial tariffs on imports from China as well as on other trading partners, including Canada, Mexico, and the EU. We currently rely on certain foreign or foreign-owned third-party vendors to manufacture certain materials used in clinical trials of our product candidates or to provide services in connection with certain clinical trials or certain discovery activities. Our engagement with these foreign and foreign-owned vendors may be subject to additional U.S. legislation,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6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active pharmaceutical ingredients, or API, used in certain of our product candidates are supplied to us from single-source suppliers. Our ability to successfully develop such product candidates, and to ultimately supply any resulting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proposed federal legislation that would prohibit U.S. federal funding in connection with biotechnology equipment or services produced or provided by certain named Chinese “biotechnology companies of concern” or a similar law were to be enacted. Any negative impact of such matters on our third-party suppliers and manufacturers may also have an adverse impact on our results of operations or financial condition.</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all of our product candidates, we intend to identify and qualify additional manufacturers to provide such API.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460"/>
          </w:cols>
          <w:pgMar w:left="900" w:top="944" w:right="880" w:bottom="175" w:gutter="0" w:footer="0" w:header="0"/>
          <w:type w:val="continuous"/>
        </w:sectPr>
      </w:pPr>
    </w:p>
    <w:bookmarkStart w:id="75" w:name="page76"/>
    <w:bookmarkEnd w:id="75"/>
    <w:p>
      <w:pPr>
        <w:jc w:val="both"/>
        <w:spacing w:after="0" w:line="277" w:lineRule="auto"/>
        <w:rPr>
          <w:sz w:val="20"/>
          <w:szCs w:val="20"/>
          <w:color w:val="auto"/>
        </w:rPr>
      </w:pPr>
      <w:r>
        <w:rPr>
          <w:rFonts w:ascii="Times New Roman" w:cs="Times New Roman" w:eastAsia="Times New Roman" w:hAnsi="Times New Roman"/>
          <w:sz w:val="20"/>
          <w:szCs w:val="20"/>
          <w:color w:val="auto"/>
        </w:rPr>
        <w:t>development and commercialization efforts, which could harm our business, results of operations, financial condition and prospects.</w:t>
      </w:r>
    </w:p>
    <w:p>
      <w:pPr>
        <w:spacing w:after="0" w:line="4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any third-party manufacturer of any of our product candidates is unable to increase the scale of its production of such product candidates or increase the product yield of its manufacturing, then our costs to manufacture such product or product candidate may increase and any commercialization may be delayed.</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components and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such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2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2026.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460"/>
          </w:cols>
          <w:pgMar w:left="900" w:top="930" w:right="880" w:bottom="175" w:gutter="0" w:footer="0" w:header="0"/>
          <w:type w:val="continuous"/>
        </w:sectPr>
      </w:pPr>
    </w:p>
    <w:bookmarkStart w:id="76" w:name="page77"/>
    <w:bookmarkEnd w:id="76"/>
    <w:p>
      <w:pPr>
        <w:jc w:val="both"/>
        <w:spacing w:after="0" w:line="244" w:lineRule="auto"/>
        <w:rPr>
          <w:sz w:val="20"/>
          <w:szCs w:val="20"/>
          <w:color w:val="auto"/>
        </w:rPr>
      </w:pPr>
      <w:r>
        <w:rPr>
          <w:rFonts w:ascii="Times New Roman" w:cs="Times New Roman" w:eastAsia="Times New Roman" w:hAnsi="Times New Roman"/>
          <w:sz w:val="20"/>
          <w:szCs w:val="20"/>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460"/>
          </w:cols>
          <w:pgMar w:left="900" w:top="930" w:right="880" w:bottom="175" w:gutter="0" w:footer="0" w:header="0"/>
          <w:type w:val="continuous"/>
        </w:sectPr>
      </w:pPr>
    </w:p>
    <w:bookmarkStart w:id="77" w:name="page78"/>
    <w:bookmarkEnd w:id="77"/>
    <w:p>
      <w:pPr>
        <w:jc w:val="both"/>
        <w:spacing w:after="0" w:line="277" w:lineRule="auto"/>
        <w:rPr>
          <w:sz w:val="20"/>
          <w:szCs w:val="20"/>
          <w:color w:val="auto"/>
        </w:rPr>
      </w:pPr>
      <w:r>
        <w:rPr>
          <w:rFonts w:ascii="Times New Roman" w:cs="Times New Roman" w:eastAsia="Times New Roman" w:hAnsi="Times New Roman"/>
          <w:sz w:val="20"/>
          <w:szCs w:val="20"/>
          <w:color w:val="auto"/>
        </w:rPr>
        <w:t>litigation, a competitor could claim that our patents, if issued, are not valid or are unenforceable for a number of reasons. If a court or administrative patent authority agrees, we would lose our protection of those challenged patents.</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Our trademarks or trade names may be challenged, infringed, diluted, circumvented or declared generic or determined to be infringing on other marks. We intend to rely on both registration and common law protection for our trademarks. We may not be</w:t>
      </w:r>
    </w:p>
    <w:p>
      <w:pPr>
        <w:sectPr>
          <w:pgSz w:w="12240" w:h="15840" w:orient="portrait"/>
          <w:cols w:equalWidth="0" w:num="1">
            <w:col w:w="10460"/>
          </w:cols>
          <w:pgMar w:left="900" w:top="930" w:right="880" w:bottom="175" w:gutter="0" w:footer="0" w:header="0"/>
        </w:sect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460"/>
          </w:cols>
          <w:pgMar w:left="900" w:top="930" w:right="880" w:bottom="175" w:gutter="0" w:footer="0" w:header="0"/>
          <w:type w:val="continuous"/>
        </w:sectPr>
      </w:pPr>
    </w:p>
    <w:bookmarkStart w:id="78" w:name="page79"/>
    <w:bookmarkEnd w:id="78"/>
    <w:p>
      <w:pPr>
        <w:jc w:val="both"/>
        <w:spacing w:after="0" w:line="244" w:lineRule="auto"/>
        <w:rPr>
          <w:sz w:val="20"/>
          <w:szCs w:val="20"/>
          <w:color w:val="auto"/>
        </w:rPr>
      </w:pPr>
      <w:r>
        <w:rPr>
          <w:rFonts w:ascii="Times New Roman" w:cs="Times New Roman" w:eastAsia="Times New Roman" w:hAnsi="Times New Roman"/>
          <w:sz w:val="20"/>
          <w:szCs w:val="20"/>
          <w:color w:val="auto"/>
        </w:rPr>
        <w:t>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adequately protect and enforce our trade secrets, our business and competitive position would be harmed.</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to the protection afforded by patents we may own or in- 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w:t>
      </w:r>
    </w:p>
    <w:p>
      <w:pPr>
        <w:sectPr>
          <w:pgSz w:w="12240" w:h="15840" w:orient="portrait"/>
          <w:cols w:equalWidth="0" w:num="1">
            <w:col w:w="10460"/>
          </w:cols>
          <w:pgMar w:left="900" w:top="930" w:right="880" w:bottom="175"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460"/>
          </w:cols>
          <w:pgMar w:left="900" w:top="930" w:right="880" w:bottom="175" w:gutter="0" w:footer="0" w:header="0"/>
          <w:type w:val="continuous"/>
        </w:sectPr>
      </w:pPr>
    </w:p>
    <w:bookmarkStart w:id="79" w:name="page80"/>
    <w:bookmarkEnd w:id="79"/>
    <w:p>
      <w:pPr>
        <w:jc w:val="both"/>
        <w:spacing w:after="0" w:line="242" w:lineRule="auto"/>
        <w:rPr>
          <w:sz w:val="20"/>
          <w:szCs w:val="20"/>
          <w:color w:val="auto"/>
        </w:rPr>
      </w:pPr>
      <w:r>
        <w:rPr>
          <w:rFonts w:ascii="Times New Roman" w:cs="Times New Roman" w:eastAsia="Times New Roman" w:hAnsi="Times New Roman"/>
          <w:sz w:val="20"/>
          <w:szCs w:val="20"/>
          <w:color w:val="auto"/>
        </w:rPr>
        <w:t>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 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460"/>
          </w:cols>
          <w:pgMar w:left="900" w:top="930" w:right="880" w:bottom="175" w:gutter="0" w:footer="0" w:header="0"/>
          <w:type w:val="continuous"/>
        </w:sectPr>
      </w:pPr>
    </w:p>
    <w:bookmarkStart w:id="80" w:name="page81"/>
    <w:bookmarkEnd w:id="80"/>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If a third party claims that we infringe, misappropriate or otherwise violate its intellectual property rights, we may face a number of issues, including, but not limited to:</w:t>
      </w:r>
    </w:p>
    <w:p>
      <w:pPr>
        <w:spacing w:after="0" w:line="64" w:lineRule="exact"/>
        <w:rPr>
          <w:sz w:val="20"/>
          <w:szCs w:val="20"/>
          <w:color w:val="auto"/>
        </w:rPr>
      </w:pPr>
    </w:p>
    <w:p>
      <w:pPr>
        <w:jc w:val="both"/>
        <w:ind w:left="720" w:hanging="367"/>
        <w:spacing w:after="0" w:line="258"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81"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7"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87"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460"/>
          </w:cols>
          <w:pgMar w:left="900" w:top="930" w:right="880" w:bottom="175" w:gutter="0" w:footer="0" w:header="0"/>
          <w:type w:val="continuous"/>
        </w:sectPr>
      </w:pPr>
    </w:p>
    <w:bookmarkStart w:id="81" w:name="page82"/>
    <w:bookmarkEnd w:id="81"/>
    <w:p>
      <w:pPr>
        <w:jc w:val="both"/>
        <w:ind w:left="720" w:hanging="367"/>
        <w:spacing w:after="0" w:line="258"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81"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460"/>
          </w:cols>
          <w:pgMar w:left="900" w:top="944" w:right="880" w:bottom="175" w:gutter="0" w:footer="0" w:header="0"/>
          <w:type w:val="continuous"/>
        </w:sectPr>
      </w:pPr>
    </w:p>
    <w:bookmarkStart w:id="82" w:name="page83"/>
    <w:bookmarkEnd w:id="82"/>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licenses at a reasonable cost or on reasonable terms, if at all. In that event, we would be unable to further develop and commercialize our current or future product candidates, which could harm our business significantly.</w:t>
      </w:r>
    </w:p>
    <w:p>
      <w:pPr>
        <w:spacing w:after="0" w:line="4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an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obtain licenses or sublicenses to intellectual property rights in all markets on equally or sufficiently favorable terms with third parties.</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460"/>
          </w:cols>
          <w:pgMar w:left="900" w:top="930" w:right="880" w:bottom="175" w:gutter="0" w:footer="0" w:header="0"/>
          <w:type w:val="continuous"/>
        </w:sectPr>
      </w:pPr>
    </w:p>
    <w:bookmarkStart w:id="83" w:name="page84"/>
    <w:bookmarkEnd w:id="83"/>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 - 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Disputes may also arise between us and our licensors regarding intellectual property subject to a license agreement, including:</w:t>
      </w:r>
    </w:p>
    <w:p>
      <w:pPr>
        <w:spacing w:after="0" w:line="134" w:lineRule="exact"/>
        <w:rPr>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our technology and processes infringe, misappropriate or otherwise violate intellectual property rights of the licensor that is not subject to the licensing agreement;</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sublicense patent and other rights to third parties under collaborative development relationships;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priority of invention of any patented technology; and</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current or future licensors and us and our partners.</w:t>
      </w:r>
    </w:p>
    <w:p>
      <w:pPr>
        <w:spacing w:after="0" w:line="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If we or our licensors or strategic partners initiate legal proceedings against a third party to enforce a patent covering one of our current or future product candidates, the defendant could counterclaim that such patent,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or judicial requirements, including lack of patentable subject matter, lack of written description, lack of novelty, obviousness, non-enablement, or double patenting. Grounds for an unenforceability assertion could be an allegation that someone connected with prosecution of the patent withheld relevant information from the USPTO that was material to patentability, or made a misleading statement, with an intent to deceive the USPTO,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20"/>
          <w:szCs w:val="20"/>
          <w:i w:val="1"/>
          <w:iCs w:val="1"/>
          <w:color w:val="auto"/>
        </w:rPr>
        <w:t>inter</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460"/>
          </w:cols>
          <w:pgMar w:left="900" w:top="930" w:right="880" w:bottom="175" w:gutter="0" w:footer="0" w:header="0"/>
          <w:type w:val="continuous"/>
        </w:sectPr>
      </w:pPr>
    </w:p>
    <w:bookmarkStart w:id="84" w:name="page85"/>
    <w:bookmarkEnd w:id="84"/>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partes </w:t>
      </w:r>
      <w:r>
        <w:rPr>
          <w:rFonts w:ascii="Times New Roman" w:cs="Times New Roman" w:eastAsia="Times New Roman" w:hAnsi="Times New Roman"/>
          <w:sz w:val="20"/>
          <w:szCs w:val="20"/>
          <w:color w:val="auto"/>
        </w:rPr>
        <w:t>review, post grant review and equivalent proceedings in foreign jurisdictions (such as opposition proceedings).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could diminish the value of patents in general, thereby impairing our ability to protect our current or future product candidates.</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w:t>
      </w:r>
    </w:p>
    <w:p>
      <w:pPr>
        <w:sectPr>
          <w:pgSz w:w="12240" w:h="15840" w:orient="portrait"/>
          <w:cols w:equalWidth="0" w:num="1">
            <w:col w:w="10460"/>
          </w:cols>
          <w:pgMar w:left="900" w:top="930" w:right="880" w:bottom="175" w:gutter="0" w:footer="0" w:header="0"/>
        </w:sect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460"/>
          </w:cols>
          <w:pgMar w:left="900" w:top="930" w:right="880" w:bottom="175" w:gutter="0" w:footer="0" w:header="0"/>
          <w:type w:val="continuous"/>
        </w:sectPr>
      </w:pPr>
    </w:p>
    <w:bookmarkStart w:id="85" w:name="page86"/>
    <w:bookmarkEnd w:id="85"/>
    <w:p>
      <w:pPr>
        <w:jc w:val="both"/>
        <w:spacing w:after="0" w:line="243" w:lineRule="auto"/>
        <w:rPr>
          <w:sz w:val="20"/>
          <w:szCs w:val="20"/>
          <w:color w:val="auto"/>
        </w:rPr>
      </w:pPr>
      <w:r>
        <w:rPr>
          <w:rFonts w:ascii="Times New Roman" w:cs="Times New Roman" w:eastAsia="Times New Roman" w:hAnsi="Times New Roman"/>
          <w:sz w:val="20"/>
          <w:szCs w:val="20"/>
          <w:color w:val="auto"/>
        </w:rPr>
        <w:t>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8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91" w:lineRule="exact"/>
        <w:rPr>
          <w:sz w:val="20"/>
          <w:szCs w:val="20"/>
          <w:color w:val="auto"/>
        </w:rPr>
      </w:pPr>
    </w:p>
    <w:p>
      <w:pPr>
        <w:ind w:left="720" w:hanging="367"/>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patent applications that we own or may in-license may not lead to issued patents;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patents, should they issue, that we may own or in-license, may not provide us with any competitive advantages, may be narrowed in scope, or may be challenged and held invalid or unenforceable;</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81" w:lineRule="exact"/>
        <w:rPr>
          <w:rFonts w:ascii="Arial" w:cs="Arial" w:eastAsia="Arial" w:hAnsi="Arial"/>
          <w:sz w:val="20"/>
          <w:szCs w:val="20"/>
          <w:color w:val="auto"/>
        </w:rPr>
      </w:pPr>
    </w:p>
    <w:p>
      <w:pPr>
        <w:ind w:left="720" w:hanging="367"/>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parties may compete with us in jurisdictions where we do not pursue and obtain patent protection;</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or collaborators, might not have been the first to make the inventions covered by a patent application that we own or may in-license;</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or collaborators, might not have been the first to file patent applications covering a particular invention;</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without infringing, misappropriating or otherwise violating our intellectual property rights;</w:t>
      </w:r>
    </w:p>
    <w:p>
      <w:pPr>
        <w:spacing w:after="0" w:line="64"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87" w:lineRule="exact"/>
        <w:rPr>
          <w:rFonts w:ascii="Arial" w:cs="Arial" w:eastAsia="Arial" w:hAnsi="Arial"/>
          <w:sz w:val="20"/>
          <w:szCs w:val="20"/>
          <w:color w:val="auto"/>
        </w:rPr>
      </w:pPr>
    </w:p>
    <w:p>
      <w:pPr>
        <w:ind w:left="720" w:hanging="367"/>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and/or maintain necessary licenses on reasonable terms or at all;</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parties may assert an ownership interest in our intellectual property and, if successful, such disputes may preclude us from exercising exclusive rights, or any rights at all, over that intellectual property;</w:t>
      </w:r>
    </w:p>
    <w:p>
      <w:pPr>
        <w:spacing w:after="0" w:line="64"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third-party may subsequently file a patent covering such trade secrets or know-how;</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460"/>
          </w:cols>
          <w:pgMar w:left="900" w:top="930" w:right="880" w:bottom="175" w:gutter="0" w:footer="0" w:header="0"/>
          <w:type w:val="continuous"/>
        </w:sectPr>
      </w:pPr>
    </w:p>
    <w:bookmarkStart w:id="86" w:name="page87"/>
    <w:bookmarkEnd w:id="86"/>
    <w:p>
      <w:pPr>
        <w:ind w:left="720" w:hanging="367"/>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maintain the confidentiality of our trade secrets or other proprietary information;</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or in-license additional proprietary technologies that are patentable;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Should any of these events occur, they could significantly harm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2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We may also submit marketing applications in other countries. Regulatory authorities in jurisdictions outside of the United States have requirements for approval of product candidates with which we must comply prior to marketing in those jurisdictions. </w:t>
      </w:r>
      <w:r>
        <w:rPr>
          <w:rFonts w:ascii="Times New Roman" w:cs="Times New Roman" w:eastAsia="Times New Roman" w:hAnsi="Times New Roman"/>
          <w:sz w:val="19"/>
          <w:szCs w:val="19"/>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previously requested and received priority review for our NDA for bitopertin for EPP and XLP, and may request priority review of applications for our other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8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w:t>
      </w:r>
    </w:p>
    <w:p>
      <w:pPr>
        <w:sectPr>
          <w:pgSz w:w="12240" w:h="15840" w:orient="portrait"/>
          <w:cols w:equalWidth="0" w:num="1">
            <w:col w:w="10460"/>
          </w:cols>
          <w:pgMar w:left="900" w:top="944" w:right="880" w:bottom="175"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460"/>
          </w:cols>
          <w:pgMar w:left="900" w:top="944" w:right="880" w:bottom="175" w:gutter="0" w:footer="0" w:header="0"/>
          <w:type w:val="continuous"/>
        </w:sectPr>
      </w:pPr>
    </w:p>
    <w:bookmarkStart w:id="87" w:name="page88"/>
    <w:bookmarkEnd w:id="87"/>
    <w:p>
      <w:pPr>
        <w:jc w:val="both"/>
        <w:spacing w:after="0" w:line="246" w:lineRule="auto"/>
        <w:rPr>
          <w:sz w:val="20"/>
          <w:szCs w:val="20"/>
          <w:color w:val="auto"/>
        </w:rPr>
      </w:pPr>
      <w:r>
        <w:rPr>
          <w:rFonts w:ascii="Times New Roman" w:cs="Times New Roman" w:eastAsia="Times New Roman" w:hAnsi="Times New Roman"/>
          <w:sz w:val="20"/>
          <w:szCs w:val="20"/>
          <w:color w:val="auto"/>
        </w:rPr>
        <w:t>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Vouchers for rare pediatric disease drugs are awarded for qualifying applications when the drug receives approval. However,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In September 2025, we submitted an NDA for accelerated approval of bitopertin in EPP and XLP in the United States and we requested a rare pediatric disease review voucher. In February 2026, the FDA issued a CRL indicating that, while accelerated approval was not warranted, results from an additional clinical trial, such as our ongoing APOLLO clinical trial, could serve as evidence to support a potential traditional approval. We plan to submit a response to the CRL following receipt of topline data from APOLLO. However, even if the FDA ultimately approves our NDA for bitopertin, the FDA may determine that the NDA does not meet the eligibility criteria for a priority review voucher.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current law, after September 30, 2029, the FDA may not award any rare pediatric disease priority review vouchers.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However, it is possible that the FDA's authority to do so may be extended by Congress in the future.</w:t>
      </w:r>
    </w:p>
    <w:p>
      <w:pPr>
        <w:spacing w:after="0" w:line="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w:t>
      </w:r>
    </w:p>
    <w:p>
      <w:pPr>
        <w:sectPr>
          <w:pgSz w:w="12240" w:h="15840" w:orient="portrait"/>
          <w:cols w:equalWidth="0" w:num="1">
            <w:col w:w="10460"/>
          </w:cols>
          <w:pgMar w:left="900" w:top="930" w:right="880" w:bottom="175" w:gutter="0" w:footer="0" w:header="0"/>
        </w:sect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460"/>
          </w:cols>
          <w:pgMar w:left="900" w:top="930" w:right="880" w:bottom="175" w:gutter="0" w:footer="0" w:header="0"/>
          <w:type w:val="continuous"/>
        </w:sectPr>
      </w:pPr>
    </w:p>
    <w:bookmarkStart w:id="88" w:name="page89"/>
    <w:bookmarkEnd w:id="88"/>
    <w:p>
      <w:pPr>
        <w:jc w:val="both"/>
        <w:spacing w:after="0" w:line="246" w:lineRule="auto"/>
        <w:rPr>
          <w:sz w:val="20"/>
          <w:szCs w:val="20"/>
          <w:color w:val="auto"/>
        </w:rPr>
      </w:pPr>
      <w:r>
        <w:rPr>
          <w:rFonts w:ascii="Times New Roman" w:cs="Times New Roman" w:eastAsia="Times New Roman" w:hAnsi="Times New Roman"/>
          <w:sz w:val="20"/>
          <w:szCs w:val="20"/>
          <w:color w:val="auto"/>
        </w:rPr>
        <w:t>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were granted fast track designation by the FDA for DISC-3405 for the treatment of PV in September 2023 and for DISC -0974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sought approval from the FDA for bitopertin for EPP and XLP, and we may seek approval for any of our other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sought accelerated approval of bitopertin for EPP and XLP, and we may seek accelerated approval for any of our other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or as a result of the FDA's review of the marketing application, the FDA may determine that our product candidate is not eligible for accelerated approval or that accelerated approval is not warranted. For example, in February 2026, the FDA issued a CRL in response to our NDA for accelerated approval of bitopertin for EPP and XLP.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and therefore decided that accelerated approval was not warranted. Moreover, FDA may revise how it implements accelerated approval, which could negatively affect the development of our current or future product candidates.</w:t>
      </w:r>
    </w:p>
    <w:p>
      <w:pPr>
        <w:spacing w:after="0" w:line="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we are not able to obtain accelerated approval for a product candidate, we may be required to conduct additional clinical trials beyond those that are contemplated, which would increase the expense of obtaining, and delay the receipt of, traditional FDA approval, if received at all. For example, as we were not able to obtain accelerated approval for bitopertin in EPP or XLP, we will need to successfully complete at least one additional clinical trial, such as our ongoing Phase 3 APOLLO trial, before responding to the FDA's CRL in support of a potential traditional approval.</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460"/>
          </w:cols>
          <w:pgMar w:left="900" w:top="930" w:right="880" w:bottom="175" w:gutter="0" w:footer="0" w:header="0"/>
          <w:type w:val="continuous"/>
        </w:sectPr>
      </w:pPr>
    </w:p>
    <w:bookmarkStart w:id="89" w:name="page90"/>
    <w:bookmarkEnd w:id="89"/>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received a Commissioner’s National Priority Voucher for bitopertin but the accelerated timeline for review of our NDA submission for bitopertin in EPP and XLP by the FDA did not result in an approval and it is unclear what, if any, benefits this voucher may provide in the future.</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June 2025, the FDA announced the creation of a new program, the Commissioner’s National Priority Voucher, or CNPV, program, to expedite the development and approval of drug products with potential to address a major national priority, such as addressing a large unmet medical need, reducing downstream health care utilization, addressing a public health crisis, boosting domestic manufacturing, or increasing medication affordability. The FDA has stated that voucher recipients will receive a decision with respect to a drug application on an accelerated basis, as well as enhanced communication with review staff throughout the development process prior to final submission of the application and during the review period.</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FDA expects the CNPV program to accelerate the standard application review timeline after NDA acceptance from 10 months to 1-2 months by convening a multidisciplinary team of physicians and scientists for a team-based review, interacting frequently with the sponsor to clarify questions, and completing review of the application concurrently. Following completion of these steps, the multidisciplinary team will convene for a one-day “tumor board style” decision meeting.</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October 16, 2025, the FDA announced that bitopertin for porphyria was one of the first nine recipients of a CNPV. As a result, the NDA for bitopertin for EPP and XLP was eligible for the benefits of this program. However, receipt of the CNPV does not guarantee that the NDA will be approved on an expedited basis or at all, and in February 2026 the FDA issued a CRL with respect to our NDA indicating that we would need to provide evidence of a clinical benefit from an additional clinical trial, such as our ongoing APOLLO trial, to support a potential approval. We plan to respond to the CRL once such clinical data is available but it is unclear whether the benefits of the CNPV will continue to apply at that time or at any subsequent phase of the NDA review process. Even if the CNPV does continue to apply in the future, the FDA has stated that the review time for an application of a CNPV recipient may be extended, including because the application is incomplete, there are manufacturing violations, or for other reasons deemed appropriate by the FDA. The CNPV program is in pilot stage, so its implementation, operation, and ultimate impact are subject to uncertainty. In addition, even if the CNPV program does ultimately result in a faster approval process, there is no guarantee that we will be able to begin commercialization of our product at the time of such approval or that we will be otherwise able to maintain such approval.</w:t>
      </w:r>
    </w:p>
    <w:p>
      <w:pPr>
        <w:spacing w:after="0" w:line="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460"/>
          </w:cols>
          <w:pgMar w:left="900" w:top="930" w:right="880" w:bottom="175" w:gutter="0" w:footer="0" w:header="0"/>
          <w:type w:val="continuous"/>
        </w:sectPr>
      </w:pPr>
    </w:p>
    <w:bookmarkStart w:id="90" w:name="page91"/>
    <w:bookmarkEnd w:id="90"/>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8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continue to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f any of our product candidates are approved and we are found to have improperly promoted off-label uses of those products, we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7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ability of the FDA to review and approve new products, NIH’s ability to conduct and partner with industry on important research, and CMS’s ability to operate efficiently can be affected by a variety of factors, including government budget and</w:t>
      </w:r>
    </w:p>
    <w:p>
      <w:pPr>
        <w:sectPr>
          <w:pgSz w:w="12240" w:h="15840" w:orient="portrait"/>
          <w:cols w:equalWidth="0" w:num="1">
            <w:col w:w="10460"/>
          </w:cols>
          <w:pgMar w:left="900" w:top="930" w:right="880" w:bottom="175" w:gutter="0" w:footer="0" w:header="0"/>
        </w:sect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460"/>
          </w:cols>
          <w:pgMar w:left="900" w:top="930" w:right="880" w:bottom="175" w:gutter="0" w:footer="0" w:header="0"/>
          <w:type w:val="continuous"/>
        </w:sectPr>
      </w:pPr>
    </w:p>
    <w:bookmarkStart w:id="91" w:name="page92"/>
    <w:bookmarkEnd w:id="91"/>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funding levels, ability to hire and retain key personnel and accept the payment of user fees, and statutory, regulatory and policy changes. Average review times at the agency have fluctuated in recent years as a result.</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example, over the last several years the U.S. government has shut down several times, including in October 2025, and certain regulatory agencies, such as the FDA and the SEC, have had to furlough critical FDA, SEC and other government employees and stop critical activities. If a prolonged government shutdown or a widespread freeze on federal funding occurs in the future,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 In addition, the current administration has previously sought to reduce the NIH budget and bar disbursements for funding of medical research, and may seek to do so in the future, which could decrease the ability of facilities that rely on NIH funding to enroll and conduct clinical trials or increase the costs to us of conducting clinical trials.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have conducted significant layoffs and it is currently unclear whether and how such staff reductions may impact our business.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there is substantial uncertainty as how the current administration's modifications to the requirements and policies of the FDA and other relevant regulatory agencies may affect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and future healthcare reform measures may have a material adverse effect on our business and results of operations.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“Business—Government Regulation—Current and Future U.S. Healthcare Reform Legislation.”</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United States, there have been, and continue to be, a significant number of legislative initiatives to contain healthcare costs, including at the state level where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For example, CMS may develop new payment and delivery models, including most-favored nation proposals, bundled payment models, or other drug pricing reforms, any of which could have a material adverse effect on our business.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the demand for our current or future product candidates, if we obtain regulatory approval; our ability to set a price that we believe is fair for our products; our ability to obtain coverage and reimbursement approval for a product; our ability to generate revenue and achieve or maintain profitability; the level of taxes that we are required to pay; and the availability of capital.</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460"/>
          </w:cols>
          <w:pgMar w:left="900" w:top="930" w:right="880" w:bottom="175" w:gutter="0" w:footer="0" w:header="0"/>
          <w:type w:val="continuous"/>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0"/>
          <w:szCs w:val="20"/>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which may adversely affect our future profitability.</w:t>
      </w:r>
    </w:p>
    <w:p>
      <w:pPr>
        <w:spacing w:after="0" w:line="77"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100" w:lineRule="exact"/>
        <w:rPr>
          <w:sz w:val="20"/>
          <w:szCs w:val="20"/>
          <w:color w:val="auto"/>
        </w:rPr>
      </w:pPr>
    </w:p>
    <w:p>
      <w:pPr>
        <w:jc w:val="both"/>
        <w:ind w:left="720" w:hanging="367"/>
        <w:spacing w:after="0" w:line="242" w:lineRule="auto"/>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105" w:lineRule="exact"/>
        <w:rPr>
          <w:rFonts w:ascii="Arial" w:cs="Arial" w:eastAsia="Arial" w:hAnsi="Arial"/>
          <w:sz w:val="20"/>
          <w:szCs w:val="20"/>
          <w:color w:val="auto"/>
        </w:rPr>
      </w:pPr>
    </w:p>
    <w:p>
      <w:pPr>
        <w:jc w:val="both"/>
        <w:ind w:left="720" w:hanging="367"/>
        <w:spacing w:after="0" w:line="244" w:lineRule="auto"/>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95" w:lineRule="exact"/>
        <w:rPr>
          <w:rFonts w:ascii="Arial" w:cs="Arial" w:eastAsia="Arial" w:hAnsi="Arial"/>
          <w:sz w:val="20"/>
          <w:szCs w:val="20"/>
          <w:color w:val="auto"/>
        </w:rPr>
      </w:pPr>
    </w:p>
    <w:p>
      <w:pPr>
        <w:jc w:val="both"/>
        <w:ind w:left="720" w:hanging="367"/>
        <w:spacing w:after="0" w:line="247" w:lineRule="auto"/>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3" w:lineRule="exact"/>
        <w:rPr>
          <w:rFonts w:ascii="Arial" w:cs="Arial" w:eastAsia="Arial" w:hAnsi="Arial"/>
          <w:sz w:val="20"/>
          <w:szCs w:val="20"/>
          <w:color w:val="auto"/>
        </w:rPr>
      </w:pPr>
    </w:p>
    <w:p>
      <w:pPr>
        <w:jc w:val="both"/>
        <w:ind w:left="720" w:hanging="367"/>
        <w:spacing w:after="0" w:line="247" w:lineRule="auto"/>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460"/>
          </w:cols>
          <w:pgMar w:left="900" w:top="930" w:right="880" w:bottom="175" w:gutter="0" w:footer="0" w:header="0"/>
          <w:type w:val="continuous"/>
        </w:sectPr>
      </w:pPr>
    </w:p>
    <w:bookmarkStart w:id="93" w:name="page94"/>
    <w:bookmarkEnd w:id="93"/>
    <w:p>
      <w:pPr>
        <w:ind w:left="720" w:hanging="367"/>
        <w:spacing w:after="0" w:line="276"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may also be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the United States,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w:t>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460"/>
          </w:cols>
          <w:pgMar w:left="900" w:top="944" w:right="880" w:bottom="175" w:gutter="0" w:footer="0" w:header="0"/>
          <w:type w:val="continuous"/>
        </w:sectPr>
      </w:pPr>
    </w:p>
    <w:bookmarkStart w:id="94" w:name="page95"/>
    <w:bookmarkEnd w:id="94"/>
    <w:p>
      <w:pPr>
        <w:jc w:val="both"/>
        <w:spacing w:after="0" w:line="277" w:lineRule="auto"/>
        <w:rPr>
          <w:sz w:val="20"/>
          <w:szCs w:val="20"/>
          <w:color w:val="auto"/>
        </w:rPr>
      </w:pPr>
      <w:r>
        <w:rPr>
          <w:rFonts w:ascii="Times New Roman" w:cs="Times New Roman" w:eastAsia="Times New Roman" w:hAnsi="Times New Roman"/>
          <w:sz w:val="20"/>
          <w:szCs w:val="20"/>
          <w:color w:val="auto"/>
        </w:rPr>
        <w:t>increased their scrutiny of interactions between healthcare companies and healthcare providers, which has led to a number of investigations, prosecutions, convictions and settlements in the healthcare industry.</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8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which significantly modified the CCPA by expanding consumer rights with respect to certain sensitive information, and creating a new state agency that is vested with authority to implement and enforce the CCPA.</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460"/>
          </w:cols>
          <w:pgMar w:left="900" w:top="930" w:right="880" w:bottom="175" w:gutter="0" w:footer="0" w:header="0"/>
          <w:type w:val="continuous"/>
        </w:sectPr>
      </w:pPr>
    </w:p>
    <w:bookmarkStart w:id="95" w:name="page96"/>
    <w:bookmarkEnd w:id="95"/>
    <w:p>
      <w:pPr>
        <w:jc w:val="both"/>
        <w:spacing w:after="0" w:line="244" w:lineRule="auto"/>
        <w:rPr>
          <w:sz w:val="20"/>
          <w:szCs w:val="20"/>
          <w:color w:val="auto"/>
        </w:rPr>
      </w:pPr>
      <w:r>
        <w:rPr>
          <w:rFonts w:ascii="Times New Roman" w:cs="Times New Roman" w:eastAsia="Times New Roman" w:hAnsi="Times New Roman"/>
          <w:sz w:val="20"/>
          <w:szCs w:val="20"/>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to comprehensive consumer privacy laws, certain states have enacted privacy laws with more limited focus.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Although the UK is regarded as a third country under the EU GDPR, the European Commission has issued an “Adequacy Decision” recognizing the UK as providing adequate protection under the EU GDPR and, therefore, transfers of personal data</w:t>
      </w:r>
    </w:p>
    <w:p>
      <w:pPr>
        <w:sectPr>
          <w:pgSz w:w="12240" w:h="15840" w:orient="portrait"/>
          <w:cols w:equalWidth="0" w:num="1">
            <w:col w:w="10460"/>
          </w:cols>
          <w:pgMar w:left="900" w:top="930" w:right="880" w:bottom="175"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460"/>
          </w:cols>
          <w:pgMar w:left="900" w:top="930" w:right="880" w:bottom="175" w:gutter="0" w:footer="0" w:header="0"/>
          <w:type w:val="continuous"/>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20"/>
          <w:szCs w:val="20"/>
          <w:color w:val="auto"/>
        </w:rPr>
        <w:t>subject to the EU GDPR to the UK remain unrestricted. The UK government has confirmed that personal data transfers from the UK to the EEA remain free flowing. The UK Government introduced the Data Protection and Digital Information Bill, which failed in the UK legislative process.</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 approach to processing European personal data and expose us to two parallel regimes where the UK GDPR and EU GDPR both apply with differing interpretation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 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organizations providing services in the EEA, including to certain providers engaged in research and development of medicinal products. To the extent applicable, the new regime imposes direct obligations on management regarding compliance with NIS 2, requiring covered organizations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became effective in August 2025. As currently enacted, the AI Act, which may</w:t>
      </w:r>
    </w:p>
    <w:p>
      <w:pPr>
        <w:sectPr>
          <w:pgSz w:w="12240" w:h="15840" w:orient="portrait"/>
          <w:cols w:equalWidth="0" w:num="1">
            <w:col w:w="10460"/>
          </w:cols>
          <w:pgMar w:left="900" w:top="930" w:right="880" w:bottom="175" w:gutter="0" w:footer="0" w:header="0"/>
        </w:sect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460"/>
          </w:cols>
          <w:pgMar w:left="900" w:top="930" w:right="880" w:bottom="175" w:gutter="0" w:footer="0" w:header="0"/>
          <w:type w:val="continuous"/>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0"/>
          <w:szCs w:val="20"/>
          <w:color w:val="auto"/>
        </w:rPr>
        <w:t>be amended as part of the EU’s Digital Omnibus,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Growth</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experienced scientists and to attract, retain, and motivate qualified personnel.</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We may also need to undertake an organizational</w:t>
      </w:r>
    </w:p>
    <w:p>
      <w:pPr>
        <w:sectPr>
          <w:pgSz w:w="12240" w:h="15840" w:orient="portrait"/>
          <w:cols w:equalWidth="0" w:num="1">
            <w:col w:w="10460"/>
          </w:cols>
          <w:pgMar w:left="900" w:top="930" w:right="880" w:bottom="175"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460"/>
          </w:cols>
          <w:pgMar w:left="900" w:top="930" w:right="880" w:bottom="175" w:gutter="0" w:footer="0" w:header="0"/>
          <w:type w:val="continuous"/>
        </w:sectPr>
      </w:pPr>
    </w:p>
    <w:bookmarkStart w:id="98" w:name="page99"/>
    <w:bookmarkEnd w:id="98"/>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restructuring in the future, which could impede future recruiting and hiring efforts. If we are unable to continue to attract and retain high quality personnel, our ability to pursue our growth strategy will be limited.</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w:t>
      </w:r>
    </w:p>
    <w:p>
      <w:pPr>
        <w:sectPr>
          <w:pgSz w:w="12240" w:h="15840" w:orient="portrait"/>
          <w:cols w:equalWidth="0" w:num="1">
            <w:col w:w="10460"/>
          </w:cols>
          <w:pgMar w:left="900" w:top="930" w:right="880" w:bottom="175" w:gutter="0" w:footer="0" w:header="0"/>
        </w:sect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460"/>
          </w:cols>
          <w:pgMar w:left="900" w:top="930" w:right="880" w:bottom="175" w:gutter="0" w:footer="0" w:header="0"/>
          <w:type w:val="continuous"/>
        </w:sectPr>
      </w:pPr>
    </w:p>
    <w:bookmarkStart w:id="99" w:name="page100"/>
    <w:bookmarkEnd w:id="99"/>
    <w:p>
      <w:pPr>
        <w:jc w:val="both"/>
        <w:spacing w:after="0" w:line="243" w:lineRule="auto"/>
        <w:rPr>
          <w:sz w:val="20"/>
          <w:szCs w:val="20"/>
          <w:color w:val="auto"/>
        </w:rPr>
      </w:pPr>
      <w:r>
        <w:rPr>
          <w:rFonts w:ascii="Times New Roman" w:cs="Times New Roman" w:eastAsia="Times New Roman" w:hAnsi="Times New Roman"/>
          <w:sz w:val="20"/>
          <w:szCs w:val="20"/>
          <w:color w:val="auto"/>
        </w:rPr>
        <w:t>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As of December 31, 2025, we had 155 full-time employees and no part-time employees. </w:t>
      </w:r>
      <w:r>
        <w:rPr>
          <w:rFonts w:ascii="Times New Roman" w:cs="Times New Roman" w:eastAsia="Times New Roman" w:hAnsi="Times New Roman"/>
          <w:sz w:val="19"/>
          <w:szCs w:val="19"/>
          <w:color w:val="auto"/>
        </w:rPr>
        <w:t>We expect to experience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growth in the number of our employees and the scope of our operations, particularly as we mature as a public company and in the areas of product development, regulatory affairs and, in anticipation of the potential regulatory approval of bitopertin, sales, marketing and distribution. </w:t>
      </w:r>
      <w:r>
        <w:rPr>
          <w:rFonts w:ascii="Times New Roman" w:cs="Times New Roman" w:eastAsia="Times New Roman" w:hAnsi="Times New Roman"/>
          <w:sz w:val="20"/>
          <w:szCs w:val="20"/>
          <w:color w:val="auto"/>
        </w:rPr>
        <w:t>To manage our anticipated future growth, we must continue to implement and improve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also need to undertake an organizational restructuring in the future. We may not realize, in full or in part, the anticipated benefits, savings and improvements in our cost structure from any future restructuring efforts due to unforeseen difficulties, delays or unexpected costs. If we are unable to realize the expected operational efficiencies and cost savings from a restructuring, our operating results and financial condition would be adversely affected. Furthermore, our restructuring plan may be disruptive to our operations.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acquired, and in the future may acquire additional businesses or products, and we may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w:t>
      </w:r>
    </w:p>
    <w:p>
      <w:pPr>
        <w:sectPr>
          <w:pgSz w:w="12240" w:h="15840" w:orient="portrait"/>
          <w:cols w:equalWidth="0" w:num="1">
            <w:col w:w="10460"/>
          </w:cols>
          <w:pgMar w:left="900" w:top="930" w:right="880" w:bottom="175"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460"/>
          </w:cols>
          <w:pgMar w:left="900" w:top="930" w:right="880" w:bottom="175" w:gutter="0" w:footer="0" w:header="0"/>
          <w:type w:val="continuous"/>
        </w:sectPr>
      </w:pPr>
    </w:p>
    <w:bookmarkStart w:id="100" w:name="page101"/>
    <w:bookmarkEnd w:id="100"/>
    <w:p>
      <w:pPr>
        <w:jc w:val="both"/>
        <w:spacing w:after="0" w:line="246" w:lineRule="auto"/>
        <w:rPr>
          <w:sz w:val="20"/>
          <w:szCs w:val="20"/>
          <w:color w:val="auto"/>
        </w:rPr>
      </w:pPr>
      <w:r>
        <w:rPr>
          <w:rFonts w:ascii="Times New Roman" w:cs="Times New Roman" w:eastAsia="Times New Roman" w:hAnsi="Times New Roman"/>
          <w:sz w:val="20"/>
          <w:szCs w:val="20"/>
          <w:color w:val="auto"/>
        </w:rPr>
        <w:t>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 may adversely affect us or our investors.</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on July 4, 2025, the “One Big Beautiful Bill Act,” or OBBBA, was signed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Topic 740, the effects of the new tax law will be recognized in the period of enactment. The Company has evaluated the impact of the OBBBA, and although we do not expect the legislation to have a material financial statement effect, it cannot be predicted whether, when, in what form or with what effective dates other tax laws, regulations and rulings may be enacted, promulgated or issued, which could result in an increase in our or our stockholders’ tax liability or require changes in the manner in which we operate in order to minimize or mitigate any adverse effects of changes in tax law. Further, existing tax laws, statutes, rules, regulations, rulings or ordinances could be interpreted, changed, modified or applied adversely to us. Prospective investors should consult their tax advisors regarding the potential consequences of changes in tax law on our business and on the ownership and disposition of our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future taxable income may be subject to certain limitations.</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of December 31, 2025, we had federal and state net operating loss carryforwards, of $342.9 million and $331.8 million, respectively. Substantially all of the federal net operating loss carryforwards are not subject to expiration and the state net operating loss carryforwards begin to expire in 2037. As of December 31, 2025, we also had federal and state research and development tax credit carryforwards of $32.1 million and $4.3 million, respectively, which begin to expire in 2037.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(by value) within a specified testing period. Our existing NOLs or credits may be subject to limitations arising from previous ownership changes, and if we undergo an ownership change,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460"/>
          </w:cols>
          <w:pgMar w:left="900" w:top="930" w:right="880" w:bottom="175" w:gutter="0" w:footer="0" w:header="0"/>
          <w:type w:val="continuous"/>
        </w:sectPr>
      </w:pPr>
    </w:p>
    <w:bookmarkStart w:id="101" w:name="page102"/>
    <w:bookmarkEnd w:id="101"/>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8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other circumstances beyond our control could cause business disruptions that could seriously harm our future revenue and financial condition and increase our costs and expenses. Our operations, and those of our vendors and suppliers, could be subject to power shortages, telecommunications failures, water shortages, civil unrest, labor disputes, violence, earthquakes, floods, hurricanes, typhoons, fires, extreme weather conditions, and other natural or man-made disasters or business interruptions. The occurrence of any of these business disruptions could seriously harm our operations and financial condition and increase our costs and expenses.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Any of the foregoing could harm our business and we cannot anticipate all of the ways in which the current economic climate and financial market conditions or other circumstances beyond our control could adversely impact our business.</w:t>
      </w:r>
    </w:p>
    <w:p>
      <w:pPr>
        <w:spacing w:after="0" w:line="4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460"/>
          </w:cols>
          <w:pgMar w:left="900" w:top="930" w:right="880" w:bottom="175" w:gutter="0" w:footer="0" w:header="0"/>
          <w:type w:val="continuous"/>
        </w:sectPr>
      </w:pPr>
    </w:p>
    <w:bookmarkStart w:id="102" w:name="page103"/>
    <w:bookmarkEnd w:id="102"/>
    <w:p>
      <w:pPr>
        <w:jc w:val="both"/>
        <w:spacing w:after="0" w:line="247" w:lineRule="auto"/>
        <w:rPr>
          <w:sz w:val="20"/>
          <w:szCs w:val="20"/>
          <w:color w:val="auto"/>
        </w:rPr>
      </w:pPr>
      <w:r>
        <w:rPr>
          <w:rFonts w:ascii="Times New Roman" w:cs="Times New Roman" w:eastAsia="Times New Roman" w:hAnsi="Times New Roman"/>
          <w:sz w:val="20"/>
          <w:szCs w:val="20"/>
          <w:color w:val="auto"/>
        </w:rPr>
        <w:t>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has been, and may continue to be, volatile.</w:t>
      </w:r>
    </w:p>
    <w:p>
      <w:pPr>
        <w:spacing w:after="0" w:line="1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Historically, the market price of our common stock has fluctuated over a wide range, and it is likely that the price of our common stock will continue to be volatile in the future. Some of the factors that may cause the market price of our common stock to fluctuate include:</w:t>
      </w:r>
    </w:p>
    <w:p>
      <w:pPr>
        <w:spacing w:after="0" w:line="83" w:lineRule="exact"/>
        <w:rPr>
          <w:sz w:val="20"/>
          <w:szCs w:val="20"/>
          <w:color w:val="auto"/>
        </w:rPr>
      </w:pPr>
    </w:p>
    <w:p>
      <w:pPr>
        <w:ind w:left="72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trials and preclinical studies of our product candidates, or those of our competitors or our existing or future collaborators;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meet or exceed financial and development projections we may provide to the public;</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meet or exceed the financial and development projections of the investment community;</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significant acquisitions, strategic collaborations, joint ventures or capital commitments by us or our competitors;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actions taken by regulatory agencies with respect to our product candidates, clinical studies, and manufacturing processes, our ability to receive regulatory approval for product candidates, and the terms of such approvals;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if securities or industry analysts do not publish research or reports about our business, or if they issue adverse or misleading opinions regarding our business and stock;</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or macroeconomic conditions or market conditions in the pharmaceutical and biotechnology sectors;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sales of securities by us or our securityholders in the future;</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raise an adequate amount of capital to fund our operations and continued development of our product candidates;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competitors of new commercial products, clinical progress or lack thereof, significant contracts, commercial relationships or capital commitments;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relating to our hematology-focused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introduction of technological innovations or new therapies that compete with our products and services;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460"/>
          </w:cols>
          <w:pgMar w:left="900" w:top="930" w:right="880" w:bottom="175" w:gutter="0" w:footer="0" w:header="0"/>
          <w:type w:val="continuous"/>
        </w:sectPr>
      </w:pPr>
    </w:p>
    <w:bookmarkStart w:id="103" w:name="page104"/>
    <w:bookmarkEnd w:id="103"/>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A1A1A"/>
        </w:rPr>
        <w:t>I</w:t>
      </w:r>
      <w:r>
        <w:rPr>
          <w:rFonts w:ascii="Times New Roman" w:cs="Times New Roman" w:eastAsia="Times New Roman" w:hAnsi="Times New Roman"/>
          <w:sz w:val="20"/>
          <w:szCs w:val="20"/>
          <w:b w:val="1"/>
          <w:bCs w:val="1"/>
          <w:i w:val="1"/>
          <w:iCs w:val="1"/>
          <w:color w:val="000000"/>
        </w:rPr>
        <w:t>f we fail to maintain an effective system of internal control over financial reporting, we may not be able to accurately report</w:t>
      </w:r>
      <w:r>
        <w:rPr>
          <w:rFonts w:ascii="Times New Roman" w:cs="Times New Roman" w:eastAsia="Times New Roman" w:hAnsi="Times New Roman"/>
          <w:sz w:val="20"/>
          <w:szCs w:val="20"/>
          <w:b w:val="1"/>
          <w:bCs w:val="1"/>
          <w:i w:val="1"/>
          <w:iCs w:val="1"/>
          <w:color w:val="1A1A1A"/>
        </w:rPr>
        <w:t xml:space="preserve"> </w:t>
      </w:r>
      <w:r>
        <w:rPr>
          <w:rFonts w:ascii="Times New Roman" w:cs="Times New Roman" w:eastAsia="Times New Roman" w:hAnsi="Times New Roman"/>
          <w:sz w:val="20"/>
          <w:szCs w:val="20"/>
          <w:b w:val="1"/>
          <w:bCs w:val="1"/>
          <w:i w:val="1"/>
          <w:iCs w:val="1"/>
          <w:color w:val="000000"/>
        </w:rPr>
        <w:t>our financial results or prevent fraud. As a result, stockholders could lose confidence in our financial and other public reporting, which would harm our business and the trading price of our common stock.</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1A1A1A"/>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previously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1A1A1A"/>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1A1A1A"/>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8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b w:val="1"/>
          <w:bCs w:val="1"/>
          <w:i w:val="1"/>
          <w:iCs w:val="1"/>
          <w:color w:val="1A1A1A"/>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1A1A1A"/>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under Item 9A of our Annual Report on Form 10-K for the fiscal year ended December 31, 2024, we previously identified a material weakness in internal controls related to </w:t>
      </w:r>
      <w:r>
        <w:rPr>
          <w:rFonts w:ascii="Times New Roman" w:cs="Times New Roman" w:eastAsia="Times New Roman" w:hAnsi="Times New Roman"/>
          <w:sz w:val="20"/>
          <w:szCs w:val="20"/>
          <w:color w:val="000000"/>
        </w:rPr>
        <w:t>a lack of design and maintenance</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000000"/>
        </w:rPr>
        <w:t xml:space="preserve">of effective Information Technology General Controls, or </w:t>
      </w:r>
      <w:r>
        <w:rPr>
          <w:rFonts w:ascii="Times New Roman" w:cs="Times New Roman" w:eastAsia="Times New Roman" w:hAnsi="Times New Roman"/>
          <w:sz w:val="20"/>
          <w:szCs w:val="20"/>
          <w:color w:val="1A1A1A"/>
        </w:rPr>
        <w:t>ITGCs, over certain key financial IT systems. As a result, the related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1A1A1A"/>
        </w:rPr>
        <w:t>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did not result in any material misstatements in our consolidated financial statements for the</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460"/>
          </w:cols>
          <w:pgMar w:left="900" w:top="930" w:right="880" w:bottom="175" w:gutter="0" w:footer="0" w:header="0"/>
          <w:type w:val="continuous"/>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20"/>
          <w:szCs w:val="20"/>
          <w:color w:val="1A1A1A"/>
        </w:rPr>
        <w:t>periods presented and there were no changes to previously released financial results, our management concluded that these control deficiencies constituted a material weakness and that our internal control over financial reporting was not effective as of December 31, 2024.</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1A1A1A"/>
        </w:rPr>
        <w:t>As a result of the material weakness, we (i) developed and implemented additional training and awareness programs addressing ITGCs and policies, including educating control owners concerning the principles and requirements of each control, with a focus on user access; (ii) increased the extent of oversight and verification checks included in the operation of user access and program change management controls and processes; (iii) deployed additional tools to support administration of user access and program change management; and (iv) enhanced quarterly management reporting on the remediation measures to the Audit Committee of the Board of Directors. As of December 31, 2025, the material weakness had been remediated.</w:t>
      </w:r>
    </w:p>
    <w:p>
      <w:pPr>
        <w:spacing w:after="0" w:line="80" w:lineRule="exact"/>
        <w:rPr>
          <w:sz w:val="20"/>
          <w:szCs w:val="20"/>
          <w:color w:val="auto"/>
        </w:rPr>
      </w:pPr>
    </w:p>
    <w:p>
      <w:pPr>
        <w:jc w:val="both"/>
        <w:ind w:right="120"/>
        <w:spacing w:after="0" w:line="305" w:lineRule="auto"/>
        <w:rPr>
          <w:sz w:val="20"/>
          <w:szCs w:val="20"/>
          <w:color w:val="auto"/>
        </w:rPr>
      </w:pPr>
      <w:r>
        <w:rPr>
          <w:rFonts w:ascii="Times New Roman" w:cs="Times New Roman" w:eastAsia="Times New Roman" w:hAnsi="Times New Roman"/>
          <w:sz w:val="19"/>
          <w:szCs w:val="19"/>
          <w:color w:val="1A1A1A"/>
        </w:rPr>
        <w:t>Although we have remediated this material weakness, investor perceptions of our company may suffer as a result of this previous material weakness or any future material weakness in our internal controls and cause a decline in the price of our common stock.</w:t>
      </w:r>
    </w:p>
    <w:p>
      <w:pPr>
        <w:spacing w:after="0" w:line="2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83" w:lineRule="exact"/>
        <w:rPr>
          <w:sz w:val="20"/>
          <w:szCs w:val="20"/>
          <w:color w:val="auto"/>
        </w:rPr>
      </w:pPr>
    </w:p>
    <w:p>
      <w:pPr>
        <w:ind w:left="720" w:hanging="367"/>
        <w:spacing w:after="0" w:line="27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 board of directors divided into three classes serving staggered three-year terms, such that not all members of the board will be elected at one time;</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no cumulative voting in the election of directors, which limits the ability of minority stockholders to elect director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 prohibition on stockholder action by written consent, which means that all stockholder action must be taken at an annual or special meeting of the stockholders;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special meetings of stockholders be called only by the chairman of the board of directors, the Chief Executive Officer or by a majority of the total number of authorized directors;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requirements for stockholder proposals and nominations for election to the board of directors;</w:t>
      </w:r>
    </w:p>
    <w:p>
      <w:pPr>
        <w:spacing w:after="0" w:line="133"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81"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of approval of not less than two-thirds of all outstanding shares of voting stock to amend any bylaws by stockholder action or to amend specific provisions of the certificate of incorporation; and</w:t>
      </w:r>
    </w:p>
    <w:p>
      <w:pPr>
        <w:spacing w:after="0" w:line="64" w:lineRule="exact"/>
        <w:rPr>
          <w:rFonts w:ascii="Arial" w:cs="Arial" w:eastAsia="Arial" w:hAnsi="Arial"/>
          <w:sz w:val="20"/>
          <w:szCs w:val="20"/>
          <w:color w:val="auto"/>
        </w:rPr>
      </w:pPr>
    </w:p>
    <w:p>
      <w:pPr>
        <w:jc w:val="both"/>
        <w:ind w:left="720" w:hanging="367"/>
        <w:spacing w:after="0" w:line="276"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these provisions would apply even if we were to receive an offer that some stockholders may consider beneficial.</w:t>
      </w:r>
    </w:p>
    <w:p>
      <w:pPr>
        <w:spacing w:after="0" w:line="1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460"/>
          </w:cols>
          <w:pgMar w:left="900" w:top="930" w:right="880" w:bottom="175" w:gutter="0" w:footer="0" w:header="0"/>
          <w:type w:val="continuous"/>
        </w:sectPr>
      </w:pPr>
    </w:p>
    <w:bookmarkStart w:id="105" w:name="page106"/>
    <w:bookmarkEnd w:id="105"/>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such action in other jurisdictions, which could materially and adversely affect our business,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that we will pay any cash dividends in the foreseeable future.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a significant number of shares by existing stockholders could cause our stock price to decline.</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our existing securityholders sell, or indicate an intention to sell, substantial amounts of our common stock in the public market, the trading price of our common stock could decline. As of December 31, 2025, we had 37,890,616 shares of common stock outstanding. All outstanding shares of common stock, other than shares held by our affiliates are freely tradable, without restriction, in the public market. In addition, shares of common stock that are subject to outstanding options of ours are or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and principal stockholders have the ability to significantly influence all matters submitted to our stockholders for approval.</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of December 31, 2025, our executive officers, directors and principal stockholders, in the aggregate, beneficially owned approximately 30% of our outstanding shares of common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460"/>
          </w:cols>
          <w:pgMar w:left="900" w:top="930" w:right="880" w:bottom="175" w:gutter="0" w:footer="0" w:header="0"/>
          <w:type w:val="continuous"/>
        </w:sectPr>
      </w:pPr>
    </w:p>
    <w:bookmarkStart w:id="106" w:name="page107"/>
    <w:bookmarkEnd w:id="106"/>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1C.</w:t>
        <w:tab/>
        <w:t>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 Risk Management and Strategy</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Disc Medicine, under the oversight of the audit committee of the board of directors, has implemented and maintains processes to review and manage enterprise risks, including annual assessments of cybersecurity risks, across the Company.</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cybersecurity risk management program, which is informed by and incorporates elements of recognized industry standards, is designed to identify, assess, and mitigate critical risks from cybersecurity threats. This program includes, but is not limited to, ongoing monitoring for potential critical risks from cybersecurity threats using automated tools. To support our cybersecurity risk management program, we leverage a managed service provider, or MSP, that provides ongoing support for the protection of our information technology infrastructure as well as a virtual Chief Information Security Officer, or vCISO. Our cybersecurity risk management strategy is informed by periodic conversations with, and risk assessments conducted by, our vCISO.</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an employee security awareness training program, offered upon employee onboarding and on an annual basis, that is designed to raise awareness of cybersecurity threats across functions as well as to encourage consideration of cybersecurity risks across our Company. As part of this employee training program, we periodically conduct phishing simulations designed to raise employee awareness of such risks.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have also implemented a process to review contractual requirements related to information security obligations included in our agreements with certain third-party vendors and service providers, as appropriate.</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Item 1A - Risk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Related to Cybersecurity Risks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Head of Information Technology, or IT, under the oversight of our Chief Legal Officer, is responsible for the administration and maintenance of our cybersecurity risk management program, including the day-to-day oversight of the assessment and management of cybersecurity risks. The individual who currently holds the title of Head of IT has more than 20 years of experience in information security and cybersecurity risk management.</w:t>
      </w:r>
    </w:p>
    <w:p>
      <w:pPr>
        <w:spacing w:after="0" w:line="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Our Head of IT directly reports to, and meets periodically with, our Chief Legal Officer to discuss and review our cybersecurity risk management processes, with input from the Company’s MSP and vCISO, as appropriate.</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board of directors has delegated oversight of the Company’s cybersecurity program to the audit committee of the board of directors. As provided in the audit committee charter, the audit committee is responsible for reviewing and discussing the Company’s information security and risk management programs, controls, and procedures, including high-level review of the threat landscape facing the Company and the Company’s strategy to mitigate cybersecurity risks and potential breaches. Under the audit committee charter, the audit committee is also responsible for reviewing the recovery and communication plans for any unplanned outage, cybersecurity incident, or data breach.</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Head of IT, twice a year, provides reports to the audit committee on the status of our cybersecurity program, including measures implemented to monitor and address risks from cybersecurity threats, as appropriate. He also reports on a quarterly basis to the executive committee on cybersecurity and information technology matters. The chair of the audit committee provides periodic reports on cybersecurity risk management to the full board of directors. Our Chief Legal Officer, on an annual basis, discusses the results of our enterprise risk assessment processes, including risks related to cybersecurity, with the full board of directors.</w:t>
      </w:r>
    </w:p>
    <w:p>
      <w:pPr>
        <w:spacing w:after="0" w:line="19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principal office is located at 321 Arsenal Street, Suite 101, Watertown, MA 02472, where we lease and sublease a total of approximately 16,847 square feet of office space. Our sublease expires in November 2026 and our lease expires in December 2029. Upon expiration of the sublease, we will lease the same space through December 2029 pursuant to an existing agreement. We believe that these facilities will be adequate for our near-term needs. If required, we believe that suitable additional or substitute space will be available in the future on commercially reasonable terms to accommodate any such expansion of our operations.</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460"/>
          </w:cols>
          <w:pgMar w:left="900" w:top="926" w:right="880" w:bottom="175" w:gutter="0" w:footer="0" w:header="0"/>
          <w:type w:val="continuous"/>
        </w:sectPr>
      </w:pPr>
    </w:p>
    <w:bookmarkStart w:id="107" w:name="page108"/>
    <w:bookmarkEnd w:id="107"/>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8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440"/>
          </w:cols>
          <w:pgMar w:left="900" w:top="926" w:right="900" w:bottom="175" w:gutter="0" w:footer="0" w:header="0"/>
          <w:type w:val="continuous"/>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jc w:val="both"/>
        <w:ind w:left="1100" w:right="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Information Regarding the Trading of Our Common Stock</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 Merger Agreement, dated August 9, 2022, pursuant to which Gemstone Merger Sub, Inc., or Merger Sub, merged with and into Disc Medicine Opco, Inc. (f/k/a Disc Medicine, Inc.), or Disc 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February 19, 2026, there were 17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5 of Form 10-K regarding equity compensation plans is incorporated herein by reference to Item 12 of Part III of this Annual Report.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2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following graph shows a comparison from February 8, 2021 through December 31, 2025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 Prior to our reverse</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460"/>
          </w:cols>
          <w:pgMar w:left="900" w:top="926" w:right="880" w:bottom="175" w:gutter="0" w:footer="0" w:header="0"/>
          <w:type w:val="continuous"/>
        </w:sectPr>
      </w:pPr>
    </w:p>
    <w:bookmarkStart w:id="109" w:name="page110"/>
    <w:bookmarkEnd w:id="109"/>
    <w:p>
      <w:pPr>
        <w:jc w:val="both"/>
        <w:ind w:firstLine="2"/>
        <w:spacing w:after="0" w:line="279" w:lineRule="auto"/>
        <w:rPr>
          <w:sz w:val="20"/>
          <w:szCs w:val="20"/>
          <w:color w:val="auto"/>
        </w:rPr>
      </w:pPr>
      <w:r>
        <w:rPr>
          <w:rFonts w:ascii="Times New Roman" w:cs="Times New Roman" w:eastAsia="Times New Roman" w:hAnsi="Times New Roman"/>
          <w:sz w:val="20"/>
          <w:szCs w:val="20"/>
          <w:color w:val="auto"/>
        </w:rPr>
        <w:t>merger with Gemini on December 30, 2022, Gemini’s stock traded under the symbol “GMTX” on The Nasdaq Global Market and any comparison with Gemini’s historical stock prices may not be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629400" cy="3524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extLst>
                    </a:blip>
                    <a:srcRect/>
                    <a:stretch>
                      <a:fillRect/>
                    </a:stretch>
                  </pic:blipFill>
                  <pic:spPr bwMode="auto">
                    <a:xfrm>
                      <a:off x="0" y="0"/>
                      <a:ext cx="6629400" cy="352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5"/>
        <w:spacing w:after="0" w:line="22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0"/>
          <w:szCs w:val="20"/>
          <w:color w:val="auto"/>
        </w:rPr>
        <w:t>This performance graph shall not be deemed to be “soliciting material”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0"/>
          <w:szCs w:val="20"/>
          <w:color w:val="auto"/>
        </w:rPr>
        <w:t>or to be “filed” with the SEC for purposes of Section 18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0"/>
          <w:szCs w:val="20"/>
          <w:color w:val="auto"/>
        </w:rPr>
        <w:t>of the Securities and Exchange Act of 1934, as amended, or otherwise subject to the liabilities under that Section, and shall not be deemed incorporated by reference into any filing of Disc Medicine, Inc. under the Securities Act of 1933, as amended.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 from Initial Public Offering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 by the Issuer and Affiliated Purchasers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240" w:h="15840" w:orient="portrait"/>
          <w:cols w:equalWidth="0" w:num="1">
            <w:col w:w="10440"/>
          </w:cols>
          <w:pgMar w:left="900" w:top="929" w:right="900"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10440"/>
          </w:cols>
          <w:pgMar w:left="900" w:top="929" w:right="900" w:bottom="199" w:gutter="0" w:footer="0" w:header="0"/>
          <w:type w:val="continuous"/>
        </w:sectPr>
      </w:pPr>
    </w:p>
    <w:bookmarkStart w:id="110" w:name="page111"/>
    <w:bookmarkEnd w:id="110"/>
    <w:p>
      <w:pPr>
        <w:jc w:val="both"/>
        <w:ind w:left="1100" w:right="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3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87"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0"/>
          <w:szCs w:val="20"/>
          <w:i w:val="1"/>
          <w:iCs w:val="1"/>
          <w:color w:val="auto"/>
        </w:rPr>
        <w:t>Information pertaining to fiscal year ended December 31, 2023 was included in the Company’s Annual Report on Form 10-K for the year ended December 31, 2023, on pages 97 through 105, under Part II, Item 7, “Management’s Discussion and Analysis of Financial Condition and Results of Operations,” which was filed with the SEC on March 21,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Heme Biosynthesis: Bitopertin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demonstrated that longer term treatment of bitopertin was associated with sustained reductions in PPIX, as well as improvements in quality of life and liver biomarkers. In our end-of-Phase 2 meeting in September 2024, the U.S. Food &amp; Drug Administration, or the FDA, agreed with the potential for reduction of PPIX to serve as a surrogate endpoint to support a potential accelerated approval of bitopertin in EPP and XLP. In our Type C meeting in December 2024, we aligned with the FDA on the design of APOLLO, a Phase 3, randomized, double-blind, placebo-controlled, clinical trial of bitopertin in EPP and XLP patients that in the setting of an accelerated approval would serve as a post-marketing confirmatory trial. We initiated the APOLLO trial in May 2025 and in September 2025 we submitted a New Drug Application, or NDA, for accelerated approval of bitopertin in EPP and XLP in the United States based on our existing data. In October 2025, we were awarded a Commissioner’s National Priority Voucher, or CNPV, from the FDA for bitopertin in EPP and XLP. The CNPV program, announced in June 2025, is designed to accelerate the development and review of certain drugs aligned with US national health priorities. The FDA accepted our NDA for review in November 2025 and in February 2026 issued a complete response letter, or CRL.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The FDA indicated that results of the ongoing APOLLO trial could serve as evidence to support a potential traditional approval, and we plan to request a Type A meeting to review our</w:t>
      </w:r>
    </w:p>
    <w:p>
      <w:pPr>
        <w:sectPr>
          <w:pgSz w:w="12240" w:h="15840" w:orient="portrait"/>
          <w:cols w:equalWidth="0" w:num="1">
            <w:col w:w="10460"/>
          </w:cols>
          <w:pgMar w:left="900" w:top="926" w:right="880" w:bottom="175"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460"/>
          </w:cols>
          <w:pgMar w:left="900" w:top="926" w:right="880" w:bottom="175" w:gutter="0" w:footer="0" w:header="0"/>
          <w:type w:val="continuous"/>
        </w:sectPr>
      </w:pPr>
    </w:p>
    <w:bookmarkStart w:id="111" w:name="page112"/>
    <w:bookmarkEnd w:id="111"/>
    <w:p>
      <w:pPr>
        <w:jc w:val="both"/>
        <w:spacing w:after="0" w:line="277" w:lineRule="auto"/>
        <w:rPr>
          <w:sz w:val="20"/>
          <w:szCs w:val="20"/>
          <w:color w:val="auto"/>
        </w:rPr>
      </w:pPr>
      <w:r>
        <w:rPr>
          <w:rFonts w:ascii="Times New Roman" w:cs="Times New Roman" w:eastAsia="Times New Roman" w:hAnsi="Times New Roman"/>
          <w:sz w:val="20"/>
          <w:szCs w:val="20"/>
          <w:color w:val="auto"/>
        </w:rPr>
        <w:t>approach with the FDA. We expect to report topline data from APOLLO in the fourth quarter of 2026, following which we plan to submit a response to the CRL.</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Iron Homeostasis: DISC-0974 and DISC-3405</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from this Phase 2 trial in December 2025, with results demonstrating meaningful overall anemia responses across all patient subgroups, regardless of baseline transfusion status and independent of concomitant Janus Kinase, or JAK, inhibitor therapy use. Topline data from this trial is expected in the second half of 2026, which, if positive, is expected to support discussions with regulatory agencies on the potential regulatory path for DISC-0974 in anemia of MF. We initiated a Phase 2 clinical trial of DISC-0974 in patients with IBD and anemia in the first quarter of 2026,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 ascending dose, or MAD, portion of this clinical trial in December 2024, and presented updated data from both the SAD and MAD portions of this clinical trial in June 2025,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the first half of 2025, with initial data expected in the second half of 2026. We also initiated a Phase 1b, open-label clinical trial of DISC-3405 in patients with SCD in October 2025, with initial data expected in the second half of 2026, and plan to explore the role of therapeutic iron restriction in other indications.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October 2025 we completed an underwritten offering of shares of our common stock and pre-funded warrants for net proceeds of $211.0 million, after deducting offering expenses. As of December 31, 2025, we had cash, cash equivalents and marketable securities of $791.2 million.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 xml:space="preserve"> for additional details.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460"/>
          </w:cols>
          <w:pgMar w:left="900" w:top="930" w:right="880" w:bottom="175"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in connection with the research and development of our product candidates. These expenses include:</w:t>
      </w:r>
    </w:p>
    <w:p>
      <w:pPr>
        <w:spacing w:after="0" w:line="64" w:lineRule="exact"/>
        <w:rPr>
          <w:sz w:val="20"/>
          <w:szCs w:val="20"/>
          <w:color w:val="auto"/>
        </w:rPr>
      </w:pPr>
    </w:p>
    <w:p>
      <w:pPr>
        <w:ind w:left="72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employee-related expenses, including salaries, benefits, and stock-based compensation expense, for personnel engaged in research and development functions;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expenses incurred in connection with our research and development activities, including under agreements with third parties such as consultants, contractors and contract research organizations, or CROs;</w:t>
      </w:r>
    </w:p>
    <w:p>
      <w:pPr>
        <w:spacing w:after="0" w:line="64" w:lineRule="exact"/>
        <w:rPr>
          <w:rFonts w:ascii="Arial" w:cs="Arial" w:eastAsia="Arial" w:hAnsi="Arial"/>
          <w:sz w:val="20"/>
          <w:szCs w:val="20"/>
          <w:color w:val="auto"/>
        </w:rPr>
      </w:pPr>
    </w:p>
    <w:p>
      <w:pPr>
        <w:jc w:val="both"/>
        <w:ind w:left="720" w:hanging="367"/>
        <w:spacing w:after="0" w:line="252"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87"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acquiring and manufacturing preclinical study and clinical trial materials, including manufacturing registration and validation batches;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costs related to compliance with quality and regulatory requirements;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payments made under third-party licensing agreements.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expect that our research and development expenses will increase substantially as we advance our programs into and through clinical development. At this time, we cannot accurately estimate or know the nature, timing or costs of the efforts that will be necessary to complete their preclinical and clinical development. Changes in the outcome of any number of variables with respect to these programs could significantly affect the costs and timing associated with their development. We may never succeed in obtaining regulatory approval for any product candidates that have not yet been approved. The successful development of any product candidate is highly uncertain due to the numerous risks and uncertainties inherent in product development, including the following:</w:t>
      </w:r>
    </w:p>
    <w:p>
      <w:pPr>
        <w:spacing w:after="0" w:line="94" w:lineRule="exact"/>
        <w:rPr>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preclinical and clinical programs we decide to pursue;</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raise additional funds to the extent necessary to complete clinical development of and commercialize our product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new licensing or collaboration arrangements and the progress of the development efforts of third parties with whom we may enter into such arrangements;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current research and development programs and to establish new programs;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successful initiation, enrollment and completion of clinical trials with safety, tolerability and efficacy profiles that are satisfactory to the FDA or any comparable foreign regulatory authority;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receipt and related terms of regulatory approvals from applicable regulatory authorities for any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raw materials for use in production of our product candidates;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agreements with third-party manufacturers for supply of product candidate components for our clinical trials;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460"/>
          </w:cols>
          <w:pgMar w:left="900" w:top="930" w:right="880" w:bottom="175" w:gutter="0" w:footer="0" w:header="0"/>
          <w:type w:val="continuous"/>
        </w:sectPr>
      </w:pPr>
    </w:p>
    <w:bookmarkStart w:id="113" w:name="page114"/>
    <w:bookmarkEnd w:id="113"/>
    <w:p>
      <w:pPr>
        <w:ind w:left="720" w:hanging="367"/>
        <w:spacing w:after="0" w:line="276"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patents, trade secret protection and regulatory exclusivity, both in the United States and internationally;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other rights in our intellectual property portfolio;</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product candidates, if and when approved, whether alone or in collaboration with others; and</w:t>
      </w:r>
    </w:p>
    <w:p>
      <w:pPr>
        <w:spacing w:after="0" w:line="64" w:lineRule="exact"/>
        <w:rPr>
          <w:rFonts w:ascii="Arial" w:cs="Arial" w:eastAsia="Arial" w:hAnsi="Arial"/>
          <w:sz w:val="20"/>
          <w:szCs w:val="20"/>
          <w:color w:val="auto"/>
        </w:rPr>
      </w:pPr>
    </w:p>
    <w:p>
      <w:pPr>
        <w:ind w:right="20" w:firstLine="353"/>
        <w:spacing w:after="0" w:line="364"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our ability to obtain and maintain third-party insurance coverage and adequate reimbursement for any approved products. </w:t>
      </w:r>
      <w:r>
        <w:rPr>
          <w:rFonts w:ascii="Times New Roman" w:cs="Times New Roman" w:eastAsia="Times New Roman" w:hAnsi="Times New Roman"/>
          <w:sz w:val="20"/>
          <w:szCs w:val="20"/>
          <w:i w:val="1"/>
          <w:iCs w:val="1"/>
          <w:color w:val="auto"/>
        </w:rPr>
        <w:t>Selling, General and Administrative Expenses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anticipate that our selling, general and administrative expenses will increase substantially in the future as we increase our headcount to support our continued research and development and potential commercialization activities, including establishing the infrastructure to commercialize any product candidates for which we may obtain marketing approval.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Interest income primarily consists of interest earned on cash equivalents, consisting of money market funds, U.S. treasury securities and corporate debt securities, as well as marketable securities, consisting of U.S treasury securities, U.S. government agency securities and corporate debt securities.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1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Interest expense primarily consists of </w:t>
      </w:r>
      <w:r>
        <w:rPr>
          <w:rFonts w:ascii="Times New Roman" w:cs="Times New Roman" w:eastAsia="Times New Roman" w:hAnsi="Times New Roman"/>
          <w:sz w:val="19"/>
          <w:szCs w:val="19"/>
          <w:color w:val="auto"/>
        </w:rPr>
        <w:t>amortization of debt issuance costs and discount and interest expense under the Hercules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Loan Agreement.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193"/>
        </w:trPr>
        <w:tc>
          <w:tcPr>
            <w:tcW w:w="4900" w:type="dxa"/>
            <w:vAlign w:val="bottom"/>
            <w:tcBorders>
              <w:bottom w:val="single" w:sz="8" w:color="E0E0E0"/>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Borders>
              <w:bottom w:val="single" w:sz="8" w:color="auto"/>
            </w:tcBorders>
          </w:tcPr>
          <w:p>
            <w:pPr>
              <w:spacing w:after="0"/>
              <w:rPr>
                <w:sz w:val="16"/>
                <w:szCs w:val="16"/>
                <w:color w:val="auto"/>
              </w:rPr>
            </w:pPr>
          </w:p>
        </w:tc>
      </w:tr>
      <w:tr>
        <w:trPr>
          <w:trHeight w:val="239"/>
        </w:trPr>
        <w:tc>
          <w:tcPr>
            <w:tcW w:w="49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38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48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2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 w:type="dxa"/>
            <w:vAlign w:val="bottom"/>
          </w:tcPr>
          <w:p>
            <w:pPr>
              <w:spacing w:after="0"/>
              <w:rPr>
                <w:sz w:val="21"/>
                <w:szCs w:val="21"/>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170,640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96,671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73,969</w:t>
            </w:r>
          </w:p>
        </w:tc>
        <w:tc>
          <w:tcPr>
            <w:tcW w:w="80" w:type="dxa"/>
            <w:vAlign w:val="bottom"/>
          </w:tcPr>
          <w:p>
            <w:pPr>
              <w:spacing w:after="0"/>
              <w:rPr>
                <w:sz w:val="21"/>
                <w:szCs w:val="21"/>
                <w:color w:val="auto"/>
              </w:rPr>
            </w:pPr>
          </w:p>
        </w:tc>
      </w:tr>
      <w:tr>
        <w:trPr>
          <w:trHeight w:val="244"/>
        </w:trPr>
        <w:tc>
          <w:tcPr>
            <w:tcW w:w="49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 w:type="dxa"/>
            <w:vAlign w:val="bottom"/>
            <w:shd w:val="clear" w:color="auto" w:fill="E0E0E0"/>
          </w:tcPr>
          <w:p>
            <w:pPr>
              <w:spacing w:after="0"/>
              <w:rPr>
                <w:sz w:val="21"/>
                <w:szCs w:val="21"/>
                <w:color w:val="auto"/>
              </w:rPr>
            </w:pPr>
          </w:p>
        </w:tc>
        <w:tc>
          <w:tcPr>
            <w:tcW w:w="360" w:type="dxa"/>
            <w:vAlign w:val="bottom"/>
            <w:tcBorders>
              <w:bottom w:val="single" w:sz="8" w:color="auto"/>
            </w:tcBorders>
            <w:shd w:val="clear" w:color="auto" w:fill="E0E0E0"/>
          </w:tcPr>
          <w:p>
            <w:pPr>
              <w:spacing w:after="0"/>
              <w:rPr>
                <w:sz w:val="21"/>
                <w:szCs w:val="21"/>
                <w:color w:val="auto"/>
              </w:rPr>
            </w:pPr>
          </w:p>
        </w:tc>
        <w:tc>
          <w:tcPr>
            <w:tcW w:w="1380" w:type="dxa"/>
            <w:vAlign w:val="bottom"/>
            <w:tcBorders>
              <w:bottom w:val="single" w:sz="8" w:color="auto"/>
            </w:tcBorders>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65,382</w:t>
            </w:r>
          </w:p>
        </w:tc>
        <w:tc>
          <w:tcPr>
            <w:tcW w:w="2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60" w:type="dxa"/>
            <w:vAlign w:val="bottom"/>
            <w:tcBorders>
              <w:bottom w:val="single" w:sz="8" w:color="auto"/>
            </w:tcBorders>
            <w:shd w:val="clear" w:color="auto" w:fill="E0E0E0"/>
          </w:tcPr>
          <w:p>
            <w:pPr>
              <w:spacing w:after="0"/>
              <w:rPr>
                <w:sz w:val="21"/>
                <w:szCs w:val="21"/>
                <w:color w:val="auto"/>
              </w:rPr>
            </w:pPr>
          </w:p>
        </w:tc>
        <w:tc>
          <w:tcPr>
            <w:tcW w:w="1480" w:type="dxa"/>
            <w:vAlign w:val="bottom"/>
            <w:tcBorders>
              <w:bottom w:val="single" w:sz="8" w:color="auto"/>
            </w:tcBorders>
            <w:shd w:val="clear" w:color="auto" w:fill="E0E0E0"/>
          </w:tcPr>
          <w:p>
            <w:pPr>
              <w:jc w:val="right"/>
              <w:ind w:right="24"/>
              <w:spacing w:after="0"/>
              <w:rPr>
                <w:sz w:val="20"/>
                <w:szCs w:val="20"/>
                <w:color w:val="auto"/>
              </w:rPr>
            </w:pPr>
            <w:r>
              <w:rPr>
                <w:rFonts w:ascii="Times New Roman" w:cs="Times New Roman" w:eastAsia="Times New Roman" w:hAnsi="Times New Roman"/>
                <w:sz w:val="20"/>
                <w:szCs w:val="20"/>
                <w:color w:val="auto"/>
              </w:rPr>
              <w:t>33,049</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32,333</w:t>
            </w:r>
          </w:p>
        </w:tc>
        <w:tc>
          <w:tcPr>
            <w:tcW w:w="80" w:type="dxa"/>
            <w:vAlign w:val="bottom"/>
            <w:tcBorders>
              <w:bottom w:val="single" w:sz="8" w:color="auto"/>
            </w:tcBorders>
            <w:shd w:val="clear" w:color="auto" w:fill="E0E0E0"/>
          </w:tcPr>
          <w:p>
            <w:pPr>
              <w:spacing w:after="0"/>
              <w:rPr>
                <w:sz w:val="21"/>
                <w:szCs w:val="21"/>
                <w:color w:val="auto"/>
              </w:rPr>
            </w:pPr>
          </w:p>
        </w:tc>
      </w:tr>
      <w:tr>
        <w:trPr>
          <w:trHeight w:val="239"/>
        </w:trPr>
        <w:tc>
          <w:tcPr>
            <w:tcW w:w="4900" w:type="dxa"/>
            <w:vAlign w:val="bottom"/>
            <w:tcBorders>
              <w:bottom w:val="single" w:sz="8" w:color="E0E0E0"/>
            </w:tcBorders>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236,022</w:t>
            </w:r>
          </w:p>
        </w:tc>
        <w:tc>
          <w:tcPr>
            <w:tcW w:w="2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129,720</w:t>
            </w:r>
          </w:p>
        </w:tc>
        <w:tc>
          <w:tcPr>
            <w:tcW w:w="26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106,302</w:t>
            </w:r>
          </w:p>
        </w:tc>
        <w:tc>
          <w:tcPr>
            <w:tcW w:w="80" w:type="dxa"/>
            <w:vAlign w:val="bottom"/>
            <w:tcBorders>
              <w:bottom w:val="single" w:sz="8" w:color="auto"/>
            </w:tcBorders>
          </w:tcPr>
          <w:p>
            <w:pPr>
              <w:spacing w:after="0"/>
              <w:rPr>
                <w:sz w:val="20"/>
                <w:szCs w:val="20"/>
                <w:color w:val="auto"/>
              </w:rPr>
            </w:pPr>
          </w:p>
        </w:tc>
      </w:tr>
      <w:tr>
        <w:trPr>
          <w:trHeight w:val="239"/>
        </w:trPr>
        <w:tc>
          <w:tcPr>
            <w:tcW w:w="49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0" w:type="dxa"/>
            <w:vAlign w:val="bottom"/>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(236,022)</w:t>
            </w: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(129,720)</w:t>
            </w:r>
          </w:p>
        </w:tc>
        <w:tc>
          <w:tcPr>
            <w:tcW w:w="2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(106,302)</w:t>
            </w: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9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380" w:type="dxa"/>
            <w:vAlign w:val="bottom"/>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27,761</w:t>
            </w:r>
          </w:p>
        </w:tc>
        <w:tc>
          <w:tcPr>
            <w:tcW w:w="2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480" w:type="dxa"/>
            <w:vAlign w:val="bottom"/>
            <w:shd w:val="clear" w:color="auto" w:fill="E0E0E0"/>
          </w:tcPr>
          <w:p>
            <w:pPr>
              <w:jc w:val="right"/>
              <w:ind w:right="24"/>
              <w:spacing w:after="0"/>
              <w:rPr>
                <w:sz w:val="20"/>
                <w:szCs w:val="20"/>
                <w:color w:val="auto"/>
              </w:rPr>
            </w:pPr>
            <w:r>
              <w:rPr>
                <w:rFonts w:ascii="Times New Roman" w:cs="Times New Roman" w:eastAsia="Times New Roman" w:hAnsi="Times New Roman"/>
                <w:sz w:val="20"/>
                <w:szCs w:val="20"/>
                <w:color w:val="auto"/>
              </w:rPr>
              <w:t>21,292</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6,469</w:t>
            </w:r>
          </w:p>
        </w:tc>
        <w:tc>
          <w:tcPr>
            <w:tcW w:w="80" w:type="dxa"/>
            <w:vAlign w:val="bottom"/>
            <w:shd w:val="clear" w:color="auto" w:fill="E0E0E0"/>
          </w:tcPr>
          <w:p>
            <w:pPr>
              <w:spacing w:after="0"/>
              <w:rPr>
                <w:sz w:val="21"/>
                <w:szCs w:val="21"/>
                <w:color w:val="auto"/>
              </w:rPr>
            </w:pPr>
          </w:p>
        </w:tc>
      </w:tr>
      <w:tr>
        <w:trPr>
          <w:trHeight w:val="244"/>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(3,035)</w:t>
            </w:r>
          </w:p>
        </w:tc>
      </w:tr>
      <w:tr>
        <w:trPr>
          <w:trHeight w:val="244"/>
        </w:trPr>
        <w:tc>
          <w:tcPr>
            <w:tcW w:w="49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income (expense)</w:t>
            </w:r>
          </w:p>
        </w:tc>
        <w:tc>
          <w:tcPr>
            <w:tcW w:w="20" w:type="dxa"/>
            <w:vAlign w:val="bottom"/>
            <w:shd w:val="clear" w:color="auto" w:fill="E0E0E0"/>
          </w:tcPr>
          <w:p>
            <w:pPr>
              <w:spacing w:after="0"/>
              <w:rPr>
                <w:sz w:val="21"/>
                <w:szCs w:val="21"/>
                <w:color w:val="auto"/>
              </w:rPr>
            </w:pPr>
          </w:p>
        </w:tc>
        <w:tc>
          <w:tcPr>
            <w:tcW w:w="360" w:type="dxa"/>
            <w:vAlign w:val="bottom"/>
            <w:tcBorders>
              <w:bottom w:val="single" w:sz="8" w:color="auto"/>
            </w:tcBorders>
            <w:shd w:val="clear" w:color="auto" w:fill="E0E0E0"/>
          </w:tcPr>
          <w:p>
            <w:pPr>
              <w:spacing w:after="0"/>
              <w:rPr>
                <w:sz w:val="21"/>
                <w:szCs w:val="21"/>
                <w:color w:val="auto"/>
              </w:rPr>
            </w:pPr>
          </w:p>
        </w:tc>
        <w:tc>
          <w:tcPr>
            <w:tcW w:w="1380" w:type="dxa"/>
            <w:vAlign w:val="bottom"/>
            <w:tcBorders>
              <w:bottom w:val="single" w:sz="8" w:color="auto"/>
            </w:tcBorders>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45</w:t>
            </w:r>
          </w:p>
        </w:tc>
        <w:tc>
          <w:tcPr>
            <w:tcW w:w="2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60" w:type="dxa"/>
            <w:vAlign w:val="bottom"/>
            <w:tcBorders>
              <w:bottom w:val="single" w:sz="8" w:color="auto"/>
            </w:tcBorders>
            <w:shd w:val="clear" w:color="auto" w:fill="E0E0E0"/>
          </w:tcPr>
          <w:p>
            <w:pPr>
              <w:spacing w:after="0"/>
              <w:rPr>
                <w:sz w:val="21"/>
                <w:szCs w:val="21"/>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Borders>
              <w:bottom w:val="single" w:sz="8" w:color="auto"/>
            </w:tcBorders>
            <w:shd w:val="clear" w:color="auto" w:fill="E0E0E0"/>
          </w:tcPr>
          <w:p>
            <w:pPr>
              <w:spacing w:after="0"/>
              <w:rPr>
                <w:sz w:val="21"/>
                <w:szCs w:val="21"/>
                <w:color w:val="auto"/>
              </w:rPr>
            </w:pPr>
          </w:p>
        </w:tc>
      </w:tr>
      <w:tr>
        <w:trPr>
          <w:trHeight w:val="239"/>
        </w:trPr>
        <w:tc>
          <w:tcPr>
            <w:tcW w:w="4900" w:type="dxa"/>
            <w:vAlign w:val="bottom"/>
            <w:tcBorders>
              <w:bottom w:val="single" w:sz="8" w:color="E0E0E0"/>
            </w:tcBorders>
          </w:tcPr>
          <w:p>
            <w:pPr>
              <w:ind w:left="40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24,199</w:t>
            </w:r>
          </w:p>
        </w:tc>
        <w:tc>
          <w:tcPr>
            <w:tcW w:w="2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20,718</w:t>
            </w:r>
          </w:p>
        </w:tc>
        <w:tc>
          <w:tcPr>
            <w:tcW w:w="26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3,481</w:t>
            </w:r>
          </w:p>
        </w:tc>
        <w:tc>
          <w:tcPr>
            <w:tcW w:w="80" w:type="dxa"/>
            <w:vAlign w:val="bottom"/>
            <w:tcBorders>
              <w:bottom w:val="single" w:sz="8" w:color="auto"/>
            </w:tcBorders>
          </w:tcPr>
          <w:p>
            <w:pPr>
              <w:spacing w:after="0"/>
              <w:rPr>
                <w:sz w:val="20"/>
                <w:szCs w:val="20"/>
                <w:color w:val="auto"/>
              </w:rPr>
            </w:pPr>
          </w:p>
        </w:tc>
      </w:tr>
      <w:tr>
        <w:trPr>
          <w:trHeight w:val="239"/>
        </w:trPr>
        <w:tc>
          <w:tcPr>
            <w:tcW w:w="49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20" w:type="dxa"/>
            <w:vAlign w:val="bottom"/>
          </w:tcPr>
          <w:p>
            <w:pPr>
              <w:spacing w:after="0"/>
              <w:rPr>
                <w:sz w:val="20"/>
                <w:szCs w:val="20"/>
                <w:color w:val="auto"/>
              </w:rPr>
            </w:pPr>
          </w:p>
        </w:tc>
        <w:tc>
          <w:tcPr>
            <w:tcW w:w="360" w:type="dxa"/>
            <w:vAlign w:val="bottom"/>
            <w:tcBorders>
              <w:bottom w:val="single" w:sz="8" w:color="auto"/>
            </w:tcBorders>
            <w:shd w:val="clear" w:color="auto" w:fill="E0E0E0"/>
          </w:tcPr>
          <w:p>
            <w:pPr>
              <w:spacing w:after="0"/>
              <w:rPr>
                <w:sz w:val="20"/>
                <w:szCs w:val="20"/>
                <w:color w:val="auto"/>
              </w:rPr>
            </w:pPr>
          </w:p>
        </w:tc>
        <w:tc>
          <w:tcPr>
            <w:tcW w:w="13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(211,823)</w:t>
            </w: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(109,002)</w:t>
            </w:r>
          </w:p>
        </w:tc>
        <w:tc>
          <w:tcPr>
            <w:tcW w:w="2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spacing w:after="0"/>
              <w:rPr>
                <w:sz w:val="20"/>
                <w:szCs w:val="20"/>
                <w:color w:val="auto"/>
              </w:rPr>
            </w:pPr>
          </w:p>
        </w:tc>
        <w:tc>
          <w:tcPr>
            <w:tcW w:w="132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(102,821)</w:t>
            </w:r>
          </w:p>
        </w:tc>
      </w:tr>
      <w:tr>
        <w:trPr>
          <w:trHeight w:val="239"/>
        </w:trPr>
        <w:tc>
          <w:tcPr>
            <w:tcW w:w="49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6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239"/>
        </w:trPr>
        <w:tc>
          <w:tcPr>
            <w:tcW w:w="49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shd w:val="clear" w:color="auto" w:fill="E0E0E0"/>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(212,184)</w:t>
            </w:r>
          </w:p>
        </w:tc>
        <w:tc>
          <w:tcPr>
            <w:tcW w:w="24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(109,357)</w:t>
            </w:r>
          </w:p>
        </w:tc>
        <w:tc>
          <w:tcPr>
            <w:tcW w:w="26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(102,827)</w:t>
            </w:r>
          </w:p>
        </w:tc>
      </w:tr>
      <w:tr>
        <w:trPr>
          <w:trHeight w:val="20"/>
        </w:trPr>
        <w:tc>
          <w:tcPr>
            <w:tcW w:w="4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-2258695</wp:posOffset>
            </wp:positionV>
            <wp:extent cx="35052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a:extLst>
                        <a:ext uri="{28A0092B-C50C-407E-A947-70E740481C1C}"/>
                      </a:extLst>
                    </a:blip>
                    <a:srcRect/>
                    <a:stretch>
                      <a:fillRect/>
                    </a:stretch>
                  </pic:blipFill>
                  <pic:spPr bwMode="auto">
                    <a:xfrm>
                      <a:off x="0" y="0"/>
                      <a:ext cx="3505200" cy="38100"/>
                    </a:xfrm>
                    <a:prstGeom prst="rect">
                      <a:avLst/>
                    </a:prstGeom>
                    <a:noFill/>
                  </pic:spPr>
                </pic:pic>
              </a:graphicData>
            </a:graphic>
          </wp:anchor>
        </w:drawing>
      </w:r>
    </w:p>
    <w:p>
      <w:pPr>
        <w:sectPr>
          <w:pgSz w:w="12240" w:h="15840" w:orient="portrait"/>
          <w:cols w:equalWidth="0" w:num="1">
            <w:col w:w="10460"/>
          </w:cols>
          <w:pgMar w:left="900" w:top="944"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460"/>
          </w:cols>
          <w:pgMar w:left="900" w:top="944" w:right="880" w:bottom="175"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years ended December 31, 2025 and 2024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3"/>
        </w:trPr>
        <w:tc>
          <w:tcPr>
            <w:tcW w:w="572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0E0E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Borders>
              <w:bottom w:val="single" w:sz="8" w:color="auto"/>
            </w:tcBorders>
          </w:tcPr>
          <w:p>
            <w:pPr>
              <w:spacing w:after="0"/>
              <w:rPr>
                <w:sz w:val="16"/>
                <w:szCs w:val="16"/>
                <w:color w:val="auto"/>
              </w:rPr>
            </w:pPr>
          </w:p>
        </w:tc>
      </w:tr>
      <w:tr>
        <w:trPr>
          <w:trHeight w:val="239"/>
        </w:trPr>
        <w:tc>
          <w:tcPr>
            <w:tcW w:w="57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Bitopertin</w:t>
            </w: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58,827</w:t>
            </w:r>
          </w:p>
        </w:tc>
        <w:tc>
          <w:tcPr>
            <w:tcW w:w="220" w:type="dxa"/>
            <w:vAlign w:val="bottom"/>
            <w:shd w:val="clear" w:color="auto" w:fill="E0E0E0"/>
          </w:tcPr>
          <w:p>
            <w:pPr>
              <w:spacing w:after="0"/>
              <w:rPr>
                <w:sz w:val="20"/>
                <w:szCs w:val="20"/>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auto"/>
              </w:rPr>
              <w:t>28,105</w:t>
            </w:r>
          </w:p>
        </w:tc>
        <w:tc>
          <w:tcPr>
            <w:tcW w:w="220" w:type="dxa"/>
            <w:vAlign w:val="bottom"/>
            <w:shd w:val="clear" w:color="auto" w:fill="E0E0E0"/>
          </w:tcPr>
          <w:p>
            <w:pPr>
              <w:spacing w:after="0"/>
              <w:rPr>
                <w:sz w:val="20"/>
                <w:szCs w:val="20"/>
                <w:color w:val="auto"/>
              </w:rPr>
            </w:pP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30,722</w:t>
            </w:r>
          </w:p>
        </w:tc>
        <w:tc>
          <w:tcPr>
            <w:tcW w:w="60" w:type="dxa"/>
            <w:vAlign w:val="bottom"/>
            <w:shd w:val="clear" w:color="auto" w:fill="E0E0E0"/>
          </w:tcPr>
          <w:p>
            <w:pPr>
              <w:spacing w:after="0"/>
              <w:rPr>
                <w:sz w:val="20"/>
                <w:szCs w:val="20"/>
                <w:color w:val="auto"/>
              </w:rPr>
            </w:pPr>
          </w:p>
        </w:tc>
      </w:tr>
      <w:tr>
        <w:trPr>
          <w:trHeight w:val="244"/>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DISC-0974</w:t>
            </w:r>
          </w:p>
        </w:tc>
        <w:tc>
          <w:tcPr>
            <w:tcW w:w="30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27,586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16,943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10,643</w:t>
            </w:r>
          </w:p>
        </w:tc>
        <w:tc>
          <w:tcPr>
            <w:tcW w:w="60" w:type="dxa"/>
            <w:vAlign w:val="bottom"/>
          </w:tcPr>
          <w:p>
            <w:pPr>
              <w:spacing w:after="0"/>
              <w:rPr>
                <w:sz w:val="21"/>
                <w:szCs w:val="21"/>
                <w:color w:val="auto"/>
              </w:rPr>
            </w:pPr>
          </w:p>
        </w:tc>
      </w:tr>
      <w:tr>
        <w:trPr>
          <w:trHeight w:val="244"/>
        </w:trPr>
        <w:tc>
          <w:tcPr>
            <w:tcW w:w="57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DISC-3405</w:t>
            </w:r>
          </w:p>
        </w:tc>
        <w:tc>
          <w:tcPr>
            <w:tcW w:w="300" w:type="dxa"/>
            <w:vAlign w:val="bottom"/>
            <w:shd w:val="clear" w:color="auto" w:fill="E0E0E0"/>
          </w:tcPr>
          <w:p>
            <w:pPr>
              <w:spacing w:after="0"/>
              <w:rPr>
                <w:sz w:val="21"/>
                <w:szCs w:val="21"/>
                <w:color w:val="auto"/>
              </w:rPr>
            </w:pPr>
          </w:p>
        </w:tc>
        <w:tc>
          <w:tcPr>
            <w:tcW w:w="114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17,693</w:t>
            </w:r>
          </w:p>
        </w:tc>
        <w:tc>
          <w:tcPr>
            <w:tcW w:w="2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30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auto"/>
              </w:rPr>
              <w:t>13,934</w:t>
            </w:r>
          </w:p>
        </w:tc>
        <w:tc>
          <w:tcPr>
            <w:tcW w:w="2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3,759</w:t>
            </w:r>
          </w:p>
        </w:tc>
        <w:tc>
          <w:tcPr>
            <w:tcW w:w="60" w:type="dxa"/>
            <w:vAlign w:val="bottom"/>
            <w:shd w:val="clear" w:color="auto" w:fill="E0E0E0"/>
          </w:tcPr>
          <w:p>
            <w:pPr>
              <w:spacing w:after="0"/>
              <w:rPr>
                <w:sz w:val="21"/>
                <w:szCs w:val="21"/>
                <w:color w:val="auto"/>
              </w:rPr>
            </w:pPr>
          </w:p>
        </w:tc>
      </w:tr>
      <w:tr>
        <w:trPr>
          <w:trHeight w:val="244"/>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Other research programs and expenses</w:t>
            </w:r>
          </w:p>
        </w:tc>
        <w:tc>
          <w:tcPr>
            <w:tcW w:w="30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19,374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10,150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9,224</w:t>
            </w:r>
          </w:p>
        </w:tc>
        <w:tc>
          <w:tcPr>
            <w:tcW w:w="60" w:type="dxa"/>
            <w:vAlign w:val="bottom"/>
          </w:tcPr>
          <w:p>
            <w:pPr>
              <w:spacing w:after="0"/>
              <w:rPr>
                <w:sz w:val="21"/>
                <w:szCs w:val="21"/>
                <w:color w:val="auto"/>
              </w:rPr>
            </w:pPr>
          </w:p>
        </w:tc>
      </w:tr>
      <w:tr>
        <w:trPr>
          <w:trHeight w:val="244"/>
        </w:trPr>
        <w:tc>
          <w:tcPr>
            <w:tcW w:w="57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Personnel-related (including equity-based compensation)</w:t>
            </w:r>
          </w:p>
        </w:tc>
        <w:tc>
          <w:tcPr>
            <w:tcW w:w="300" w:type="dxa"/>
            <w:vAlign w:val="bottom"/>
            <w:tcBorders>
              <w:bottom w:val="single" w:sz="8" w:color="auto"/>
            </w:tcBorders>
            <w:shd w:val="clear" w:color="auto" w:fill="E0E0E0"/>
          </w:tcPr>
          <w:p>
            <w:pPr>
              <w:spacing w:after="0"/>
              <w:rPr>
                <w:sz w:val="21"/>
                <w:szCs w:val="21"/>
                <w:color w:val="auto"/>
              </w:rPr>
            </w:pPr>
          </w:p>
        </w:tc>
        <w:tc>
          <w:tcPr>
            <w:tcW w:w="1140" w:type="dxa"/>
            <w:vAlign w:val="bottom"/>
            <w:tcBorders>
              <w:bottom w:val="single" w:sz="8" w:color="auto"/>
            </w:tcBorders>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47,160</w:t>
            </w:r>
          </w:p>
        </w:tc>
        <w:tc>
          <w:tcPr>
            <w:tcW w:w="220" w:type="dxa"/>
            <w:vAlign w:val="bottom"/>
            <w:shd w:val="clear" w:color="auto" w:fill="E0E0E0"/>
          </w:tcPr>
          <w:p>
            <w:pPr>
              <w:spacing w:after="0"/>
              <w:rPr>
                <w:sz w:val="21"/>
                <w:szCs w:val="21"/>
                <w:color w:val="auto"/>
              </w:rPr>
            </w:pPr>
          </w:p>
        </w:tc>
        <w:tc>
          <w:tcPr>
            <w:tcW w:w="140" w:type="dxa"/>
            <w:vAlign w:val="bottom"/>
            <w:tcBorders>
              <w:bottom w:val="single" w:sz="8" w:color="auto"/>
            </w:tcBorders>
            <w:shd w:val="clear" w:color="auto" w:fill="E0E0E0"/>
          </w:tcPr>
          <w:p>
            <w:pPr>
              <w:spacing w:after="0"/>
              <w:rPr>
                <w:sz w:val="21"/>
                <w:szCs w:val="21"/>
                <w:color w:val="auto"/>
              </w:rPr>
            </w:pPr>
          </w:p>
        </w:tc>
        <w:tc>
          <w:tcPr>
            <w:tcW w:w="1300" w:type="dxa"/>
            <w:vAlign w:val="bottom"/>
            <w:tcBorders>
              <w:bottom w:val="single" w:sz="8" w:color="auto"/>
            </w:tcBorders>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auto"/>
              </w:rPr>
              <w:t>27,539</w:t>
            </w:r>
          </w:p>
        </w:tc>
        <w:tc>
          <w:tcPr>
            <w:tcW w:w="220" w:type="dxa"/>
            <w:vAlign w:val="bottom"/>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19,621</w:t>
            </w:r>
          </w:p>
        </w:tc>
        <w:tc>
          <w:tcPr>
            <w:tcW w:w="60" w:type="dxa"/>
            <w:vAlign w:val="bottom"/>
            <w:tcBorders>
              <w:bottom w:val="single" w:sz="8" w:color="auto"/>
            </w:tcBorders>
            <w:shd w:val="clear" w:color="auto" w:fill="E0E0E0"/>
          </w:tcPr>
          <w:p>
            <w:pPr>
              <w:spacing w:after="0"/>
              <w:rPr>
                <w:sz w:val="21"/>
                <w:szCs w:val="21"/>
                <w:color w:val="auto"/>
              </w:rPr>
            </w:pPr>
          </w:p>
        </w:tc>
      </w:tr>
      <w:tr>
        <w:trPr>
          <w:trHeight w:val="239"/>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170,640</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96,671</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73,969</w:t>
            </w:r>
          </w:p>
        </w:tc>
        <w:tc>
          <w:tcPr>
            <w:tcW w:w="60" w:type="dxa"/>
            <w:vAlign w:val="bottom"/>
            <w:tcBorders>
              <w:bottom w:val="single" w:sz="8" w:color="auto"/>
            </w:tcBorders>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-1126490</wp:posOffset>
            </wp:positionV>
            <wp:extent cx="30003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extLst>
                    </a:blip>
                    <a:srcRect/>
                    <a:stretch>
                      <a:fillRect/>
                    </a:stretch>
                  </pic:blipFill>
                  <pic:spPr bwMode="auto">
                    <a:xfrm>
                      <a:off x="0" y="0"/>
                      <a:ext cx="3000375" cy="38100"/>
                    </a:xfrm>
                    <a:prstGeom prst="rect">
                      <a:avLst/>
                    </a:prstGeom>
                    <a:noFill/>
                  </pic:spPr>
                </pic:pic>
              </a:graphicData>
            </a:graphic>
          </wp:anchor>
        </w:drawing>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Research and development expenses were $170.6 million for the year ended December 31, 2025, compared to $96.7 million for the year ended December 31, 2024. The increase of $74.0 million was primarily due to an increase of $30.7 million in bitopertin development expense consisting of a $10.0 million milestone payment triggered by the initiation of our APOLLO trial and a $20.7 million increase in ongoing costs associated with both the APOLLO study and the HELIOS long-term extension trial. Personnel-related costs increased $19.6 million related to higher research and development headcount, including an increase of $9.0 million in stock-based compensation driven by awards granted under our equity compensation plans. DISC-0974 development expenses increased $10.6 million primarily due to clinical trial advancement and drug manufacturing activities. Other research programs and expenses increased $9.2 million related to expanded research initiatives and ongoing program support. Additionally, DISC-3405 development expenses increased $3.8 million driven by a $ 10.0 million milestone payment triggered by the first administration to a patient in a Phase 2 clinical trial, partially offset by a decrease of $6.2 million related to manufacturing costs incurred in the year ended December 31, 2024 that did not recur in the year ended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selling, general and administrative expenses for the years ended December 31, 2025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8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8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3"/>
        </w:trPr>
        <w:tc>
          <w:tcPr>
            <w:tcW w:w="5120" w:type="dxa"/>
            <w:vAlign w:val="bottom"/>
            <w:tcBorders>
              <w:bottom w:val="single" w:sz="8" w:color="E0E0E0"/>
            </w:tcBorders>
          </w:tcPr>
          <w:p>
            <w:pPr>
              <w:spacing w:after="0"/>
              <w:rPr>
                <w:sz w:val="16"/>
                <w:szCs w:val="16"/>
                <w:color w:val="auto"/>
              </w:rPr>
            </w:pPr>
          </w:p>
        </w:tc>
        <w:tc>
          <w:tcPr>
            <w:tcW w:w="54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0E0E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Borders>
              <w:bottom w:val="single" w:sz="8" w:color="auto"/>
            </w:tcBorders>
          </w:tcPr>
          <w:p>
            <w:pPr>
              <w:spacing w:after="0"/>
              <w:rPr>
                <w:sz w:val="16"/>
                <w:szCs w:val="16"/>
                <w:color w:val="auto"/>
              </w:rPr>
            </w:pPr>
          </w:p>
        </w:tc>
      </w:tr>
      <w:tr>
        <w:trPr>
          <w:trHeight w:val="239"/>
        </w:trPr>
        <w:tc>
          <w:tcPr>
            <w:tcW w:w="5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Personnel-related (including equity-based compensation)</w:t>
            </w:r>
          </w:p>
        </w:tc>
        <w:tc>
          <w:tcPr>
            <w:tcW w:w="54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ind w:right="24"/>
              <w:spacing w:after="0"/>
              <w:rPr>
                <w:sz w:val="20"/>
                <w:szCs w:val="20"/>
                <w:color w:val="auto"/>
              </w:rPr>
            </w:pPr>
            <w:r>
              <w:rPr>
                <w:rFonts w:ascii="Times New Roman" w:cs="Times New Roman" w:eastAsia="Times New Roman" w:hAnsi="Times New Roman"/>
                <w:sz w:val="20"/>
                <w:szCs w:val="20"/>
                <w:color w:val="auto"/>
              </w:rPr>
              <w:t>36,838</w:t>
            </w:r>
          </w:p>
        </w:tc>
        <w:tc>
          <w:tcPr>
            <w:tcW w:w="220" w:type="dxa"/>
            <w:vAlign w:val="bottom"/>
            <w:shd w:val="clear" w:color="auto" w:fill="E0E0E0"/>
          </w:tcPr>
          <w:p>
            <w:pPr>
              <w:spacing w:after="0"/>
              <w:rPr>
                <w:sz w:val="20"/>
                <w:szCs w:val="20"/>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0E0E0"/>
          </w:tcPr>
          <w:p>
            <w:pPr>
              <w:jc w:val="right"/>
              <w:ind w:right="29"/>
              <w:spacing w:after="0"/>
              <w:rPr>
                <w:sz w:val="20"/>
                <w:szCs w:val="20"/>
                <w:color w:val="auto"/>
              </w:rPr>
            </w:pPr>
            <w:r>
              <w:rPr>
                <w:rFonts w:ascii="Times New Roman" w:cs="Times New Roman" w:eastAsia="Times New Roman" w:hAnsi="Times New Roman"/>
                <w:sz w:val="20"/>
                <w:szCs w:val="20"/>
                <w:color w:val="auto"/>
              </w:rPr>
              <w:t>19,367</w:t>
            </w:r>
          </w:p>
        </w:tc>
        <w:tc>
          <w:tcPr>
            <w:tcW w:w="220" w:type="dxa"/>
            <w:vAlign w:val="bottom"/>
            <w:shd w:val="clear" w:color="auto" w:fill="E0E0E0"/>
          </w:tcPr>
          <w:p>
            <w:pPr>
              <w:spacing w:after="0"/>
              <w:rPr>
                <w:sz w:val="20"/>
                <w:szCs w:val="20"/>
                <w:color w:val="auto"/>
              </w:rPr>
            </w:pP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17,471</w:t>
            </w:r>
          </w:p>
        </w:tc>
        <w:tc>
          <w:tcPr>
            <w:tcW w:w="60" w:type="dxa"/>
            <w:vAlign w:val="bottom"/>
            <w:shd w:val="clear" w:color="auto" w:fill="E0E0E0"/>
          </w:tcPr>
          <w:p>
            <w:pPr>
              <w:spacing w:after="0"/>
              <w:rPr>
                <w:sz w:val="20"/>
                <w:szCs w:val="20"/>
                <w:color w:val="auto"/>
              </w:rPr>
            </w:pPr>
          </w:p>
        </w:tc>
      </w:tr>
      <w:tr>
        <w:trPr>
          <w:trHeight w:val="244"/>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Legal, consulting and professional fees</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22,699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9,645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13,054</w:t>
            </w:r>
          </w:p>
        </w:tc>
        <w:tc>
          <w:tcPr>
            <w:tcW w:w="60" w:type="dxa"/>
            <w:vAlign w:val="bottom"/>
          </w:tcPr>
          <w:p>
            <w:pPr>
              <w:spacing w:after="0"/>
              <w:rPr>
                <w:sz w:val="21"/>
                <w:szCs w:val="21"/>
                <w:color w:val="auto"/>
              </w:rPr>
            </w:pPr>
          </w:p>
        </w:tc>
      </w:tr>
      <w:tr>
        <w:trPr>
          <w:trHeight w:val="264"/>
        </w:trPr>
        <w:tc>
          <w:tcPr>
            <w:tcW w:w="51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expenses</w:t>
            </w:r>
          </w:p>
        </w:tc>
        <w:tc>
          <w:tcPr>
            <w:tcW w:w="54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E0E0E0"/>
            </w:tcBorders>
            <w:shd w:val="clear" w:color="auto" w:fill="E0E0E0"/>
          </w:tcPr>
          <w:p>
            <w:pPr>
              <w:spacing w:after="0"/>
              <w:rPr>
                <w:sz w:val="22"/>
                <w:szCs w:val="22"/>
                <w:color w:val="auto"/>
              </w:rPr>
            </w:pPr>
          </w:p>
        </w:tc>
        <w:tc>
          <w:tcPr>
            <w:tcW w:w="1160" w:type="dxa"/>
            <w:vAlign w:val="bottom"/>
            <w:tcBorders>
              <w:bottom w:val="single" w:sz="8" w:color="E0E0E0"/>
            </w:tcBorders>
            <w:shd w:val="clear" w:color="auto" w:fill="E0E0E0"/>
          </w:tcPr>
          <w:p>
            <w:pPr>
              <w:jc w:val="right"/>
              <w:ind w:right="24"/>
              <w:spacing w:after="0"/>
              <w:rPr>
                <w:sz w:val="20"/>
                <w:szCs w:val="20"/>
                <w:color w:val="auto"/>
              </w:rPr>
            </w:pPr>
            <w:r>
              <w:rPr>
                <w:rFonts w:ascii="Times New Roman" w:cs="Times New Roman" w:eastAsia="Times New Roman" w:hAnsi="Times New Roman"/>
                <w:sz w:val="20"/>
                <w:szCs w:val="20"/>
                <w:color w:val="auto"/>
              </w:rPr>
              <w:t>5,845</w:t>
            </w:r>
          </w:p>
        </w:tc>
        <w:tc>
          <w:tcPr>
            <w:tcW w:w="22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E0E0E0"/>
            </w:tcBorders>
            <w:shd w:val="clear" w:color="auto" w:fill="E0E0E0"/>
          </w:tcPr>
          <w:p>
            <w:pPr>
              <w:spacing w:after="0"/>
              <w:rPr>
                <w:sz w:val="22"/>
                <w:szCs w:val="22"/>
                <w:color w:val="auto"/>
              </w:rPr>
            </w:pPr>
          </w:p>
        </w:tc>
        <w:tc>
          <w:tcPr>
            <w:tcW w:w="1300" w:type="dxa"/>
            <w:vAlign w:val="bottom"/>
            <w:tcBorders>
              <w:bottom w:val="single" w:sz="8" w:color="E0E0E0"/>
            </w:tcBorders>
            <w:shd w:val="clear" w:color="auto" w:fill="E0E0E0"/>
          </w:tcPr>
          <w:p>
            <w:pPr>
              <w:jc w:val="right"/>
              <w:ind w:right="29"/>
              <w:spacing w:after="0"/>
              <w:rPr>
                <w:sz w:val="20"/>
                <w:szCs w:val="20"/>
                <w:color w:val="auto"/>
              </w:rPr>
            </w:pPr>
            <w:r>
              <w:rPr>
                <w:rFonts w:ascii="Times New Roman" w:cs="Times New Roman" w:eastAsia="Times New Roman" w:hAnsi="Times New Roman"/>
                <w:sz w:val="20"/>
                <w:szCs w:val="20"/>
                <w:color w:val="auto"/>
              </w:rPr>
              <w:t>4,037</w:t>
            </w:r>
          </w:p>
        </w:tc>
        <w:tc>
          <w:tcPr>
            <w:tcW w:w="22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60" w:type="dxa"/>
            <w:vAlign w:val="bottom"/>
            <w:tcBorders>
              <w:bottom w:val="single" w:sz="8" w:color="auto"/>
            </w:tcBorders>
            <w:shd w:val="clear" w:color="auto" w:fill="E0E0E0"/>
          </w:tcPr>
          <w:p>
            <w:pPr>
              <w:spacing w:after="0"/>
              <w:rPr>
                <w:sz w:val="22"/>
                <w:szCs w:val="22"/>
                <w:color w:val="auto"/>
              </w:rPr>
            </w:pPr>
          </w:p>
        </w:tc>
      </w:tr>
      <w:tr>
        <w:trPr>
          <w:trHeight w:val="219"/>
        </w:trPr>
        <w:tc>
          <w:tcPr>
            <w:tcW w:w="512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selling, general and administrative expenses</w:t>
            </w:r>
          </w:p>
        </w:tc>
        <w:tc>
          <w:tcPr>
            <w:tcW w:w="84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4"/>
              <w:spacing w:after="0" w:line="219" w:lineRule="exact"/>
              <w:rPr>
                <w:sz w:val="20"/>
                <w:szCs w:val="20"/>
                <w:color w:val="auto"/>
              </w:rPr>
            </w:pPr>
            <w:r>
              <w:rPr>
                <w:rFonts w:ascii="Times New Roman" w:cs="Times New Roman" w:eastAsia="Times New Roman" w:hAnsi="Times New Roman"/>
                <w:sz w:val="20"/>
                <w:szCs w:val="20"/>
                <w:color w:val="auto"/>
              </w:rPr>
              <w:t>65,382</w:t>
            </w:r>
          </w:p>
        </w:tc>
        <w:tc>
          <w:tcPr>
            <w:tcW w:w="38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9"/>
              <w:spacing w:after="0" w:line="219" w:lineRule="exact"/>
              <w:rPr>
                <w:sz w:val="20"/>
                <w:szCs w:val="20"/>
                <w:color w:val="auto"/>
              </w:rPr>
            </w:pPr>
            <w:r>
              <w:rPr>
                <w:rFonts w:ascii="Times New Roman" w:cs="Times New Roman" w:eastAsia="Times New Roman" w:hAnsi="Times New Roman"/>
                <w:sz w:val="20"/>
                <w:szCs w:val="20"/>
                <w:color w:val="auto"/>
              </w:rPr>
              <w:t>33,049</w:t>
            </w:r>
          </w:p>
        </w:tc>
        <w:tc>
          <w:tcPr>
            <w:tcW w:w="220" w:type="dxa"/>
            <w:vAlign w:val="bottom"/>
          </w:tcPr>
          <w:p>
            <w:pPr>
              <w:spacing w:after="0"/>
              <w:rPr>
                <w:sz w:val="19"/>
                <w:szCs w:val="19"/>
                <w:color w:val="auto"/>
              </w:rPr>
            </w:pPr>
          </w:p>
        </w:tc>
        <w:tc>
          <w:tcPr>
            <w:tcW w:w="260" w:type="dxa"/>
            <w:vAlign w:val="bottom"/>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32,333</w:t>
            </w:r>
          </w:p>
        </w:tc>
        <w:tc>
          <w:tcPr>
            <w:tcW w:w="6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-816610</wp:posOffset>
            </wp:positionV>
            <wp:extent cx="30384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extLst>
                    </a:blip>
                    <a:srcRect/>
                    <a:stretch>
                      <a:fillRect/>
                    </a:stretch>
                  </pic:blipFill>
                  <pic:spPr bwMode="auto">
                    <a:xfrm>
                      <a:off x="0" y="0"/>
                      <a:ext cx="3038475" cy="3810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-207010</wp:posOffset>
            </wp:positionV>
            <wp:extent cx="20351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extLst>
                    </a:blip>
                    <a:srcRect/>
                    <a:stretch>
                      <a:fillRect/>
                    </a:stretch>
                  </pic:blipFill>
                  <pic:spPr bwMode="auto">
                    <a:xfrm>
                      <a:off x="0" y="0"/>
                      <a:ext cx="2035175" cy="38100"/>
                    </a:xfrm>
                    <a:prstGeom prst="rect">
                      <a:avLst/>
                    </a:prstGeom>
                    <a:noFill/>
                  </pic:spPr>
                </pic:pic>
              </a:graphicData>
            </a:graphic>
          </wp:anchor>
        </w:drawing>
      </w:r>
    </w:p>
    <w:p>
      <w:pPr>
        <w:spacing w:after="0" w:line="8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Selling, general and administrative expenses were $65.4 million for the year ended December 31, 2025, compared to $33.0 million for the year ended December 31, 2024. The increase of $32.3 million was primarily due to an increase of $17.5 million in personnel-related costs due to higher selling, general and administrative headcount, including an increase of $8.6 million in stock-based compensation driven by awards granted under our equity compensation plans. There was also a $13.1 million increase in legal, consulting, and professional fees primarily related to developing our commercialization capabilities.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Other income (expense), net was $24.2 million for the year ended December 31, 2025, compared to $20.7 million for the year ended December 31, 2024. The increase of $3.5 million was primarily due to higher interest income driven by larger cash, cash equivalents and marketable securities balances, partially offset by an increase in interest expense associated with our term loan.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1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Income tax expense was $0.4 million for the years ended December 31, 2025 and 2024, respectively. This expense primarily relates to state income tax resulting from an increase in interest income.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w:t>
      </w:r>
    </w:p>
    <w:p>
      <w:pPr>
        <w:sectPr>
          <w:pgSz w:w="12240" w:h="15840" w:orient="portrait"/>
          <w:cols w:equalWidth="0" w:num="1">
            <w:col w:w="10460"/>
          </w:cols>
          <w:pgMar w:left="900" w:top="932" w:right="880" w:bottom="175"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460"/>
          </w:cols>
          <w:pgMar w:left="900" w:top="932" w:right="880" w:bottom="175" w:gutter="0" w:footer="0" w:header="0"/>
          <w:type w:val="continuous"/>
        </w:sectPr>
      </w:pPr>
    </w:p>
    <w:bookmarkStart w:id="115" w:name="page116"/>
    <w:bookmarkEnd w:id="115"/>
    <w:p>
      <w:pPr>
        <w:jc w:val="both"/>
        <w:spacing w:after="0" w:line="249" w:lineRule="auto"/>
        <w:rPr>
          <w:sz w:val="20"/>
          <w:szCs w:val="20"/>
          <w:color w:val="auto"/>
        </w:rPr>
      </w:pPr>
      <w:r>
        <w:rPr>
          <w:rFonts w:ascii="Times New Roman" w:cs="Times New Roman" w:eastAsia="Times New Roman" w:hAnsi="Times New Roman"/>
          <w:sz w:val="20"/>
          <w:szCs w:val="20"/>
          <w:color w:val="auto"/>
        </w:rPr>
        <w:t>product candidates to support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Annual Report on Form 10-K for additional risks associated with our substantial capital requirements.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December 31, 2025, we have received net proceeds of $144.5 million from sales of our Series Seed, Series A and Series B convertible preferred stock, $89.5 million from the merger with Gemini, $941.8 million from various private and public sales of our equity securities, and $27.6 million from borrowings under the Hercules Loan Agreement. As of December 31, 2025, we had cash, cash equivalents, and marketable securities of $791.2 million.</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incurred significant operating losses since inception and, as of December 31, 2025, had an accumulated deficit of $510.2 million. In addition, we expect to continue to incur significant and increasing expenses and operating losses for the foreseeable future.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cash flows for each period presented (in thousands):</w:t>
      </w:r>
    </w:p>
    <w:p>
      <w:pPr>
        <w:spacing w:after="0" w:line="13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4114165</wp:posOffset>
                </wp:positionH>
                <wp:positionV relativeFrom="paragraph">
                  <wp:posOffset>0</wp:posOffset>
                </wp:positionV>
                <wp:extent cx="251968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968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95pt,0pt" to="522.35pt,0pt" o:allowincell="f" strokecolor="#000000" strokeweight="0.75pt"/>
            </w:pict>
          </mc:Fallback>
        </mc:AlternateContent>
      </w:r>
    </w:p>
    <w:tbl>
      <w:tblPr>
        <w:tblLayout w:type="fixed"/>
        <w:tblInd w:w="0" w:type="dxa"/>
        <w:tblCellMar>
          <w:top w:w="0" w:type="dxa"/>
          <w:left w:w="0" w:type="dxa"/>
          <w:bottom w:w="0" w:type="dxa"/>
          <w:right w:w="0" w:type="dxa"/>
        </w:tblCellMar>
      </w:tblPr>
      <w:tr>
        <w:trPr>
          <w:trHeight w:val="196"/>
        </w:trPr>
        <w:tc>
          <w:tcPr>
            <w:tcW w:w="564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56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cash (used in) provided by:</w:t>
            </w:r>
          </w:p>
        </w:tc>
        <w:tc>
          <w:tcPr>
            <w:tcW w:w="840" w:type="dxa"/>
            <w:vAlign w:val="bottom"/>
            <w:tcBorders>
              <w:top w:val="single" w:sz="8" w:color="E0E0E0"/>
            </w:tcBorders>
            <w:shd w:val="clear" w:color="auto" w:fill="E0E0E0"/>
          </w:tcPr>
          <w:p>
            <w:pPr>
              <w:spacing w:after="0"/>
              <w:rPr>
                <w:sz w:val="20"/>
                <w:szCs w:val="20"/>
                <w:color w:val="auto"/>
              </w:rPr>
            </w:pPr>
          </w:p>
        </w:tc>
        <w:tc>
          <w:tcPr>
            <w:tcW w:w="1060" w:type="dxa"/>
            <w:vAlign w:val="bottom"/>
            <w:tcBorders>
              <w:top w:val="single" w:sz="8" w:color="auto"/>
            </w:tcBorders>
            <w:shd w:val="clear" w:color="auto" w:fill="E0E0E0"/>
          </w:tcPr>
          <w:p>
            <w:pPr>
              <w:spacing w:after="0"/>
              <w:rPr>
                <w:sz w:val="20"/>
                <w:szCs w:val="20"/>
                <w:color w:val="auto"/>
              </w:rPr>
            </w:pPr>
          </w:p>
        </w:tc>
        <w:tc>
          <w:tcPr>
            <w:tcW w:w="820" w:type="dxa"/>
            <w:vAlign w:val="bottom"/>
            <w:tcBorders>
              <w:top w:val="single" w:sz="8" w:color="auto"/>
            </w:tcBorders>
            <w:shd w:val="clear" w:color="auto" w:fill="E0E0E0"/>
          </w:tcPr>
          <w:p>
            <w:pPr>
              <w:spacing w:after="0"/>
              <w:rPr>
                <w:sz w:val="20"/>
                <w:szCs w:val="20"/>
                <w:color w:val="auto"/>
              </w:rPr>
            </w:pPr>
          </w:p>
        </w:tc>
        <w:tc>
          <w:tcPr>
            <w:tcW w:w="220" w:type="dxa"/>
            <w:vAlign w:val="bottom"/>
            <w:tcBorders>
              <w:top w:val="single" w:sz="8" w:color="E0E0E0"/>
            </w:tcBorders>
            <w:shd w:val="clear" w:color="auto" w:fill="E0E0E0"/>
          </w:tcPr>
          <w:p>
            <w:pPr>
              <w:spacing w:after="0"/>
              <w:rPr>
                <w:sz w:val="20"/>
                <w:szCs w:val="20"/>
                <w:color w:val="auto"/>
              </w:rPr>
            </w:pPr>
          </w:p>
        </w:tc>
        <w:tc>
          <w:tcPr>
            <w:tcW w:w="400" w:type="dxa"/>
            <w:vAlign w:val="bottom"/>
            <w:tcBorders>
              <w:top w:val="single" w:sz="8" w:color="auto"/>
            </w:tcBorders>
            <w:shd w:val="clear" w:color="auto" w:fill="E0E0E0"/>
          </w:tcPr>
          <w:p>
            <w:pPr>
              <w:spacing w:after="0"/>
              <w:rPr>
                <w:sz w:val="20"/>
                <w:szCs w:val="20"/>
                <w:color w:val="auto"/>
              </w:rPr>
            </w:pPr>
          </w:p>
        </w:tc>
        <w:tc>
          <w:tcPr>
            <w:tcW w:w="1460" w:type="dxa"/>
            <w:vAlign w:val="bottom"/>
            <w:tcBorders>
              <w:top w:val="single" w:sz="8" w:color="auto"/>
            </w:tcBorders>
            <w:shd w:val="clear" w:color="auto" w:fill="E0E0E0"/>
          </w:tcPr>
          <w:p>
            <w:pPr>
              <w:spacing w:after="0"/>
              <w:rPr>
                <w:sz w:val="20"/>
                <w:szCs w:val="20"/>
                <w:color w:val="auto"/>
              </w:rPr>
            </w:pPr>
          </w:p>
        </w:tc>
      </w:tr>
      <w:tr>
        <w:trPr>
          <w:trHeight w:val="244"/>
        </w:trPr>
        <w:tc>
          <w:tcPr>
            <w:tcW w:w="5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activities</w:t>
            </w:r>
          </w:p>
        </w:tc>
        <w:tc>
          <w:tcPr>
            <w:tcW w:w="840" w:type="dxa"/>
            <w:vAlign w:val="bottom"/>
          </w:tcPr>
          <w:p>
            <w:pPr>
              <w:spacing w:after="0"/>
              <w:rPr>
                <w:sz w:val="21"/>
                <w:szCs w:val="21"/>
                <w:color w:val="auto"/>
              </w:rPr>
            </w:pPr>
          </w:p>
        </w:tc>
        <w:tc>
          <w:tcPr>
            <w:tcW w:w="1060" w:type="dxa"/>
            <w:vAlign w:val="bottom"/>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(180,393)</w:t>
            </w:r>
          </w:p>
        </w:tc>
        <w:tc>
          <w:tcPr>
            <w:tcW w:w="220" w:type="dxa"/>
            <w:vAlign w:val="bottom"/>
          </w:tcPr>
          <w:p>
            <w:pPr>
              <w:spacing w:after="0"/>
              <w:rPr>
                <w:sz w:val="21"/>
                <w:szCs w:val="21"/>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(93,926)</w:t>
            </w:r>
          </w:p>
        </w:tc>
      </w:tr>
      <w:tr>
        <w:trPr>
          <w:trHeight w:val="244"/>
        </w:trPr>
        <w:tc>
          <w:tcPr>
            <w:tcW w:w="564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Investing activities</w:t>
            </w:r>
          </w:p>
        </w:tc>
        <w:tc>
          <w:tcPr>
            <w:tcW w:w="84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(394,299)</w:t>
            </w:r>
          </w:p>
        </w:tc>
        <w:tc>
          <w:tcPr>
            <w:tcW w:w="220" w:type="dxa"/>
            <w:vAlign w:val="bottom"/>
            <w:shd w:val="clear" w:color="auto" w:fill="E0E0E0"/>
          </w:tcPr>
          <w:p>
            <w:pPr>
              <w:spacing w:after="0"/>
              <w:rPr>
                <w:sz w:val="21"/>
                <w:szCs w:val="21"/>
                <w:color w:val="auto"/>
              </w:rPr>
            </w:pPr>
          </w:p>
        </w:tc>
        <w:tc>
          <w:tcPr>
            <w:tcW w:w="400" w:type="dxa"/>
            <w:vAlign w:val="bottom"/>
            <w:shd w:val="clear" w:color="auto" w:fill="E0E0E0"/>
          </w:tcPr>
          <w:p>
            <w:pPr>
              <w:spacing w:after="0"/>
              <w:rPr>
                <w:sz w:val="21"/>
                <w:szCs w:val="21"/>
                <w:color w:val="auto"/>
              </w:rPr>
            </w:pPr>
          </w:p>
        </w:tc>
        <w:tc>
          <w:tcPr>
            <w:tcW w:w="1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(292,332)</w:t>
            </w:r>
          </w:p>
        </w:tc>
      </w:tr>
      <w:tr>
        <w:trPr>
          <w:trHeight w:val="244"/>
        </w:trPr>
        <w:tc>
          <w:tcPr>
            <w:tcW w:w="564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Financing activities</w:t>
            </w:r>
          </w:p>
        </w:tc>
        <w:tc>
          <w:tcPr>
            <w:tcW w:w="840" w:type="dxa"/>
            <w:vAlign w:val="bottom"/>
            <w:tcBorders>
              <w:bottom w:val="single" w:sz="8" w:color="E0E0E0"/>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473,407</w:t>
            </w:r>
          </w:p>
        </w:tc>
        <w:tc>
          <w:tcPr>
            <w:tcW w:w="220" w:type="dxa"/>
            <w:vAlign w:val="bottom"/>
            <w:tcBorders>
              <w:bottom w:val="single" w:sz="8" w:color="E0E0E0"/>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218,314</w:t>
            </w:r>
          </w:p>
        </w:tc>
      </w:tr>
      <w:tr>
        <w:trPr>
          <w:trHeight w:val="239"/>
        </w:trPr>
        <w:tc>
          <w:tcPr>
            <w:tcW w:w="56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Net decrease in cash, cash equivalents and restricted cash</w:t>
            </w:r>
          </w:p>
        </w:tc>
        <w:tc>
          <w:tcPr>
            <w:tcW w:w="840" w:type="dxa"/>
            <w:vAlign w:val="bottom"/>
            <w:shd w:val="clear" w:color="auto" w:fill="E0E0E0"/>
          </w:tcPr>
          <w:p>
            <w:pPr>
              <w:spacing w:after="0"/>
              <w:rPr>
                <w:sz w:val="20"/>
                <w:szCs w:val="20"/>
                <w:color w:val="auto"/>
              </w:rPr>
            </w:pPr>
          </w:p>
        </w:tc>
        <w:tc>
          <w:tcPr>
            <w:tcW w:w="1060" w:type="dxa"/>
            <w:vAlign w:val="bottom"/>
            <w:tcBorders>
              <w:bottom w:val="single" w:sz="8" w:color="auto"/>
            </w:tcBorders>
            <w:shd w:val="clear" w:color="auto" w:fill="E0E0E0"/>
          </w:tcPr>
          <w:p>
            <w:pPr>
              <w:jc w:val="right"/>
              <w:ind w:right="86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(101,285)</w:t>
            </w:r>
          </w:p>
        </w:tc>
        <w:tc>
          <w:tcPr>
            <w:tcW w:w="220" w:type="dxa"/>
            <w:vAlign w:val="bottom"/>
            <w:shd w:val="clear" w:color="auto" w:fill="E0E0E0"/>
          </w:tcPr>
          <w:p>
            <w:pPr>
              <w:spacing w:after="0"/>
              <w:rPr>
                <w:sz w:val="20"/>
                <w:szCs w:val="20"/>
                <w:color w:val="auto"/>
              </w:rPr>
            </w:pPr>
          </w:p>
        </w:tc>
        <w:tc>
          <w:tcPr>
            <w:tcW w:w="400" w:type="dxa"/>
            <w:vAlign w:val="bottom"/>
            <w:tcBorders>
              <w:bottom w:val="single" w:sz="8" w:color="auto"/>
            </w:tcBorders>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(167,944)</w:t>
            </w:r>
          </w:p>
        </w:tc>
      </w:tr>
      <w:tr>
        <w:trPr>
          <w:trHeight w:val="20"/>
        </w:trPr>
        <w:tc>
          <w:tcPr>
            <w:tcW w:w="5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net cash used in operating activities of $180.4 million was primarily due to our net loss of $212.2 million, offset by changes in operating assets and liabilities of $3.5 million and non-cash expenses of $28.3 million which primarily related to stock-based compensation expense of $34.3 million, reduced by $8.5 million from amortization and accretion of investment securities.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2024, net cash used in operating activities of $93.9 million was primarily due to our net loss of $109.4 million, offset by changes in operating assets and liabilities of $3.2 million and non-cash expenses of $12.2 million which primarily related to stock-based compensation expense of $16.8 million, reduced by $5.3 million from amortization and accretion of investment securities.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2025, net cash used in investing activities was primarily due to purchases of marketable securities of $849.6 million, partially offset by maturities of marketable securities of $456.2 million.</w:t>
      </w:r>
    </w:p>
    <w:p>
      <w:pPr>
        <w:spacing w:after="0" w:line="4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2024, net cash used in investing activities was primarily due to purchases of marketable securities of $386.6 million, partially offset by maturities of marketable securities of $94.8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 xml:space="preserve">During the year ended December 31, 2025, net cash provided by financing activities of $473.4 million consisted primarily of </w:t>
      </w:r>
      <w:r>
        <w:rPr>
          <w:rFonts w:ascii="Times New Roman" w:cs="Times New Roman" w:eastAsia="Times New Roman" w:hAnsi="Times New Roman"/>
          <w:sz w:val="19"/>
          <w:szCs w:val="19"/>
          <w:color w:val="auto"/>
        </w:rPr>
        <w:t xml:space="preserve">aggregate net proceeds </w:t>
      </w:r>
      <w:r>
        <w:rPr>
          <w:rFonts w:ascii="Times New Roman" w:cs="Times New Roman" w:eastAsia="Times New Roman" w:hAnsi="Times New Roman"/>
          <w:sz w:val="20"/>
          <w:szCs w:val="20"/>
          <w:color w:val="auto"/>
        </w:rPr>
        <w:t>from sales of common stock and pre-funded warrants</w:t>
      </w:r>
      <w:r>
        <w:rPr>
          <w:rFonts w:ascii="Times New Roman" w:cs="Times New Roman" w:eastAsia="Times New Roman" w:hAnsi="Times New Roman"/>
          <w:sz w:val="19"/>
          <w:szCs w:val="19"/>
          <w:color w:val="auto"/>
        </w:rPr>
        <w:t xml:space="preserve"> of $454.4 million from our underwritten offerings in</w:t>
      </w:r>
    </w:p>
    <w:p>
      <w:pPr>
        <w:sectPr>
          <w:pgSz w:w="12240" w:h="15840" w:orient="portrait"/>
          <w:cols w:equalWidth="0" w:num="1">
            <w:col w:w="10460"/>
          </w:cols>
          <w:pgMar w:left="900" w:top="930" w:right="880" w:bottom="175"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460"/>
          </w:cols>
          <w:pgMar w:left="900" w:top="930" w:right="880" w:bottom="175" w:gutter="0" w:footer="0" w:header="0"/>
          <w:type w:val="continuous"/>
        </w:sectPr>
      </w:pPr>
    </w:p>
    <w:bookmarkStart w:id="116" w:name="page117"/>
    <w:bookmarkEnd w:id="116"/>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January and October 2025, aggregate net proceeds of $9.8 million from at-the-market offerings and proceeds from the exercise of stock options of $8.6 million.</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2024, net cash provided by financing activities of $218.3 million consisted primarily of net proceeds of $172.5 million from the June 2024 underwritten offering, net proceeds from the issuance of long-term debt of $27.6 million, aggregate net proceeds of $14.8 million from at-the-market offerings, and proceeds from the exercise of stock options of $3.0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expect our expenses to continue to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Our future capital requirements will depend on and could increase significantly as a result of many factors, including:</w:t>
      </w:r>
    </w:p>
    <w:p>
      <w:pPr>
        <w:spacing w:after="0" w:line="96" w:lineRule="exact"/>
        <w:rPr>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preclinical and clinical programs we decide to pursue;</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raise additional funds to the extent necessary to complete clinical development of and commercialize our product candidates;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new and maintain existing licensing or collaboration arrangements and the progress of the development efforts of third parties with whom we may enter into such arrangements;</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current research and development programs and to establish new programs;</w:t>
      </w:r>
    </w:p>
    <w:p>
      <w:pPr>
        <w:spacing w:after="0" w:line="133"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successful initiation, enrollment and completion of clinical trials with safety, tolerability and efficacy profiles that are satisfactory to the FDA or any comparable foreign regulatory authority;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receipt and related terms of regulatory approvals from applicable regulatory authorities for any product candidates;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raw materials for use in production of our product candidates;</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of agreements with third-party manufacturers for supply of product candidate components for our clinical trials;</w:t>
      </w:r>
    </w:p>
    <w:p>
      <w:pPr>
        <w:spacing w:after="0" w:line="64"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patents, trade secret protection and regulatory exclusivity, both in the United States and internationally;</w:t>
      </w:r>
    </w:p>
    <w:p>
      <w:pPr>
        <w:spacing w:after="0" w:line="64"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other rights in our intellectual property portfolio;</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commercializing product candidates, if and when approved, whether alone or in collaboration with others; and</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third-party insurance coverage and adequate reimbursement for any approved products.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w:t>
      </w:r>
    </w:p>
    <w:p>
      <w:pPr>
        <w:sectPr>
          <w:pgSz w:w="12240" w:h="15840" w:orient="portrait"/>
          <w:cols w:equalWidth="0" w:num="1">
            <w:col w:w="10460"/>
          </w:cols>
          <w:pgMar w:left="900" w:top="930" w:right="880" w:bottom="175" w:gutter="0" w:footer="0" w:header="0"/>
        </w:sect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460"/>
          </w:cols>
          <w:pgMar w:left="900" w:top="930" w:right="880" w:bottom="175" w:gutter="0" w:footer="0" w:header="0"/>
          <w:type w:val="continuous"/>
        </w:sectPr>
      </w:pPr>
    </w:p>
    <w:bookmarkStart w:id="117" w:name="page118"/>
    <w:bookmarkEnd w:id="117"/>
    <w:p>
      <w:pPr>
        <w:jc w:val="both"/>
        <w:ind w:left="7"/>
        <w:spacing w:after="0" w:line="252" w:lineRule="auto"/>
        <w:rPr>
          <w:sz w:val="20"/>
          <w:szCs w:val="20"/>
          <w:color w:val="auto"/>
        </w:rPr>
      </w:pPr>
      <w:r>
        <w:rPr>
          <w:rFonts w:ascii="Times New Roman" w:cs="Times New Roman" w:eastAsia="Times New Roman" w:hAnsi="Times New Roman"/>
          <w:sz w:val="20"/>
          <w:szCs w:val="20"/>
          <w:color w:val="auto"/>
        </w:rPr>
        <w:t>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Contractual Obligations and Other Commitments</w:t>
      </w:r>
    </w:p>
    <w:p>
      <w:pPr>
        <w:spacing w:after="0" w:line="124"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contractual obligations as of December 31, 2025 and the effects that such obligations are expected to have on our liquidity and cash flows in future periods (in thousands):</w:t>
      </w:r>
    </w:p>
    <w:p>
      <w:pPr>
        <w:spacing w:after="0" w:line="4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8"/>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0"/>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50"/>
              <w:spacing w:after="0" w:line="160" w:lineRule="exact"/>
              <w:rPr>
                <w:sz w:val="20"/>
                <w:szCs w:val="20"/>
                <w:color w:val="auto"/>
              </w:rPr>
            </w:pPr>
            <w:r>
              <w:rPr>
                <w:rFonts w:ascii="Times New Roman" w:cs="Times New Roman" w:eastAsia="Times New Roman" w:hAnsi="Times New Roman"/>
                <w:sz w:val="16"/>
                <w:szCs w:val="16"/>
                <w:b w:val="1"/>
                <w:bCs w:val="1"/>
                <w:color w:val="auto"/>
              </w:rPr>
              <w:t>1 to 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50"/>
              <w:spacing w:after="0" w:line="160" w:lineRule="exact"/>
              <w:rPr>
                <w:sz w:val="20"/>
                <w:szCs w:val="20"/>
                <w:color w:val="auto"/>
              </w:rPr>
            </w:pPr>
            <w:r>
              <w:rPr>
                <w:rFonts w:ascii="Times New Roman" w:cs="Times New Roman" w:eastAsia="Times New Roman" w:hAnsi="Times New Roman"/>
                <w:sz w:val="16"/>
                <w:szCs w:val="16"/>
                <w:b w:val="1"/>
                <w:bCs w:val="1"/>
                <w:color w:val="auto"/>
              </w:rPr>
              <w:t>3 to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0"/>
              <w:spacing w:after="0" w:line="160"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42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20" w:type="dxa"/>
            <w:vAlign w:val="bottom"/>
          </w:tcPr>
          <w:p>
            <w:pPr>
              <w:spacing w:after="0"/>
              <w:rPr>
                <w:sz w:val="17"/>
                <w:szCs w:val="17"/>
                <w:color w:val="auto"/>
              </w:rPr>
            </w:pPr>
          </w:p>
        </w:tc>
      </w:tr>
      <w:tr>
        <w:trPr>
          <w:trHeight w:val="225"/>
        </w:trPr>
        <w:tc>
          <w:tcPr>
            <w:tcW w:w="4320" w:type="dxa"/>
            <w:vAlign w:val="bottom"/>
            <w:gridSpan w:val="3"/>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Operating lease commitments</w:t>
            </w:r>
            <w:r>
              <w:rPr>
                <w:rFonts w:ascii="Times New Roman" w:cs="Times New Roman" w:eastAsia="Times New Roman" w:hAnsi="Times New Roman"/>
                <w:sz w:val="26"/>
                <w:szCs w:val="26"/>
                <w:color w:val="auto"/>
                <w:vertAlign w:val="superscript"/>
              </w:rPr>
              <w:t>(1)</w:t>
            </w:r>
          </w:p>
        </w:tc>
        <w:tc>
          <w:tcPr>
            <w:tcW w:w="180" w:type="dxa"/>
            <w:vAlign w:val="bottom"/>
            <w:shd w:val="clear" w:color="auto" w:fill="E0E0E0"/>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E0E0E0"/>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3,130</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0E0E0"/>
          </w:tcPr>
          <w:p>
            <w:pPr>
              <w:jc w:val="right"/>
              <w:ind w:right="12"/>
              <w:spacing w:after="0" w:line="225" w:lineRule="exact"/>
              <w:rPr>
                <w:sz w:val="20"/>
                <w:szCs w:val="20"/>
                <w:color w:val="auto"/>
              </w:rPr>
            </w:pPr>
            <w:r>
              <w:rPr>
                <w:rFonts w:ascii="Times New Roman" w:cs="Times New Roman" w:eastAsia="Times New Roman" w:hAnsi="Times New Roman"/>
                <w:sz w:val="20"/>
                <w:szCs w:val="20"/>
                <w:color w:val="auto"/>
              </w:rPr>
              <w:t>738</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E0E0E0"/>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rPr>
              <w:t>1,500</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E0E0E0"/>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rPr>
              <w:t>892</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E0E0E0"/>
          </w:tcPr>
          <w:p>
            <w:pPr>
              <w:ind w:left="720"/>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225"/>
        </w:trPr>
        <w:tc>
          <w:tcPr>
            <w:tcW w:w="430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3,130</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ind w:right="12"/>
              <w:spacing w:after="0" w:line="225" w:lineRule="exact"/>
              <w:rPr>
                <w:sz w:val="20"/>
                <w:szCs w:val="20"/>
                <w:color w:val="auto"/>
              </w:rPr>
            </w:pPr>
            <w:r>
              <w:rPr>
                <w:rFonts w:ascii="Times New Roman" w:cs="Times New Roman" w:eastAsia="Times New Roman" w:hAnsi="Times New Roman"/>
                <w:sz w:val="20"/>
                <w:szCs w:val="20"/>
                <w:color w:val="auto"/>
              </w:rPr>
              <w:t>738</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rPr>
              <w:t>1,500</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ind w:right="10"/>
              <w:spacing w:after="0" w:line="225" w:lineRule="exact"/>
              <w:rPr>
                <w:sz w:val="20"/>
                <w:szCs w:val="20"/>
                <w:color w:val="auto"/>
              </w:rPr>
            </w:pPr>
            <w:r>
              <w:rPr>
                <w:rFonts w:ascii="Times New Roman" w:cs="Times New Roman" w:eastAsia="Times New Roman" w:hAnsi="Times New Roman"/>
                <w:sz w:val="20"/>
                <w:szCs w:val="20"/>
                <w:color w:val="auto"/>
              </w:rPr>
              <w:t>892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tcPr>
          <w:p>
            <w:pPr>
              <w:ind w:left="7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-596265</wp:posOffset>
            </wp:positionV>
            <wp:extent cx="39128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extLst>
                    </a:blip>
                    <a:srcRect/>
                    <a:stretch>
                      <a:fillRect/>
                    </a:stretch>
                  </pic:blipFill>
                  <pic:spPr bwMode="auto">
                    <a:xfrm>
                      <a:off x="0" y="0"/>
                      <a:ext cx="3912870" cy="38100"/>
                    </a:xfrm>
                    <a:prstGeom prst="rect">
                      <a:avLst/>
                    </a:prstGeom>
                    <a:noFill/>
                  </pic:spPr>
                </pic:pic>
              </a:graphicData>
            </a:graphic>
          </wp:anchor>
        </w:drawing>
      </w:r>
    </w:p>
    <w:p>
      <w:pPr>
        <w:spacing w:after="0" w:line="85" w:lineRule="exact"/>
        <w:rPr>
          <w:sz w:val="20"/>
          <w:szCs w:val="20"/>
          <w:color w:val="auto"/>
        </w:rPr>
      </w:pPr>
    </w:p>
    <w:p>
      <w:pPr>
        <w:jc w:val="both"/>
        <w:ind w:left="7" w:right="20" w:hanging="7"/>
        <w:spacing w:after="0" w:line="258" w:lineRule="auto"/>
        <w:tabs>
          <w:tab w:leader="none" w:pos="24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contractual rent payments due for our leased and subleased office spaces in Watertown, Massachusetts as of December 31, 2025 and include contractual payments due under our forward-starting lease which is expected to commence in December 2026. The term date for our existing lease is December 31, 2029 and the term date for our existing sublease is November 30, 2026.</w:t>
      </w:r>
    </w:p>
    <w:p>
      <w:pPr>
        <w:spacing w:after="0" w:line="74"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80"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20"/>
          <w:szCs w:val="20"/>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consolidated financial statements.</w:t>
      </w:r>
    </w:p>
    <w:p>
      <w:pPr>
        <w:spacing w:after="0" w:line="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4" w:lineRule="exact"/>
        <w:rPr>
          <w:sz w:val="20"/>
          <w:szCs w:val="20"/>
          <w:color w:val="auto"/>
        </w:rPr>
      </w:pPr>
    </w:p>
    <w:p>
      <w:pPr>
        <w:jc w:val="both"/>
        <w:ind w:left="7"/>
        <w:spacing w:after="0" w:line="245"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and costs and expenses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2" w:lineRule="exact"/>
        <w:rPr>
          <w:sz w:val="20"/>
          <w:szCs w:val="20"/>
          <w:color w:val="auto"/>
        </w:rPr>
      </w:pPr>
    </w:p>
    <w:p>
      <w:pPr>
        <w:jc w:val="both"/>
        <w:ind w:left="7" w:right="20"/>
        <w:spacing w:after="0" w:line="258" w:lineRule="auto"/>
        <w:rPr>
          <w:sz w:val="20"/>
          <w:szCs w:val="20"/>
          <w:color w:val="auto"/>
        </w:rPr>
      </w:pPr>
      <w:r>
        <w:rPr>
          <w:rFonts w:ascii="Times New Roman" w:cs="Times New Roman" w:eastAsia="Times New Roman" w:hAnsi="Times New Roman"/>
          <w:sz w:val="20"/>
          <w:szCs w:val="20"/>
          <w:color w:val="auto"/>
        </w:rPr>
        <w:t xml:space="preserve">While our significant accounting policies are described in more detail in </w:t>
      </w:r>
      <w:r>
        <w:rPr>
          <w:rFonts w:ascii="Times New Roman" w:cs="Times New Roman" w:eastAsia="Times New Roman" w:hAnsi="Times New Roman"/>
          <w:sz w:val="20"/>
          <w:szCs w:val="20"/>
          <w:i w:val="1"/>
          <w:iCs w:val="1"/>
          <w:color w:val="auto"/>
        </w:rPr>
        <w:t>Note 2 - Summary of Significant Accounting Policies</w:t>
      </w:r>
      <w:r>
        <w:rPr>
          <w:rFonts w:ascii="Times New Roman" w:cs="Times New Roman" w:eastAsia="Times New Roman" w:hAnsi="Times New Roman"/>
          <w:sz w:val="20"/>
          <w:szCs w:val="20"/>
          <w:color w:val="auto"/>
        </w:rPr>
        <w:t xml:space="preserve"> to our consolidated financial statements, we believe that the following accounting policies are those most critical to the judgments and estimates used in the preparation of our consolidated financial statements.</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Contract Costs and Accruals</w:t>
      </w:r>
    </w:p>
    <w:p>
      <w:pPr>
        <w:spacing w:after="0" w:line="120" w:lineRule="exact"/>
        <w:rPr>
          <w:sz w:val="20"/>
          <w:szCs w:val="20"/>
          <w:color w:val="auto"/>
        </w:rPr>
      </w:pPr>
    </w:p>
    <w:p>
      <w:pPr>
        <w:jc w:val="both"/>
        <w:ind w:left="7"/>
        <w:spacing w:after="0" w:line="244"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accrued and prepaid research and development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spacing w:after="0" w:line="100" w:lineRule="exact"/>
        <w:rPr>
          <w:sz w:val="20"/>
          <w:szCs w:val="20"/>
          <w:color w:val="auto"/>
        </w:rPr>
      </w:pPr>
    </w:p>
    <w:p>
      <w:pPr>
        <w:ind w:left="727" w:hanging="367"/>
        <w:spacing w:after="0"/>
        <w:tabs>
          <w:tab w:leader="none" w:pos="727"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vendors in connection with preclinical development activities;</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CROs and investigative sites in connection with preclinical studies and clinical trials; and</w:t>
      </w:r>
    </w:p>
    <w:p>
      <w:pPr>
        <w:spacing w:after="0" w:line="133" w:lineRule="exact"/>
        <w:rPr>
          <w:rFonts w:ascii="Arial" w:cs="Arial" w:eastAsia="Arial" w:hAnsi="Arial"/>
          <w:sz w:val="20"/>
          <w:szCs w:val="20"/>
          <w:color w:val="auto"/>
        </w:rPr>
      </w:pPr>
    </w:p>
    <w:p>
      <w:pPr>
        <w:ind w:left="727" w:hanging="367"/>
        <w:spacing w:after="0"/>
        <w:tabs>
          <w:tab w:leader="none" w:pos="727"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CDMOs in connection with the production of preclinical study and clinical trial materials.</w:t>
      </w:r>
    </w:p>
    <w:p>
      <w:pPr>
        <w:sectPr>
          <w:pgSz w:w="12240" w:h="15840" w:orient="portrait"/>
          <w:cols w:equalWidth="0" w:num="1">
            <w:col w:w="10467"/>
          </w:cols>
          <w:pgMar w:left="893" w:top="930" w:right="880" w:bottom="17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467"/>
          </w:cols>
          <w:pgMar w:left="893" w:top="930" w:right="880" w:bottom="175" w:gutter="0" w:footer="0" w:header="0"/>
          <w:type w:val="continuous"/>
        </w:sectPr>
      </w:pPr>
    </w:p>
    <w:bookmarkStart w:id="118" w:name="page119"/>
    <w:bookmarkEnd w:id="118"/>
    <w:p>
      <w:pPr>
        <w:jc w:val="both"/>
        <w:spacing w:after="0" w:line="245" w:lineRule="auto"/>
        <w:rPr>
          <w:sz w:val="20"/>
          <w:szCs w:val="20"/>
          <w:color w:val="auto"/>
        </w:rPr>
      </w:pPr>
      <w:r>
        <w:rPr>
          <w:rFonts w:ascii="Times New Roman" w:cs="Times New Roman" w:eastAsia="Times New Roman" w:hAnsi="Times New Roman"/>
          <w:sz w:val="20"/>
          <w:szCs w:val="20"/>
          <w:color w:val="auto"/>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fair value of each stock option grant is estimated on the date of grant using the Black-Scholes option-pricing model, which requires inputs based on certain subjective assumptions, including:</w:t>
      </w:r>
    </w:p>
    <w:p>
      <w:pPr>
        <w:spacing w:after="0" w:line="64" w:lineRule="exact"/>
        <w:rPr>
          <w:sz w:val="20"/>
          <w:szCs w:val="20"/>
          <w:color w:val="auto"/>
        </w:rPr>
      </w:pPr>
    </w:p>
    <w:p>
      <w:pPr>
        <w:jc w:val="both"/>
        <w:ind w:left="720" w:hanging="367"/>
        <w:spacing w:after="0" w:line="252"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Fair value of our common stock: </w:t>
      </w:r>
      <w:r>
        <w:rPr>
          <w:rFonts w:ascii="Times New Roman" w:cs="Times New Roman" w:eastAsia="Times New Roman" w:hAnsi="Times New Roman"/>
          <w:sz w:val="20"/>
          <w:szCs w:val="20"/>
          <w:color w:val="auto"/>
        </w:rPr>
        <w:t>Prior to the merger with Gemini closing, we determined the estimated fair value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common-stock based on third-party valuations and certain other relevant objective and subjective factors. See </w:t>
      </w:r>
      <w:r>
        <w:rPr>
          <w:rFonts w:ascii="Times New Roman" w:cs="Times New Roman" w:eastAsia="Times New Roman" w:hAnsi="Times New Roman"/>
          <w:sz w:val="20"/>
          <w:szCs w:val="20"/>
          <w:i w:val="1"/>
          <w:iCs w:val="1"/>
          <w:color w:val="auto"/>
        </w:rPr>
        <w:t xml:space="preserve">Determination of the Fair Value of Common Stock </w:t>
      </w:r>
      <w:r>
        <w:rPr>
          <w:rFonts w:ascii="Times New Roman" w:cs="Times New Roman" w:eastAsia="Times New Roman" w:hAnsi="Times New Roman"/>
          <w:sz w:val="20"/>
          <w:szCs w:val="20"/>
          <w:color w:val="auto"/>
        </w:rPr>
        <w:t>below for additional details. After the close of the merger,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our common stock is determined based on the quoted market price of our common stock.</w:t>
      </w:r>
    </w:p>
    <w:p>
      <w:pPr>
        <w:spacing w:after="0" w:line="87" w:lineRule="exact"/>
        <w:rPr>
          <w:rFonts w:ascii="Arial" w:cs="Arial" w:eastAsia="Arial" w:hAnsi="Arial"/>
          <w:sz w:val="20"/>
          <w:szCs w:val="20"/>
          <w:color w:val="auto"/>
        </w:rPr>
      </w:pPr>
    </w:p>
    <w:p>
      <w:pPr>
        <w:jc w:val="both"/>
        <w:ind w:left="720" w:hanging="367"/>
        <w:spacing w:after="0" w:line="249"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stock price volatility: </w:t>
      </w:r>
      <w:r>
        <w:rPr>
          <w:rFonts w:ascii="Times New Roman" w:cs="Times New Roman" w:eastAsia="Times New Roman" w:hAnsi="Times New Roman"/>
          <w:sz w:val="20"/>
          <w:szCs w:val="20"/>
          <w:color w:val="auto"/>
        </w:rPr>
        <w:t>Due to the lack of company-specific historical and implied volatility data, we determine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w:t>
      </w:r>
    </w:p>
    <w:p>
      <w:pPr>
        <w:spacing w:after="0" w:line="90" w:lineRule="exact"/>
        <w:rPr>
          <w:rFonts w:ascii="Arial" w:cs="Arial" w:eastAsia="Arial" w:hAnsi="Arial"/>
          <w:sz w:val="20"/>
          <w:szCs w:val="20"/>
          <w:color w:val="auto"/>
        </w:rPr>
      </w:pPr>
    </w:p>
    <w:p>
      <w:pPr>
        <w:jc w:val="both"/>
        <w:ind w:left="720" w:hanging="367"/>
        <w:spacing w:after="0" w:line="258"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term of the option. </w:t>
      </w:r>
      <w:r>
        <w:rPr>
          <w:rFonts w:ascii="Times New Roman" w:cs="Times New Roman" w:eastAsia="Times New Roman" w:hAnsi="Times New Roman"/>
          <w:sz w:val="20"/>
          <w:szCs w:val="20"/>
          <w:color w:val="auto"/>
        </w:rPr>
        <w:t>The expected term of our stock options granted to employees has been determined utilizing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“simplified” method for awards that qualify as “plain-vanilla” options, using the average between the vesting date and the contractual term.</w:t>
      </w:r>
    </w:p>
    <w:p>
      <w:pPr>
        <w:spacing w:after="0" w:line="81"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The risk-free interest rate is determined by reference to the U.S. Treasury yield curve in effect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time of grant of the award for time periods approximately equal to the expected term of the award.</w:t>
      </w:r>
    </w:p>
    <w:p>
      <w:pPr>
        <w:spacing w:after="0" w:line="64" w:lineRule="exact"/>
        <w:rPr>
          <w:rFonts w:ascii="Arial" w:cs="Arial" w:eastAsia="Arial" w:hAnsi="Arial"/>
          <w:sz w:val="20"/>
          <w:szCs w:val="20"/>
          <w:color w:val="auto"/>
        </w:rPr>
      </w:pPr>
    </w:p>
    <w:p>
      <w:pPr>
        <w:ind w:left="720" w:right="20" w:hanging="367"/>
        <w:spacing w:after="0" w:line="276" w:lineRule="auto"/>
        <w:tabs>
          <w:tab w:leader="none" w:pos="7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We have not paid, and do not anticipate paying, cash dividends on our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the expected dividend yield is assumed to be zero.</w:t>
      </w:r>
    </w:p>
    <w:p>
      <w:pPr>
        <w:spacing w:after="0" w:line="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any assumptions used in the Black-Scholes option pricing model changed significantly, stock-based compensation expense for future awards may differ materially compared with the expense for awards granted previously. We will continue to use judgment in evaluating the assumptions related to our stock-based compensation on a prospective basis. As we continue to accumulate additional data related to our common stock, we may refine our estimates, which could materially impact our future stock-based compensation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the Fair Value of Common Stock</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Prior to the merger with Gemini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20"/>
          <w:szCs w:val="20"/>
          <w:i w:val="1"/>
          <w:iCs w:val="1"/>
          <w:color w:val="auto"/>
        </w:rPr>
        <w:t>Valuation of Privately-Held-Company Equity Securities Issued as Compensation</w:t>
      </w:r>
      <w:r>
        <w:rPr>
          <w:rFonts w:ascii="Times New Roman" w:cs="Times New Roman" w:eastAsia="Times New Roman" w:hAnsi="Times New Roman"/>
          <w:sz w:val="20"/>
          <w:szCs w:val="20"/>
          <w:color w:val="auto"/>
        </w:rPr>
        <w:t>.</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460"/>
          </w:cols>
          <w:pgMar w:left="900" w:top="930" w:right="880" w:bottom="175" w:gutter="0" w:footer="0" w:header="0"/>
          <w:type w:val="continuous"/>
        </w:sectPr>
      </w:pPr>
    </w:p>
    <w:bookmarkStart w:id="119" w:name="page120"/>
    <w:bookmarkEnd w:id="119"/>
    <w:p>
      <w:pPr>
        <w:jc w:val="both"/>
        <w:spacing w:after="0" w:line="246" w:lineRule="auto"/>
        <w:rPr>
          <w:sz w:val="20"/>
          <w:szCs w:val="20"/>
          <w:color w:val="auto"/>
        </w:rPr>
      </w:pPr>
      <w:r>
        <w:rPr>
          <w:rFonts w:ascii="Times New Roman" w:cs="Times New Roman" w:eastAsia="Times New Roman" w:hAnsi="Times New Roman"/>
          <w:sz w:val="20"/>
          <w:szCs w:val="20"/>
          <w:color w:val="auto"/>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and Adopted Accounting Pronouncements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20"/>
          <w:szCs w:val="20"/>
          <w:i w:val="1"/>
          <w:iCs w:val="1"/>
          <w:color w:val="auto"/>
        </w:rPr>
        <w:t>Note 2 - Summary of Significant Accounting Policies</w:t>
      </w:r>
      <w:r>
        <w:rPr>
          <w:rFonts w:ascii="Times New Roman" w:cs="Times New Roman" w:eastAsia="Times New Roman" w:hAnsi="Times New Roman"/>
          <w:sz w:val="20"/>
          <w:szCs w:val="20"/>
          <w:color w:val="auto"/>
        </w:rPr>
        <w:t xml:space="preserve"> to our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As of December 31, 2025, we had cash, cash equivalents and marketable securities of $791.2 million. As of December 31, 2025, our cash equivalents consisted of U.S. treasury and corporate debt securities with original maturities of three months or less and our marketable securities consisted of U.S. treasury, U.S. government agency, and corporate debt securities which were classified as available-for-sale securities. As of December 31, 2024, we had cash, cash equivalents, and marketable securities of $489.9 million. As of December 31, 2024, our cash equivalents </w:t>
      </w:r>
      <w:r>
        <w:rPr>
          <w:rFonts w:ascii="Times New Roman" w:cs="Times New Roman" w:eastAsia="Times New Roman" w:hAnsi="Times New Roman"/>
          <w:sz w:val="19"/>
          <w:szCs w:val="19"/>
          <w:color w:val="auto"/>
        </w:rPr>
        <w:t>consisted of money market funds and U.S. treasury securities and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marketable securities consisted of U.S. treasury securities and U.S. government agency securities which were classified as available-for-sale securities. </w:t>
      </w:r>
      <w:r>
        <w:rPr>
          <w:rFonts w:ascii="Times New Roman" w:cs="Times New Roman" w:eastAsia="Times New Roman" w:hAnsi="Times New Roman"/>
          <w:sz w:val="20"/>
          <w:szCs w:val="20"/>
          <w:color w:val="auto"/>
        </w:rPr>
        <w:t>Our primary investment objectives are the preservation of capital and the maintenance of liquidity,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December 31, 2025, the net fair value of our marketable securities would decrease by approximately $5.2 million.</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and contract research. We do not believe that inflation had a material effect on our business, financial condition or results of operations during the years ended December 31, 2025, 2024 and 2023.</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460"/>
          </w:cols>
          <w:pgMar w:left="900" w:top="930" w:right="880" w:bottom="175" w:gutter="0" w:footer="0" w:header="0"/>
          <w:type w:val="continuous"/>
        </w:sectPr>
      </w:pPr>
    </w:p>
    <w:bookmarkStart w:id="120" w:name="page121"/>
    <w:bookmarkEnd w:id="120"/>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20"/>
          <w:szCs w:val="20"/>
          <w:b w:val="1"/>
          <w:bCs w:val="1"/>
          <w:color w:val="auto"/>
        </w:rPr>
        <w:t>CONSOLIDATED FINANCIAL STATEMENTS AND SUPPLEMENTARY DATA</w:t>
      </w:r>
    </w:p>
    <w:p>
      <w:pPr>
        <w:spacing w:after="0" w:line="2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24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4"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6169025</wp:posOffset>
                </wp:positionH>
                <wp:positionV relativeFrom="paragraph">
                  <wp:posOffset>15240</wp:posOffset>
                </wp:positionV>
                <wp:extent cx="46482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8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75pt,1.2pt" to="522.35pt,1.2pt" o:allowincell="f" strokecolor="#000000" strokeweight="0.5pt"/>
            </w:pict>
          </mc:Fallback>
        </mc:AlternateContent>
      </w:r>
    </w:p>
    <w:p>
      <w:pPr>
        <w:spacing w:after="0" w:line="17" w:lineRule="exact"/>
        <w:rPr>
          <w:sz w:val="20"/>
          <w:szCs w:val="20"/>
          <w:color w:val="auto"/>
        </w:rPr>
      </w:pP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ID: 42)</w:t>
      </w:r>
      <w:r>
        <w:rPr>
          <w:sz w:val="20"/>
          <w:szCs w:val="20"/>
          <w:color w:val="auto"/>
        </w:rPr>
        <w:tab/>
      </w:r>
      <w:r>
        <w:rPr>
          <w:rFonts w:ascii="Times New Roman" w:cs="Times New Roman" w:eastAsia="Times New Roman" w:hAnsi="Times New Roman"/>
          <w:sz w:val="20"/>
          <w:szCs w:val="20"/>
          <w:color w:val="auto"/>
        </w:rPr>
        <w:t>114</w:t>
      </w:r>
    </w:p>
    <w:p>
      <w:pPr>
        <w:spacing w:after="0" w:line="1" w:lineRule="exact"/>
        <w:rPr>
          <w:sz w:val="20"/>
          <w:szCs w:val="20"/>
          <w:color w:val="auto"/>
        </w:rPr>
      </w:pP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116</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w:t>
      </w:r>
      <w:r>
        <w:rPr>
          <w:sz w:val="20"/>
          <w:szCs w:val="20"/>
          <w:color w:val="auto"/>
        </w:rPr>
        <w:tab/>
      </w:r>
      <w:r>
        <w:rPr>
          <w:rFonts w:ascii="Times New Roman" w:cs="Times New Roman" w:eastAsia="Times New Roman" w:hAnsi="Times New Roman"/>
          <w:sz w:val="20"/>
          <w:szCs w:val="20"/>
          <w:color w:val="auto"/>
        </w:rPr>
        <w:t>117</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Stockholders' Equity</w:t>
      </w:r>
      <w:r>
        <w:rPr>
          <w:sz w:val="20"/>
          <w:szCs w:val="20"/>
          <w:color w:val="auto"/>
        </w:rPr>
        <w:tab/>
      </w:r>
      <w:r>
        <w:rPr>
          <w:rFonts w:ascii="Times New Roman" w:cs="Times New Roman" w:eastAsia="Times New Roman" w:hAnsi="Times New Roman"/>
          <w:sz w:val="20"/>
          <w:szCs w:val="20"/>
          <w:color w:val="auto"/>
        </w:rPr>
        <w:t>118</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119</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121</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440"/>
          </w:cols>
          <w:pgMar w:left="900" w:top="926" w:right="900" w:bottom="175" w:gutter="0" w:footer="0" w:header="0"/>
          <w:type w:val="continuous"/>
        </w:sectPr>
      </w:pPr>
    </w:p>
    <w:bookmarkStart w:id="121" w:name="page122"/>
    <w:bookmarkEnd w:id="121"/>
    <w:p>
      <w:pPr>
        <w:ind w:right="2740" w:firstLine="2722"/>
        <w:spacing w:after="0" w:line="366"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Disc Medicine,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Disc Medicine,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Accrued External Research and Development Expenses</w:t>
      </w:r>
    </w:p>
    <w:p>
      <w:pPr>
        <w:spacing w:after="0" w:line="13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of December 31, 2025, the Company had recognized accrued external research and development</w:t>
      </w:r>
    </w:p>
    <w:p>
      <w:pPr>
        <w:spacing w:after="0" w:line="28" w:lineRule="exact"/>
        <w:rPr>
          <w:sz w:val="20"/>
          <w:szCs w:val="20"/>
          <w:color w:val="auto"/>
        </w:rPr>
      </w:pPr>
    </w:p>
    <w:p>
      <w:pPr>
        <w:jc w:val="both"/>
        <w:ind w:left="1980" w:right="100" w:hanging="1979"/>
        <w:spacing w:after="0" w:line="241" w:lineRule="auto"/>
        <w:tabs>
          <w:tab w:leader="none" w:pos="196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expenses of approximately $11.5 million, which includes accrued expenses related to contracts with contract research organizations and investigative sites in connection with clinical trials. As described in Note 2 to the consolidated financial statements, the Company’s determination of accrued external research and development expenses incurred at each reporting period incorporates judgment and utilizes various assumptions as payments for such activities are based on the terms of the individual arrangements, which may differ from the pattern of costs incurred. Such judgments and assumptions include an evaluation of the information provided to the Company by third parties on actual costs incurred, the time period over which services will be performed and the level of effort expended in each period.</w:t>
      </w:r>
    </w:p>
    <w:p>
      <w:pPr>
        <w:spacing w:after="0" w:line="84" w:lineRule="exact"/>
        <w:rPr>
          <w:sz w:val="20"/>
          <w:szCs w:val="20"/>
          <w:color w:val="auto"/>
        </w:rPr>
      </w:pPr>
    </w:p>
    <w:p>
      <w:pPr>
        <w:jc w:val="both"/>
        <w:ind w:left="1980" w:right="100"/>
        <w:spacing w:after="0" w:line="245" w:lineRule="auto"/>
        <w:rPr>
          <w:sz w:val="20"/>
          <w:szCs w:val="20"/>
          <w:color w:val="auto"/>
        </w:rPr>
      </w:pPr>
      <w:r>
        <w:rPr>
          <w:rFonts w:ascii="Times New Roman" w:cs="Times New Roman" w:eastAsia="Times New Roman" w:hAnsi="Times New Roman"/>
          <w:sz w:val="20"/>
          <w:szCs w:val="20"/>
          <w:color w:val="auto"/>
        </w:rPr>
        <w:t>Auditing the Company’s accrued external research and development expenses related to contracts with contract research organizations and investigative sites in connection with clinical trials is especially complex due to the significant volume of transactions and the use of third-party data involved in determining the accrual balance that was accumulated from multiple sources. In addition,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460"/>
          </w:cols>
          <w:pgMar w:left="900" w:top="926" w:right="880" w:bottom="175" w:gutter="0" w:footer="0" w:header="0"/>
          <w:type w:val="continuous"/>
        </w:sectPr>
      </w:pPr>
    </w:p>
    <w:bookmarkStart w:id="122" w:name="page123"/>
    <w:bookmarkEnd w:id="122"/>
    <w:p>
      <w:pPr>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How We Addressed the </w:t>
      </w:r>
      <w:r>
        <w:rPr>
          <w:rFonts w:ascii="Times New Roman" w:cs="Times New Roman" w:eastAsia="Times New Roman" w:hAnsi="Times New Roman"/>
          <w:sz w:val="20"/>
          <w:szCs w:val="20"/>
          <w:color w:val="auto"/>
        </w:rPr>
        <w:t>We obtained an understanding, evaluated the design and tested the operating effectiveness of controls</w:t>
      </w:r>
      <w:r>
        <w:rPr>
          <w:rFonts w:ascii="Times New Roman" w:cs="Times New Roman" w:eastAsia="Times New Roman" w:hAnsi="Times New Roman"/>
          <w:sz w:val="20"/>
          <w:szCs w:val="20"/>
          <w:i w:val="1"/>
          <w:iCs w:val="1"/>
          <w:color w:val="auto"/>
        </w:rPr>
        <w:t xml:space="preserve"> Matter in Our Audit </w:t>
      </w:r>
      <w:r>
        <w:rPr>
          <w:rFonts w:ascii="Times New Roman" w:cs="Times New Roman" w:eastAsia="Times New Roman" w:hAnsi="Times New Roman"/>
          <w:sz w:val="20"/>
          <w:szCs w:val="20"/>
          <w:color w:val="auto"/>
        </w:rPr>
        <w:t>over the Company’s estimation of accrued external research and development expenses related to</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contracts with contract research organizations and investigative sites in connection with clinical trials.</w:t>
      </w:r>
    </w:p>
    <w:p>
      <w:pPr>
        <w:spacing w:after="0" w:line="92" w:lineRule="exact"/>
        <w:rPr>
          <w:sz w:val="20"/>
          <w:szCs w:val="20"/>
          <w:color w:val="auto"/>
        </w:rPr>
      </w:pPr>
    </w:p>
    <w:p>
      <w:pPr>
        <w:jc w:val="both"/>
        <w:ind w:left="1980"/>
        <w:spacing w:after="0" w:line="244" w:lineRule="auto"/>
        <w:rPr>
          <w:sz w:val="20"/>
          <w:szCs w:val="20"/>
          <w:color w:val="auto"/>
        </w:rPr>
      </w:pPr>
      <w:r>
        <w:rPr>
          <w:rFonts w:ascii="Times New Roman" w:cs="Times New Roman" w:eastAsia="Times New Roman" w:hAnsi="Times New Roman"/>
          <w:sz w:val="20"/>
          <w:szCs w:val="20"/>
          <w:color w:val="auto"/>
        </w:rPr>
        <w:t>Our audit procedures included, among others, testing the completeness and accuracy of the underlying data used in the estimate, including actual and expected patient enrollment research services incurred to date and terms of contractual arrangements. To assess the reasonableness of the Company’s estimate of the level of services provided by clinical study sites and other vendors, we corroborated the progress of the underlying clinical research and development service arrangements with Company personnel and obtained direct third-party confirmations supporting the contractual arrangements and estimated costs incurred to date. We recalculated the accrual based on executed contracts with the contract research organizations. We also obtained invoices received from third parties subsequent to the balance sheet date to test the Company’s accrual for the level of services provided as of December 31, 2025 that have not been paid.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ectPr>
          <w:pgSz w:w="12240" w:h="15840" w:orient="portrait"/>
          <w:cols w:equalWidth="0" w:num="1">
            <w:col w:w="10440"/>
          </w:cols>
          <w:pgMar w:left="900" w:top="94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440"/>
          </w:cols>
          <w:pgMar w:left="900" w:top="944" w:right="900" w:bottom="175"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6"/>
                <w:szCs w:val="16"/>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shd w:val="clear" w:color="auto" w:fill="E0E0E0"/>
          </w:tcPr>
          <w:p>
            <w:pPr>
              <w:spacing w:after="0"/>
              <w:rPr>
                <w:sz w:val="20"/>
                <w:szCs w:val="20"/>
                <w:color w:val="auto"/>
              </w:rPr>
            </w:pPr>
          </w:p>
        </w:tc>
        <w:tc>
          <w:tcPr>
            <w:tcW w:w="148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48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91,145</w:t>
            </w:r>
          </w:p>
        </w:tc>
        <w:tc>
          <w:tcPr>
            <w:tcW w:w="300" w:type="dxa"/>
            <w:vAlign w:val="bottom"/>
            <w:shd w:val="clear" w:color="auto" w:fill="E0E0E0"/>
          </w:tcPr>
          <w:p>
            <w:pPr>
              <w:spacing w:after="0"/>
              <w:rPr>
                <w:sz w:val="21"/>
                <w:szCs w:val="21"/>
                <w:color w:val="auto"/>
              </w:rPr>
            </w:pP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192,434</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297,447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60" w:type="dxa"/>
            <w:vAlign w:val="bottom"/>
            <w:tcBorders>
              <w:bottom w:val="single" w:sz="8" w:color="auto"/>
            </w:tcBorders>
            <w:shd w:val="clear" w:color="auto" w:fill="E0E0E0"/>
          </w:tcPr>
          <w:p>
            <w:pPr>
              <w:spacing w:after="0"/>
              <w:rPr>
                <w:sz w:val="21"/>
                <w:szCs w:val="21"/>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12,746</w:t>
            </w:r>
          </w:p>
        </w:tc>
        <w:tc>
          <w:tcPr>
            <w:tcW w:w="300" w:type="dxa"/>
            <w:vAlign w:val="bottom"/>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3,734</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803,898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493,615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3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operating leases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60" w:type="dxa"/>
            <w:vAlign w:val="bottom"/>
            <w:tcBorders>
              <w:bottom w:val="single" w:sz="8" w:color="auto"/>
            </w:tcBorders>
            <w:shd w:val="clear" w:color="auto" w:fill="E0E0E0"/>
          </w:tcPr>
          <w:p>
            <w:pPr>
              <w:spacing w:after="0"/>
              <w:rPr>
                <w:sz w:val="21"/>
                <w:szCs w:val="21"/>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300" w:type="dxa"/>
            <w:vAlign w:val="bottom"/>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5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806,879</w:t>
            </w:r>
          </w:p>
        </w:tc>
        <w:tc>
          <w:tcPr>
            <w:tcW w:w="300" w:type="dxa"/>
            <w:vAlign w:val="bottom"/>
            <w:tcBorders>
              <w:bottom w:val="single" w:sz="8" w:color="E0E0E0"/>
            </w:tcBorders>
          </w:tcPr>
          <w:p>
            <w:pPr>
              <w:spacing w:after="0"/>
              <w:rPr>
                <w:sz w:val="24"/>
                <w:szCs w:val="24"/>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496,773</w:t>
            </w:r>
          </w:p>
        </w:tc>
        <w:tc>
          <w:tcPr>
            <w:tcW w:w="80" w:type="dxa"/>
            <w:vAlign w:val="bottom"/>
            <w:tcBorders>
              <w:bottom w:val="single" w:sz="8" w:color="E0E0E0"/>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6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4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9,018</w:t>
            </w:r>
          </w:p>
        </w:tc>
        <w:tc>
          <w:tcPr>
            <w:tcW w:w="300" w:type="dxa"/>
            <w:vAlign w:val="bottom"/>
            <w:shd w:val="clear" w:color="auto" w:fill="E0E0E0"/>
          </w:tcPr>
          <w:p>
            <w:pPr>
              <w:spacing w:after="0"/>
              <w:rPr>
                <w:sz w:val="21"/>
                <w:szCs w:val="21"/>
                <w:color w:val="auto"/>
              </w:rPr>
            </w:pP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7,948</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external research and development expenses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accrued expenses</w:t>
            </w: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15,561</w:t>
            </w:r>
          </w:p>
        </w:tc>
        <w:tc>
          <w:tcPr>
            <w:tcW w:w="3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8,097</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30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60" w:type="dxa"/>
            <w:vAlign w:val="bottom"/>
            <w:shd w:val="clear" w:color="auto" w:fill="E0E0E0"/>
          </w:tcPr>
          <w:p>
            <w:pPr>
              <w:spacing w:after="0"/>
              <w:rPr>
                <w:sz w:val="20"/>
                <w:szCs w:val="20"/>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36,641</w:t>
            </w:r>
          </w:p>
        </w:tc>
        <w:tc>
          <w:tcPr>
            <w:tcW w:w="30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23,316</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net</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29,159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260" w:type="dxa"/>
            <w:vAlign w:val="bottom"/>
            <w:tcBorders>
              <w:bottom w:val="single" w:sz="8" w:color="auto"/>
            </w:tcBorders>
            <w:shd w:val="clear" w:color="auto" w:fill="E0E0E0"/>
          </w:tcPr>
          <w:p>
            <w:pPr>
              <w:spacing w:after="0"/>
              <w:rPr>
                <w:sz w:val="22"/>
                <w:szCs w:val="22"/>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1,253</w:t>
            </w:r>
          </w:p>
        </w:tc>
        <w:tc>
          <w:tcPr>
            <w:tcW w:w="30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1,548</w:t>
            </w:r>
          </w:p>
        </w:tc>
        <w:tc>
          <w:tcPr>
            <w:tcW w:w="8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58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liabilities</w:t>
            </w:r>
          </w:p>
        </w:tc>
        <w:tc>
          <w:tcPr>
            <w:tcW w:w="260" w:type="dxa"/>
            <w:vAlign w:val="bottom"/>
          </w:tcPr>
          <w:p>
            <w:pPr>
              <w:spacing w:after="0"/>
              <w:rPr>
                <w:sz w:val="19"/>
                <w:szCs w:val="19"/>
                <w:color w:val="auto"/>
              </w:rPr>
            </w:pPr>
          </w:p>
        </w:tc>
        <w:tc>
          <w:tcPr>
            <w:tcW w:w="14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67,053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53,186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Commitments and contingencies (Note 14)</w:t>
            </w: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Preferred stock, $0.0001 par value; 10,000,000 shares authorized, no shares</w:t>
            </w:r>
          </w:p>
        </w:tc>
        <w:tc>
          <w:tcPr>
            <w:tcW w:w="260" w:type="dxa"/>
            <w:vAlign w:val="bottom"/>
            <w:shd w:val="clear" w:color="auto" w:fill="E0E0E0"/>
          </w:tcPr>
          <w:p>
            <w:pPr>
              <w:spacing w:after="0"/>
              <w:rPr>
                <w:sz w:val="19"/>
                <w:szCs w:val="19"/>
                <w:color w:val="auto"/>
              </w:rPr>
            </w:pPr>
          </w:p>
        </w:tc>
        <w:tc>
          <w:tcPr>
            <w:tcW w:w="1780" w:type="dxa"/>
            <w:vAlign w:val="bottom"/>
            <w:gridSpan w:val="2"/>
            <w:vMerge w:val="restart"/>
            <w:shd w:val="clear" w:color="auto" w:fill="E0E0E0"/>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E0E0E0"/>
          </w:tcPr>
          <w:p>
            <w:pPr>
              <w:spacing w:after="0"/>
              <w:rPr>
                <w:sz w:val="19"/>
                <w:szCs w:val="19"/>
                <w:color w:val="auto"/>
              </w:rPr>
            </w:pPr>
          </w:p>
        </w:tc>
        <w:tc>
          <w:tcPr>
            <w:tcW w:w="1560" w:type="dxa"/>
            <w:vAlign w:val="bottom"/>
            <w:gridSpan w:val="2"/>
            <w:vMerge w:val="restart"/>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1"/>
        </w:trPr>
        <w:tc>
          <w:tcPr>
            <w:tcW w:w="6580" w:type="dxa"/>
            <w:vAlign w:val="bottom"/>
            <w:vMerge w:val="restart"/>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issued or outstanding as of December 31, 2025 and December 31, 2024</w:t>
            </w:r>
          </w:p>
        </w:tc>
        <w:tc>
          <w:tcPr>
            <w:tcW w:w="260" w:type="dxa"/>
            <w:vAlign w:val="bottom"/>
            <w:shd w:val="clear" w:color="auto" w:fill="E0E0E0"/>
          </w:tcPr>
          <w:p>
            <w:pPr>
              <w:spacing w:after="0"/>
              <w:rPr>
                <w:sz w:val="13"/>
                <w:szCs w:val="13"/>
                <w:color w:val="auto"/>
              </w:rPr>
            </w:pPr>
          </w:p>
        </w:tc>
        <w:tc>
          <w:tcPr>
            <w:tcW w:w="1780" w:type="dxa"/>
            <w:vAlign w:val="bottom"/>
            <w:gridSpan w:val="2"/>
            <w:vMerge w:val="continue"/>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1560" w:type="dxa"/>
            <w:vAlign w:val="bottom"/>
            <w:gridSpan w:val="2"/>
            <w:vMerge w:val="continue"/>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6580" w:type="dxa"/>
            <w:vAlign w:val="bottom"/>
            <w:vMerge w:val="continue"/>
            <w:shd w:val="clear" w:color="auto" w:fill="E0E0E0"/>
          </w:tcPr>
          <w:p>
            <w:pPr>
              <w:spacing w:after="0"/>
              <w:rPr>
                <w:sz w:val="8"/>
                <w:szCs w:val="8"/>
                <w:color w:val="auto"/>
              </w:rPr>
            </w:pPr>
          </w:p>
        </w:tc>
        <w:tc>
          <w:tcPr>
            <w:tcW w:w="260" w:type="dxa"/>
            <w:vAlign w:val="bottom"/>
            <w:shd w:val="clear" w:color="auto" w:fill="E0E0E0"/>
          </w:tcPr>
          <w:p>
            <w:pPr>
              <w:spacing w:after="0"/>
              <w:rPr>
                <w:sz w:val="8"/>
                <w:szCs w:val="8"/>
                <w:color w:val="auto"/>
              </w:rPr>
            </w:pPr>
          </w:p>
        </w:tc>
        <w:tc>
          <w:tcPr>
            <w:tcW w:w="148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260" w:type="dxa"/>
            <w:vAlign w:val="bottom"/>
            <w:shd w:val="clear" w:color="auto" w:fill="E0E0E0"/>
          </w:tcPr>
          <w:p>
            <w:pPr>
              <w:spacing w:after="0"/>
              <w:rPr>
                <w:sz w:val="8"/>
                <w:szCs w:val="8"/>
                <w:color w:val="auto"/>
              </w:rPr>
            </w:pPr>
          </w:p>
        </w:tc>
        <w:tc>
          <w:tcPr>
            <w:tcW w:w="1480" w:type="dxa"/>
            <w:vAlign w:val="bottom"/>
            <w:shd w:val="clear" w:color="auto" w:fill="E0E0E0"/>
          </w:tcPr>
          <w:p>
            <w:pPr>
              <w:spacing w:after="0"/>
              <w:rPr>
                <w:sz w:val="8"/>
                <w:szCs w:val="8"/>
                <w:color w:val="auto"/>
              </w:rPr>
            </w:pPr>
          </w:p>
        </w:tc>
        <w:tc>
          <w:tcPr>
            <w:tcW w:w="80" w:type="dxa"/>
            <w:vAlign w:val="bottom"/>
            <w:shd w:val="clear" w:color="auto" w:fill="E0E0E0"/>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Common stock, $0.0001 par value; 100,000,000 shares authorized as of</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31, 2025 and December 31, 2024; 37,890,616 and 29,865,030</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issued and outstanding as of December 31, 2025 and December 31,</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2024, respectively</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1,249,043</w:t>
            </w:r>
          </w:p>
        </w:tc>
        <w:tc>
          <w:tcPr>
            <w:tcW w:w="3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741,297</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260" w:type="dxa"/>
            <w:vAlign w:val="bottom"/>
            <w:shd w:val="clear" w:color="auto" w:fill="E0E0E0"/>
          </w:tcPr>
          <w:p>
            <w:pPr>
              <w:spacing w:after="0"/>
              <w:rPr>
                <w:sz w:val="22"/>
                <w:szCs w:val="22"/>
                <w:color w:val="auto"/>
              </w:rPr>
            </w:pPr>
          </w:p>
        </w:tc>
        <w:tc>
          <w:tcPr>
            <w:tcW w:w="178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(510,186)</w:t>
            </w:r>
          </w:p>
        </w:tc>
        <w:tc>
          <w:tcPr>
            <w:tcW w:w="260" w:type="dxa"/>
            <w:vAlign w:val="bottom"/>
            <w:shd w:val="clear" w:color="auto" w:fill="E0E0E0"/>
          </w:tcPr>
          <w:p>
            <w:pPr>
              <w:spacing w:after="0"/>
              <w:rPr>
                <w:sz w:val="22"/>
                <w:szCs w:val="22"/>
                <w:color w:val="auto"/>
              </w:rPr>
            </w:pPr>
          </w:p>
        </w:tc>
        <w:tc>
          <w:tcPr>
            <w:tcW w:w="15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(298,002)</w:t>
            </w:r>
          </w:p>
        </w:tc>
        <w:tc>
          <w:tcPr>
            <w:tcW w:w="0" w:type="dxa"/>
            <w:vAlign w:val="bottom"/>
          </w:tcPr>
          <w:p>
            <w:pPr>
              <w:spacing w:after="0"/>
              <w:rPr>
                <w:sz w:val="1"/>
                <w:szCs w:val="1"/>
                <w:color w:val="auto"/>
              </w:rPr>
            </w:pPr>
          </w:p>
        </w:tc>
      </w:tr>
      <w:tr>
        <w:trPr>
          <w:trHeight w:val="219"/>
        </w:trPr>
        <w:tc>
          <w:tcPr>
            <w:tcW w:w="6580" w:type="dxa"/>
            <w:vAlign w:val="bottom"/>
            <w:tcBorders>
              <w:top w:val="single" w:sz="8" w:color="E0E0E0"/>
              <w:bottom w:val="single" w:sz="8" w:color="E0E0E0"/>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739,826</w:t>
            </w:r>
          </w:p>
        </w:tc>
        <w:tc>
          <w:tcPr>
            <w:tcW w:w="300" w:type="dxa"/>
            <w:vAlign w:val="bottom"/>
            <w:tcBorders>
              <w:top w:val="single" w:sz="8" w:color="E0E0E0"/>
              <w:bottom w:val="single" w:sz="8" w:color="E0E0E0"/>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443,587</w:t>
            </w:r>
          </w:p>
        </w:tc>
        <w:tc>
          <w:tcPr>
            <w:tcW w:w="80" w:type="dxa"/>
            <w:vAlign w:val="bottom"/>
            <w:tcBorders>
              <w:top w:val="single" w:sz="8" w:color="E0E0E0"/>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5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6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806,879</w:t>
            </w:r>
          </w:p>
        </w:tc>
        <w:tc>
          <w:tcPr>
            <w:tcW w:w="30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496,773</w:t>
            </w:r>
          </w:p>
        </w:tc>
        <w:tc>
          <w:tcPr>
            <w:tcW w:w="8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440"/>
          </w:cols>
          <w:pgMar w:left="900" w:top="926" w:right="900" w:bottom="175"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amounts)</w:t>
      </w:r>
    </w:p>
    <w:p>
      <w:pPr>
        <w:spacing w:after="0" w:line="22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-17780</wp:posOffset>
            </wp:positionV>
            <wp:extent cx="32505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32505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5300" w:type="dxa"/>
            <w:vAlign w:val="bottom"/>
            <w:tcBorders>
              <w:bottom w:val="single" w:sz="8" w:color="E0E0E0"/>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0E0E0"/>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7"/>
                <w:szCs w:val="17"/>
                <w:color w:val="auto"/>
              </w:rPr>
            </w:pPr>
          </w:p>
        </w:tc>
      </w:tr>
      <w:tr>
        <w:trPr>
          <w:trHeight w:val="258"/>
        </w:trPr>
        <w:tc>
          <w:tcPr>
            <w:tcW w:w="53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40" w:type="dxa"/>
            <w:vAlign w:val="bottom"/>
            <w:tcBorders>
              <w:bottom w:val="single" w:sz="8" w:color="E0E0E0"/>
            </w:tcBorders>
            <w:shd w:val="clear" w:color="auto" w:fill="E0E0E0"/>
          </w:tcPr>
          <w:p>
            <w:pPr>
              <w:spacing w:after="0"/>
              <w:rPr>
                <w:sz w:val="22"/>
                <w:szCs w:val="22"/>
                <w:color w:val="auto"/>
              </w:rPr>
            </w:pPr>
          </w:p>
        </w:tc>
        <w:tc>
          <w:tcPr>
            <w:tcW w:w="116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E0E0E0"/>
            </w:tcBorders>
            <w:shd w:val="clear" w:color="auto" w:fill="E0E0E0"/>
          </w:tcPr>
          <w:p>
            <w:pPr>
              <w:spacing w:after="0"/>
              <w:rPr>
                <w:sz w:val="22"/>
                <w:szCs w:val="22"/>
                <w:color w:val="auto"/>
              </w:rPr>
            </w:pPr>
          </w:p>
        </w:tc>
        <w:tc>
          <w:tcPr>
            <w:tcW w:w="1140" w:type="dxa"/>
            <w:vAlign w:val="bottom"/>
            <w:tcBorders>
              <w:bottom w:val="single" w:sz="8" w:color="E0E0E0"/>
            </w:tcBorders>
            <w:shd w:val="clear" w:color="auto" w:fill="E0E0E0"/>
          </w:tcPr>
          <w:p>
            <w:pPr>
              <w:spacing w:after="0"/>
              <w:rPr>
                <w:sz w:val="22"/>
                <w:szCs w:val="22"/>
                <w:color w:val="auto"/>
              </w:rPr>
            </w:pPr>
          </w:p>
        </w:tc>
        <w:tc>
          <w:tcPr>
            <w:tcW w:w="18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E0E0E0"/>
            </w:tcBorders>
            <w:shd w:val="clear" w:color="auto" w:fill="E0E0E0"/>
          </w:tcPr>
          <w:p>
            <w:pPr>
              <w:spacing w:after="0"/>
              <w:rPr>
                <w:sz w:val="22"/>
                <w:szCs w:val="22"/>
                <w:color w:val="auto"/>
              </w:rPr>
            </w:pPr>
          </w:p>
        </w:tc>
        <w:tc>
          <w:tcPr>
            <w:tcW w:w="1160" w:type="dxa"/>
            <w:vAlign w:val="bottom"/>
            <w:tcBorders>
              <w:bottom w:val="single" w:sz="8" w:color="E0E0E0"/>
            </w:tcBorders>
            <w:shd w:val="clear" w:color="auto" w:fill="E0E0E0"/>
          </w:tcPr>
          <w:p>
            <w:pPr>
              <w:spacing w:after="0"/>
              <w:rPr>
                <w:sz w:val="22"/>
                <w:szCs w:val="22"/>
                <w:color w:val="auto"/>
              </w:rPr>
            </w:pPr>
          </w:p>
        </w:tc>
        <w:tc>
          <w:tcPr>
            <w:tcW w:w="80" w:type="dxa"/>
            <w:vAlign w:val="bottom"/>
            <w:tcBorders>
              <w:bottom w:val="single" w:sz="8" w:color="E0E0E0"/>
            </w:tcBorders>
            <w:shd w:val="clear" w:color="auto" w:fill="E0E0E0"/>
          </w:tcPr>
          <w:p>
            <w:pPr>
              <w:spacing w:after="0"/>
              <w:rPr>
                <w:sz w:val="22"/>
                <w:szCs w:val="22"/>
                <w:color w:val="auto"/>
              </w:rPr>
            </w:pPr>
          </w:p>
        </w:tc>
      </w:tr>
      <w:tr>
        <w:trPr>
          <w:trHeight w:val="283"/>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170,640</w:t>
            </w:r>
          </w:p>
        </w:tc>
        <w:tc>
          <w:tcPr>
            <w:tcW w:w="1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96,671</w:t>
            </w:r>
          </w:p>
        </w:tc>
        <w:tc>
          <w:tcPr>
            <w:tcW w:w="18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69,264</w:t>
            </w:r>
          </w:p>
        </w:tc>
        <w:tc>
          <w:tcPr>
            <w:tcW w:w="80" w:type="dxa"/>
            <w:vAlign w:val="bottom"/>
          </w:tcPr>
          <w:p>
            <w:pPr>
              <w:spacing w:after="0"/>
              <w:rPr>
                <w:sz w:val="24"/>
                <w:szCs w:val="24"/>
                <w:color w:val="auto"/>
              </w:rPr>
            </w:pPr>
          </w:p>
        </w:tc>
      </w:tr>
      <w:tr>
        <w:trPr>
          <w:trHeight w:val="283"/>
        </w:trPr>
        <w:tc>
          <w:tcPr>
            <w:tcW w:w="5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40" w:type="dxa"/>
            <w:vAlign w:val="bottom"/>
            <w:tcBorders>
              <w:bottom w:val="single" w:sz="8" w:color="auto"/>
            </w:tcBorders>
            <w:shd w:val="clear" w:color="auto" w:fill="E0E0E0"/>
          </w:tcPr>
          <w:p>
            <w:pPr>
              <w:spacing w:after="0"/>
              <w:rPr>
                <w:sz w:val="24"/>
                <w:szCs w:val="24"/>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65,382</w:t>
            </w:r>
          </w:p>
        </w:tc>
        <w:tc>
          <w:tcPr>
            <w:tcW w:w="1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33,049</w:t>
            </w:r>
          </w:p>
        </w:tc>
        <w:tc>
          <w:tcPr>
            <w:tcW w:w="1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21,861</w:t>
            </w:r>
          </w:p>
        </w:tc>
        <w:tc>
          <w:tcPr>
            <w:tcW w:w="80" w:type="dxa"/>
            <w:vAlign w:val="bottom"/>
            <w:shd w:val="clear" w:color="auto" w:fill="E0E0E0"/>
          </w:tcPr>
          <w:p>
            <w:pPr>
              <w:spacing w:after="0"/>
              <w:rPr>
                <w:sz w:val="24"/>
                <w:szCs w:val="24"/>
                <w:color w:val="auto"/>
              </w:rPr>
            </w:pPr>
          </w:p>
        </w:tc>
      </w:tr>
      <w:tr>
        <w:trPr>
          <w:trHeight w:val="278"/>
        </w:trPr>
        <w:tc>
          <w:tcPr>
            <w:tcW w:w="5300" w:type="dxa"/>
            <w:vAlign w:val="bottom"/>
            <w:tcBorders>
              <w:bottom w:val="single" w:sz="8" w:color="E0E0E0"/>
            </w:tcBorders>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236,022</w:t>
            </w:r>
          </w:p>
        </w:tc>
        <w:tc>
          <w:tcPr>
            <w:tcW w:w="160" w:type="dxa"/>
            <w:vAlign w:val="bottom"/>
            <w:tcBorders>
              <w:bottom w:val="single" w:sz="8" w:color="E0E0E0"/>
            </w:tcBorders>
          </w:tcPr>
          <w:p>
            <w:pPr>
              <w:spacing w:after="0"/>
              <w:rPr>
                <w:sz w:val="24"/>
                <w:szCs w:val="24"/>
                <w:color w:val="auto"/>
              </w:rPr>
            </w:pPr>
          </w:p>
        </w:tc>
        <w:tc>
          <w:tcPr>
            <w:tcW w:w="120" w:type="dxa"/>
            <w:vAlign w:val="bottom"/>
            <w:tcBorders>
              <w:bottom w:val="single" w:sz="8" w:color="E0E0E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129,720</w:t>
            </w:r>
          </w:p>
        </w:tc>
        <w:tc>
          <w:tcPr>
            <w:tcW w:w="180" w:type="dxa"/>
            <w:vAlign w:val="bottom"/>
            <w:tcBorders>
              <w:bottom w:val="single" w:sz="8" w:color="E0E0E0"/>
            </w:tcBorders>
          </w:tcPr>
          <w:p>
            <w:pPr>
              <w:spacing w:after="0"/>
              <w:rPr>
                <w:sz w:val="24"/>
                <w:szCs w:val="24"/>
                <w:color w:val="auto"/>
              </w:rPr>
            </w:pPr>
          </w:p>
        </w:tc>
        <w:tc>
          <w:tcPr>
            <w:tcW w:w="120" w:type="dxa"/>
            <w:vAlign w:val="bottom"/>
            <w:tcBorders>
              <w:bottom w:val="single" w:sz="8" w:color="E0E0E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91,125</w:t>
            </w:r>
          </w:p>
        </w:tc>
        <w:tc>
          <w:tcPr>
            <w:tcW w:w="80" w:type="dxa"/>
            <w:vAlign w:val="bottom"/>
            <w:tcBorders>
              <w:bottom w:val="single" w:sz="8" w:color="E0E0E0"/>
            </w:tcBorders>
          </w:tcPr>
          <w:p>
            <w:pPr>
              <w:spacing w:after="0"/>
              <w:rPr>
                <w:sz w:val="24"/>
                <w:szCs w:val="24"/>
                <w:color w:val="auto"/>
              </w:rPr>
            </w:pPr>
          </w:p>
        </w:tc>
      </w:tr>
      <w:tr>
        <w:trPr>
          <w:trHeight w:val="278"/>
        </w:trPr>
        <w:tc>
          <w:tcPr>
            <w:tcW w:w="5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(236,022)</w:t>
            </w:r>
          </w:p>
        </w:tc>
        <w:tc>
          <w:tcPr>
            <w:tcW w:w="1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(129,720)</w:t>
            </w:r>
          </w:p>
        </w:tc>
        <w:tc>
          <w:tcPr>
            <w:tcW w:w="1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(91,125)</w:t>
            </w:r>
          </w:p>
        </w:tc>
        <w:tc>
          <w:tcPr>
            <w:tcW w:w="80" w:type="dxa"/>
            <w:vAlign w:val="bottom"/>
            <w:shd w:val="clear" w:color="auto" w:fill="E0E0E0"/>
          </w:tcPr>
          <w:p>
            <w:pPr>
              <w:spacing w:after="0"/>
              <w:rPr>
                <w:sz w:val="24"/>
                <w:szCs w:val="24"/>
                <w:color w:val="auto"/>
              </w:rPr>
            </w:pPr>
          </w:p>
        </w:tc>
      </w:tr>
      <w:tr>
        <w:trPr>
          <w:trHeight w:val="274"/>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91"/>
        </w:trPr>
        <w:tc>
          <w:tcPr>
            <w:tcW w:w="5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27,761</w:t>
            </w:r>
          </w:p>
        </w:tc>
        <w:tc>
          <w:tcPr>
            <w:tcW w:w="1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21,292</w:t>
            </w:r>
          </w:p>
        </w:tc>
        <w:tc>
          <w:tcPr>
            <w:tcW w:w="1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14,797</w:t>
            </w:r>
          </w:p>
        </w:tc>
        <w:tc>
          <w:tcPr>
            <w:tcW w:w="80" w:type="dxa"/>
            <w:vAlign w:val="bottom"/>
            <w:shd w:val="clear" w:color="auto" w:fill="E0E0E0"/>
          </w:tcPr>
          <w:p>
            <w:pPr>
              <w:spacing w:after="0"/>
              <w:rPr>
                <w:sz w:val="24"/>
                <w:szCs w:val="24"/>
                <w:color w:val="auto"/>
              </w:rPr>
            </w:pPr>
          </w:p>
        </w:tc>
      </w:tr>
      <w:tr>
        <w:trPr>
          <w:trHeight w:val="283"/>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3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(3,607)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(572)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5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income (expense)</w:t>
            </w: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3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2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78"/>
        </w:trPr>
        <w:tc>
          <w:tcPr>
            <w:tcW w:w="5300" w:type="dxa"/>
            <w:vAlign w:val="bottom"/>
            <w:tcBorders>
              <w:bottom w:val="single" w:sz="8" w:color="E0E0E0"/>
            </w:tcBorders>
          </w:tcPr>
          <w:p>
            <w:pPr>
              <w:ind w:left="30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24,199</w:t>
            </w:r>
          </w:p>
        </w:tc>
        <w:tc>
          <w:tcPr>
            <w:tcW w:w="160" w:type="dxa"/>
            <w:vAlign w:val="bottom"/>
            <w:tcBorders>
              <w:bottom w:val="single" w:sz="8" w:color="E0E0E0"/>
            </w:tcBorders>
          </w:tcPr>
          <w:p>
            <w:pPr>
              <w:spacing w:after="0"/>
              <w:rPr>
                <w:sz w:val="24"/>
                <w:szCs w:val="24"/>
                <w:color w:val="auto"/>
              </w:rPr>
            </w:pPr>
          </w:p>
        </w:tc>
        <w:tc>
          <w:tcPr>
            <w:tcW w:w="120" w:type="dxa"/>
            <w:vAlign w:val="bottom"/>
            <w:tcBorders>
              <w:bottom w:val="single" w:sz="8" w:color="E0E0E0"/>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20,718</w:t>
            </w:r>
          </w:p>
        </w:tc>
        <w:tc>
          <w:tcPr>
            <w:tcW w:w="180" w:type="dxa"/>
            <w:vAlign w:val="bottom"/>
            <w:tcBorders>
              <w:bottom w:val="single" w:sz="8" w:color="E0E0E0"/>
            </w:tcBorders>
          </w:tcPr>
          <w:p>
            <w:pPr>
              <w:spacing w:after="0"/>
              <w:rPr>
                <w:sz w:val="24"/>
                <w:szCs w:val="24"/>
                <w:color w:val="auto"/>
              </w:rPr>
            </w:pPr>
          </w:p>
        </w:tc>
        <w:tc>
          <w:tcPr>
            <w:tcW w:w="120" w:type="dxa"/>
            <w:vAlign w:val="bottom"/>
            <w:tcBorders>
              <w:bottom w:val="single" w:sz="8" w:color="E0E0E0"/>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14,795</w:t>
            </w:r>
          </w:p>
        </w:tc>
        <w:tc>
          <w:tcPr>
            <w:tcW w:w="80" w:type="dxa"/>
            <w:vAlign w:val="bottom"/>
            <w:tcBorders>
              <w:bottom w:val="single" w:sz="8" w:color="E0E0E0"/>
            </w:tcBorders>
          </w:tcPr>
          <w:p>
            <w:pPr>
              <w:spacing w:after="0"/>
              <w:rPr>
                <w:sz w:val="24"/>
                <w:szCs w:val="24"/>
                <w:color w:val="auto"/>
              </w:rPr>
            </w:pPr>
          </w:p>
        </w:tc>
      </w:tr>
      <w:tr>
        <w:trPr>
          <w:trHeight w:val="278"/>
        </w:trPr>
        <w:tc>
          <w:tcPr>
            <w:tcW w:w="5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(211,823)</w:t>
            </w:r>
          </w:p>
        </w:tc>
        <w:tc>
          <w:tcPr>
            <w:tcW w:w="1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(109,002)</w:t>
            </w:r>
          </w:p>
        </w:tc>
        <w:tc>
          <w:tcPr>
            <w:tcW w:w="1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(76,330)</w:t>
            </w:r>
          </w:p>
        </w:tc>
        <w:tc>
          <w:tcPr>
            <w:tcW w:w="80" w:type="dxa"/>
            <w:vAlign w:val="bottom"/>
            <w:shd w:val="clear" w:color="auto" w:fill="E0E0E0"/>
          </w:tcPr>
          <w:p>
            <w:pPr>
              <w:spacing w:after="0"/>
              <w:rPr>
                <w:sz w:val="24"/>
                <w:szCs w:val="24"/>
                <w:color w:val="auto"/>
              </w:rPr>
            </w:pPr>
          </w:p>
        </w:tc>
      </w:tr>
      <w:tr>
        <w:trPr>
          <w:trHeight w:val="283"/>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3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(99)</w:t>
            </w:r>
          </w:p>
        </w:tc>
      </w:tr>
      <w:tr>
        <w:trPr>
          <w:trHeight w:val="298"/>
        </w:trPr>
        <w:tc>
          <w:tcPr>
            <w:tcW w:w="530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w:t>
            </w:r>
          </w:p>
        </w:tc>
        <w:tc>
          <w:tcPr>
            <w:tcW w:w="340" w:type="dxa"/>
            <w:vAlign w:val="bottom"/>
            <w:tcBorders>
              <w:top w:val="single" w:sz="8" w:color="auto"/>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(212,184)</w:t>
            </w:r>
          </w:p>
        </w:tc>
        <w:tc>
          <w:tcPr>
            <w:tcW w:w="160" w:type="dxa"/>
            <w:vAlign w:val="bottom"/>
            <w:tcBorders>
              <w:top w:val="single" w:sz="8" w:color="E0E0E0"/>
              <w:bottom w:val="single" w:sz="8" w:color="E0E0E0"/>
            </w:tcBorders>
            <w:shd w:val="clear" w:color="auto" w:fill="E0E0E0"/>
          </w:tcPr>
          <w:p>
            <w:pPr>
              <w:spacing w:after="0"/>
              <w:rPr>
                <w:sz w:val="24"/>
                <w:szCs w:val="24"/>
                <w:color w:val="auto"/>
              </w:rPr>
            </w:pPr>
          </w:p>
        </w:tc>
        <w:tc>
          <w:tcPr>
            <w:tcW w:w="120" w:type="dxa"/>
            <w:vAlign w:val="bottom"/>
            <w:tcBorders>
              <w:top w:val="single" w:sz="8" w:color="E0E0E0"/>
              <w:bottom w:val="single" w:sz="8" w:color="E0E0E0"/>
            </w:tcBorders>
            <w:shd w:val="clear" w:color="auto" w:fill="E0E0E0"/>
          </w:tcPr>
          <w:p>
            <w:pPr>
              <w:spacing w:after="0"/>
              <w:rPr>
                <w:sz w:val="24"/>
                <w:szCs w:val="24"/>
                <w:color w:val="auto"/>
              </w:rPr>
            </w:pPr>
          </w:p>
        </w:tc>
        <w:tc>
          <w:tcPr>
            <w:tcW w:w="340" w:type="dxa"/>
            <w:vAlign w:val="bottom"/>
            <w:tcBorders>
              <w:top w:val="single" w:sz="8" w:color="auto"/>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(109,357)</w:t>
            </w:r>
          </w:p>
        </w:tc>
        <w:tc>
          <w:tcPr>
            <w:tcW w:w="180" w:type="dxa"/>
            <w:vAlign w:val="bottom"/>
            <w:tcBorders>
              <w:top w:val="single" w:sz="8" w:color="E0E0E0"/>
              <w:bottom w:val="single" w:sz="8" w:color="E0E0E0"/>
            </w:tcBorders>
            <w:shd w:val="clear" w:color="auto" w:fill="E0E0E0"/>
          </w:tcPr>
          <w:p>
            <w:pPr>
              <w:spacing w:after="0"/>
              <w:rPr>
                <w:sz w:val="24"/>
                <w:szCs w:val="24"/>
                <w:color w:val="auto"/>
              </w:rPr>
            </w:pPr>
          </w:p>
        </w:tc>
        <w:tc>
          <w:tcPr>
            <w:tcW w:w="120" w:type="dxa"/>
            <w:vAlign w:val="bottom"/>
            <w:tcBorders>
              <w:top w:val="single" w:sz="8" w:color="E0E0E0"/>
              <w:bottom w:val="single" w:sz="8" w:color="E0E0E0"/>
            </w:tcBorders>
            <w:shd w:val="clear" w:color="auto" w:fill="E0E0E0"/>
          </w:tcPr>
          <w:p>
            <w:pPr>
              <w:spacing w:after="0"/>
              <w:rPr>
                <w:sz w:val="24"/>
                <w:szCs w:val="24"/>
                <w:color w:val="auto"/>
              </w:rPr>
            </w:pPr>
          </w:p>
        </w:tc>
        <w:tc>
          <w:tcPr>
            <w:tcW w:w="340" w:type="dxa"/>
            <w:vAlign w:val="bottom"/>
            <w:tcBorders>
              <w:top w:val="single" w:sz="8" w:color="auto"/>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(76,429)</w:t>
            </w:r>
          </w:p>
        </w:tc>
        <w:tc>
          <w:tcPr>
            <w:tcW w:w="80" w:type="dxa"/>
            <w:vAlign w:val="bottom"/>
            <w:tcBorders>
              <w:top w:val="single" w:sz="8" w:color="E0E0E0"/>
              <w:bottom w:val="single" w:sz="8" w:color="E0E0E0"/>
            </w:tcBorders>
            <w:shd w:val="clear" w:color="auto" w:fill="E0E0E0"/>
          </w:tcPr>
          <w:p>
            <w:pPr>
              <w:spacing w:after="0"/>
              <w:rPr>
                <w:sz w:val="24"/>
                <w:szCs w:val="24"/>
                <w:color w:val="auto"/>
              </w:rPr>
            </w:pPr>
          </w:p>
        </w:tc>
      </w:tr>
      <w:tr>
        <w:trPr>
          <w:trHeight w:val="298"/>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(3.96)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(3.42)</w:t>
            </w:r>
          </w:p>
        </w:tc>
      </w:tr>
      <w:tr>
        <w:trPr>
          <w:trHeight w:val="210"/>
        </w:trPr>
        <w:tc>
          <w:tcPr>
            <w:tcW w:w="5300" w:type="dxa"/>
            <w:vAlign w:val="bottom"/>
            <w:tcBorders>
              <w:top w:val="single" w:sz="8" w:color="E0E0E0"/>
            </w:tcBorders>
            <w:shd w:val="clear" w:color="auto" w:fill="E0E0E0"/>
          </w:tcPr>
          <w:p>
            <w:pPr>
              <w:spacing w:after="0" w:line="209" w:lineRule="exact"/>
              <w:rPr>
                <w:sz w:val="20"/>
                <w:szCs w:val="20"/>
                <w:color w:val="auto"/>
              </w:rPr>
            </w:pPr>
            <w:r>
              <w:rPr>
                <w:rFonts w:ascii="Times New Roman" w:cs="Times New Roman" w:eastAsia="Times New Roman" w:hAnsi="Times New Roman"/>
                <w:sz w:val="20"/>
                <w:szCs w:val="20"/>
                <w:color w:val="auto"/>
              </w:rPr>
              <w:t>Weighted-average common shares outstanding, basic and</w:t>
            </w:r>
          </w:p>
        </w:tc>
        <w:tc>
          <w:tcPr>
            <w:tcW w:w="340" w:type="dxa"/>
            <w:vAlign w:val="bottom"/>
            <w:tcBorders>
              <w:top w:val="single" w:sz="8" w:color="auto"/>
            </w:tcBorders>
            <w:shd w:val="clear" w:color="auto" w:fill="E0E0E0"/>
          </w:tcPr>
          <w:p>
            <w:pPr>
              <w:spacing w:after="0"/>
              <w:rPr>
                <w:sz w:val="18"/>
                <w:szCs w:val="18"/>
                <w:color w:val="auto"/>
              </w:rPr>
            </w:pPr>
          </w:p>
        </w:tc>
        <w:tc>
          <w:tcPr>
            <w:tcW w:w="1160" w:type="dxa"/>
            <w:vAlign w:val="bottom"/>
            <w:tcBorders>
              <w:top w:val="single" w:sz="8" w:color="auto"/>
            </w:tcBorders>
            <w:shd w:val="clear" w:color="auto" w:fill="E0E0E0"/>
          </w:tcPr>
          <w:p>
            <w:pPr>
              <w:spacing w:after="0"/>
              <w:rPr>
                <w:sz w:val="18"/>
                <w:szCs w:val="18"/>
                <w:color w:val="auto"/>
              </w:rPr>
            </w:pPr>
          </w:p>
        </w:tc>
        <w:tc>
          <w:tcPr>
            <w:tcW w:w="16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auto"/>
            </w:tcBorders>
            <w:shd w:val="clear" w:color="auto" w:fill="E0E0E0"/>
          </w:tcPr>
          <w:p>
            <w:pPr>
              <w:spacing w:after="0"/>
              <w:rPr>
                <w:sz w:val="18"/>
                <w:szCs w:val="18"/>
                <w:color w:val="auto"/>
              </w:rPr>
            </w:pPr>
          </w:p>
        </w:tc>
        <w:tc>
          <w:tcPr>
            <w:tcW w:w="1140" w:type="dxa"/>
            <w:vAlign w:val="bottom"/>
            <w:tcBorders>
              <w:top w:val="single" w:sz="8" w:color="auto"/>
            </w:tcBorders>
            <w:shd w:val="clear" w:color="auto" w:fill="E0E0E0"/>
          </w:tcPr>
          <w:p>
            <w:pPr>
              <w:spacing w:after="0"/>
              <w:rPr>
                <w:sz w:val="18"/>
                <w:szCs w:val="18"/>
                <w:color w:val="auto"/>
              </w:rPr>
            </w:pPr>
          </w:p>
        </w:tc>
        <w:tc>
          <w:tcPr>
            <w:tcW w:w="18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auto"/>
            </w:tcBorders>
            <w:shd w:val="clear" w:color="auto" w:fill="E0E0E0"/>
          </w:tcPr>
          <w:p>
            <w:pPr>
              <w:spacing w:after="0"/>
              <w:rPr>
                <w:sz w:val="18"/>
                <w:szCs w:val="18"/>
                <w:color w:val="auto"/>
              </w:rPr>
            </w:pPr>
          </w:p>
        </w:tc>
        <w:tc>
          <w:tcPr>
            <w:tcW w:w="1160" w:type="dxa"/>
            <w:vAlign w:val="bottom"/>
            <w:tcBorders>
              <w:top w:val="single" w:sz="8" w:color="auto"/>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r>
      <w:tr>
        <w:trPr>
          <w:trHeight w:val="269"/>
        </w:trPr>
        <w:tc>
          <w:tcPr>
            <w:tcW w:w="53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diluted</w:t>
            </w:r>
          </w:p>
        </w:tc>
        <w:tc>
          <w:tcPr>
            <w:tcW w:w="340" w:type="dxa"/>
            <w:vAlign w:val="bottom"/>
            <w:tcBorders>
              <w:bottom w:val="single" w:sz="8" w:color="auto"/>
            </w:tcBorders>
            <w:shd w:val="clear" w:color="auto" w:fill="E0E0E0"/>
          </w:tcPr>
          <w:p>
            <w:pPr>
              <w:spacing w:after="0"/>
              <w:rPr>
                <w:sz w:val="23"/>
                <w:szCs w:val="23"/>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35,295,663</w:t>
            </w:r>
          </w:p>
        </w:tc>
        <w:tc>
          <w:tcPr>
            <w:tcW w:w="16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340" w:type="dxa"/>
            <w:vAlign w:val="bottom"/>
            <w:tcBorders>
              <w:bottom w:val="single" w:sz="8" w:color="auto"/>
            </w:tcBorders>
            <w:shd w:val="clear" w:color="auto" w:fill="E0E0E0"/>
          </w:tcPr>
          <w:p>
            <w:pPr>
              <w:spacing w:after="0"/>
              <w:rPr>
                <w:sz w:val="23"/>
                <w:szCs w:val="23"/>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27,606,022</w:t>
            </w:r>
          </w:p>
        </w:tc>
        <w:tc>
          <w:tcPr>
            <w:tcW w:w="18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340" w:type="dxa"/>
            <w:vAlign w:val="bottom"/>
            <w:tcBorders>
              <w:bottom w:val="single" w:sz="8" w:color="auto"/>
            </w:tcBorders>
            <w:shd w:val="clear" w:color="auto" w:fill="E0E0E0"/>
          </w:tcPr>
          <w:p>
            <w:pPr>
              <w:spacing w:after="0"/>
              <w:rPr>
                <w:sz w:val="23"/>
                <w:szCs w:val="23"/>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22,315,877</w:t>
            </w:r>
          </w:p>
        </w:tc>
        <w:tc>
          <w:tcPr>
            <w:tcW w:w="80" w:type="dxa"/>
            <w:vAlign w:val="bottom"/>
            <w:tcBorders>
              <w:bottom w:val="single" w:sz="8" w:color="E0E0E0"/>
            </w:tcBorders>
            <w:shd w:val="clear" w:color="auto" w:fill="E0E0E0"/>
          </w:tcPr>
          <w:p>
            <w:pPr>
              <w:spacing w:after="0"/>
              <w:rPr>
                <w:sz w:val="23"/>
                <w:szCs w:val="23"/>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8"/>
        </w:trPr>
        <w:tc>
          <w:tcPr>
            <w:tcW w:w="5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3"/>
        </w:trPr>
        <w:tc>
          <w:tcPr>
            <w:tcW w:w="5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r>
      <w:tr>
        <w:trPr>
          <w:trHeight w:val="283"/>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(212,184)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(109,357)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(76,429)</w:t>
            </w:r>
          </w:p>
        </w:tc>
      </w:tr>
      <w:tr>
        <w:trPr>
          <w:trHeight w:val="283"/>
        </w:trPr>
        <w:tc>
          <w:tcPr>
            <w:tcW w:w="5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6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r>
      <w:tr>
        <w:trPr>
          <w:trHeight w:val="283"/>
        </w:trPr>
        <w:tc>
          <w:tcPr>
            <w:tcW w:w="5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3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30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Unrealized gain on marketable securities</w:t>
            </w:r>
          </w:p>
        </w:tc>
        <w:tc>
          <w:tcPr>
            <w:tcW w:w="340" w:type="dxa"/>
            <w:vAlign w:val="bottom"/>
            <w:tcBorders>
              <w:bottom w:val="single" w:sz="8" w:color="auto"/>
            </w:tcBorders>
            <w:shd w:val="clear" w:color="auto" w:fill="E0E0E0"/>
          </w:tcPr>
          <w:p>
            <w:pPr>
              <w:spacing w:after="0"/>
              <w:rPr>
                <w:sz w:val="24"/>
                <w:szCs w:val="24"/>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16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18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shd w:val="clear" w:color="auto" w:fill="E0E0E0"/>
          </w:tcPr>
          <w:p>
            <w:pPr>
              <w:spacing w:after="0"/>
              <w:rPr>
                <w:sz w:val="24"/>
                <w:szCs w:val="24"/>
                <w:color w:val="auto"/>
              </w:rPr>
            </w:pPr>
          </w:p>
        </w:tc>
      </w:tr>
      <w:tr>
        <w:trPr>
          <w:trHeight w:val="258"/>
        </w:trPr>
        <w:tc>
          <w:tcPr>
            <w:tcW w:w="5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other comprehensive income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530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340" w:type="dxa"/>
            <w:vAlign w:val="bottom"/>
            <w:tcBorders>
              <w:top w:val="single" w:sz="8" w:color="auto"/>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(211,508)</w:t>
            </w:r>
          </w:p>
        </w:tc>
        <w:tc>
          <w:tcPr>
            <w:tcW w:w="160" w:type="dxa"/>
            <w:vAlign w:val="bottom"/>
            <w:tcBorders>
              <w:top w:val="single" w:sz="8" w:color="E0E0E0"/>
              <w:bottom w:val="single" w:sz="8" w:color="E0E0E0"/>
            </w:tcBorders>
            <w:shd w:val="clear" w:color="auto" w:fill="E0E0E0"/>
          </w:tcPr>
          <w:p>
            <w:pPr>
              <w:spacing w:after="0"/>
              <w:rPr>
                <w:sz w:val="24"/>
                <w:szCs w:val="24"/>
                <w:color w:val="auto"/>
              </w:rPr>
            </w:pPr>
          </w:p>
        </w:tc>
        <w:tc>
          <w:tcPr>
            <w:tcW w:w="120" w:type="dxa"/>
            <w:vAlign w:val="bottom"/>
            <w:tcBorders>
              <w:top w:val="single" w:sz="8" w:color="E0E0E0"/>
              <w:bottom w:val="single" w:sz="8" w:color="E0E0E0"/>
            </w:tcBorders>
            <w:shd w:val="clear" w:color="auto" w:fill="E0E0E0"/>
          </w:tcPr>
          <w:p>
            <w:pPr>
              <w:spacing w:after="0"/>
              <w:rPr>
                <w:sz w:val="24"/>
                <w:szCs w:val="24"/>
                <w:color w:val="auto"/>
              </w:rPr>
            </w:pPr>
          </w:p>
        </w:tc>
        <w:tc>
          <w:tcPr>
            <w:tcW w:w="340" w:type="dxa"/>
            <w:vAlign w:val="bottom"/>
            <w:tcBorders>
              <w:top w:val="single" w:sz="8" w:color="auto"/>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(109,068)</w:t>
            </w:r>
          </w:p>
        </w:tc>
        <w:tc>
          <w:tcPr>
            <w:tcW w:w="180" w:type="dxa"/>
            <w:vAlign w:val="bottom"/>
            <w:tcBorders>
              <w:top w:val="single" w:sz="8" w:color="E0E0E0"/>
              <w:bottom w:val="single" w:sz="8" w:color="E0E0E0"/>
            </w:tcBorders>
            <w:shd w:val="clear" w:color="auto" w:fill="E0E0E0"/>
          </w:tcPr>
          <w:p>
            <w:pPr>
              <w:spacing w:after="0"/>
              <w:rPr>
                <w:sz w:val="24"/>
                <w:szCs w:val="24"/>
                <w:color w:val="auto"/>
              </w:rPr>
            </w:pPr>
          </w:p>
        </w:tc>
        <w:tc>
          <w:tcPr>
            <w:tcW w:w="120" w:type="dxa"/>
            <w:vAlign w:val="bottom"/>
            <w:tcBorders>
              <w:top w:val="single" w:sz="8" w:color="E0E0E0"/>
              <w:bottom w:val="single" w:sz="8" w:color="E0E0E0"/>
            </w:tcBorders>
            <w:shd w:val="clear" w:color="auto" w:fill="E0E0E0"/>
          </w:tcPr>
          <w:p>
            <w:pPr>
              <w:spacing w:after="0"/>
              <w:rPr>
                <w:sz w:val="24"/>
                <w:szCs w:val="24"/>
                <w:color w:val="auto"/>
              </w:rPr>
            </w:pPr>
          </w:p>
        </w:tc>
        <w:tc>
          <w:tcPr>
            <w:tcW w:w="340" w:type="dxa"/>
            <w:vAlign w:val="bottom"/>
            <w:tcBorders>
              <w:top w:val="single" w:sz="8" w:color="auto"/>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(76,429)</w:t>
            </w:r>
          </w:p>
        </w:tc>
        <w:tc>
          <w:tcPr>
            <w:tcW w:w="80" w:type="dxa"/>
            <w:vAlign w:val="bottom"/>
            <w:tcBorders>
              <w:top w:val="single" w:sz="8" w:color="E0E0E0"/>
              <w:bottom w:val="single" w:sz="8" w:color="E0E0E0"/>
            </w:tcBorders>
            <w:shd w:val="clear" w:color="auto" w:fill="E0E0E0"/>
          </w:tcPr>
          <w:p>
            <w:pPr>
              <w:spacing w:after="0"/>
              <w:rPr>
                <w:sz w:val="24"/>
                <w:szCs w:val="24"/>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440"/>
          </w:cols>
          <w:pgMar w:left="900" w:top="926" w:right="900" w:bottom="175" w:gutter="0" w:footer="0" w:header="0"/>
          <w:type w:val="continuous"/>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43"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11</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-100965</wp:posOffset>
                </wp:positionV>
                <wp:extent cx="2761615" cy="12700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1615" cy="127000"/>
                        </a:xfrm>
                        <a:prstGeom prst="rect">
                          <a:avLst/>
                        </a:prstGeom>
                        <a:solidFill>
                          <a:srgbClr val="E0E0E0"/>
                        </a:solidFill>
                      </wps:spPr>
                      <wps:bodyPr/>
                    </wps:wsp>
                  </a:graphicData>
                </a:graphic>
              </wp:anchor>
            </w:drawing>
          </mc:Choice>
          <mc:Fallback>
            <w:pict>
              <v:rect id="Shape 50" o:spid="_x0000_s1075" style="position:absolute;margin-left:-0.3499pt;margin-top:-7.9499pt;width:217.45pt;height:1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upon exercise of stock options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upon vesting of restricted stock awards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upon exercise of warrants</w:t>
      </w:r>
    </w:p>
    <w:p>
      <w:pPr>
        <w:spacing w:after="0" w:line="14" w:lineRule="exact"/>
        <w:rPr>
          <w:sz w:val="20"/>
          <w:szCs w:val="20"/>
          <w:color w:val="auto"/>
        </w:rPr>
      </w:pPr>
    </w:p>
    <w:p>
      <w:pPr>
        <w:ind w:left="100" w:right="900" w:hanging="112"/>
        <w:spacing w:after="0" w:line="249" w:lineRule="auto"/>
        <w:rPr>
          <w:sz w:val="20"/>
          <w:szCs w:val="20"/>
          <w:color w:val="auto"/>
        </w:rPr>
      </w:pPr>
      <w:r>
        <w:rPr>
          <w:rFonts w:ascii="Times New Roman" w:cs="Times New Roman" w:eastAsia="Times New Roman" w:hAnsi="Times New Roman"/>
          <w:sz w:val="15"/>
          <w:szCs w:val="15"/>
          <w:color w:val="auto"/>
        </w:rPr>
        <w:t>Sale of common stock in follow-on public offering, net of issuance costs of $9,272</w:t>
      </w:r>
    </w:p>
    <w:p>
      <w:pPr>
        <w:spacing w:after="0" w:line="1" w:lineRule="exact"/>
        <w:rPr>
          <w:sz w:val="20"/>
          <w:szCs w:val="20"/>
          <w:color w:val="auto"/>
        </w:rPr>
      </w:pPr>
    </w:p>
    <w:p>
      <w:pPr>
        <w:ind w:left="100" w:right="560" w:hanging="112"/>
        <w:spacing w:after="0" w:line="249" w:lineRule="auto"/>
        <w:rPr>
          <w:sz w:val="20"/>
          <w:szCs w:val="20"/>
          <w:color w:val="auto"/>
        </w:rPr>
      </w:pPr>
      <w:r>
        <w:rPr>
          <w:rFonts w:ascii="Times New Roman" w:cs="Times New Roman" w:eastAsia="Times New Roman" w:hAnsi="Times New Roman"/>
          <w:sz w:val="15"/>
          <w:szCs w:val="15"/>
          <w:color w:val="auto"/>
        </w:rPr>
        <w:t>Sale of pre-funded warrants in follow-on public offering, net of issuance costs of $627</w:t>
      </w:r>
    </w:p>
    <w:p>
      <w:pPr>
        <w:spacing w:after="0" w:line="1" w:lineRule="exact"/>
        <w:rPr>
          <w:sz w:val="20"/>
          <w:szCs w:val="20"/>
          <w:color w:val="auto"/>
        </w:rPr>
      </w:pPr>
    </w:p>
    <w:p>
      <w:pPr>
        <w:ind w:left="100" w:right="1140" w:hanging="112"/>
        <w:spacing w:after="0" w:line="249" w:lineRule="auto"/>
        <w:rPr>
          <w:sz w:val="20"/>
          <w:szCs w:val="20"/>
          <w:color w:val="auto"/>
        </w:rPr>
      </w:pPr>
      <w:r>
        <w:rPr>
          <w:rFonts w:ascii="Times New Roman" w:cs="Times New Roman" w:eastAsia="Times New Roman" w:hAnsi="Times New Roman"/>
          <w:sz w:val="15"/>
          <w:szCs w:val="15"/>
          <w:color w:val="auto"/>
        </w:rPr>
        <w:t>Sale of common stock in underwritten offering, net of issuance costs of $80</w:t>
      </w:r>
    </w:p>
    <w:p>
      <w:pPr>
        <w:spacing w:after="0" w:line="1" w:lineRule="exact"/>
        <w:rPr>
          <w:sz w:val="20"/>
          <w:szCs w:val="20"/>
          <w:color w:val="auto"/>
        </w:rPr>
      </w:pPr>
    </w:p>
    <w:p>
      <w:pPr>
        <w:ind w:left="100" w:right="800" w:hanging="112"/>
        <w:spacing w:after="0" w:line="249" w:lineRule="auto"/>
        <w:rPr>
          <w:sz w:val="20"/>
          <w:szCs w:val="20"/>
          <w:color w:val="auto"/>
        </w:rPr>
      </w:pPr>
      <w:r>
        <w:rPr>
          <w:rFonts w:ascii="Times New Roman" w:cs="Times New Roman" w:eastAsia="Times New Roman" w:hAnsi="Times New Roman"/>
          <w:sz w:val="15"/>
          <w:szCs w:val="15"/>
          <w:color w:val="auto"/>
        </w:rPr>
        <w:t>Sale of pre-funded warrants in underwritten offering, net of issuance costs of $66</w:t>
      </w:r>
    </w:p>
    <w:p>
      <w:pPr>
        <w:spacing w:after="0" w:line="1" w:lineRule="exact"/>
        <w:rPr>
          <w:sz w:val="20"/>
          <w:szCs w:val="20"/>
          <w:color w:val="auto"/>
        </w:rPr>
      </w:pPr>
    </w:p>
    <w:p>
      <w:pPr>
        <w:ind w:left="100" w:right="1040" w:hanging="112"/>
        <w:spacing w:after="0" w:line="249" w:lineRule="auto"/>
        <w:rPr>
          <w:sz w:val="20"/>
          <w:szCs w:val="20"/>
          <w:color w:val="auto"/>
        </w:rPr>
      </w:pPr>
      <w:r>
        <w:rPr>
          <w:rFonts w:ascii="Times New Roman" w:cs="Times New Roman" w:eastAsia="Times New Roman" w:hAnsi="Times New Roman"/>
          <w:sz w:val="15"/>
          <w:szCs w:val="15"/>
          <w:color w:val="auto"/>
        </w:rPr>
        <w:t>Sale of common stock in at-the-market offerings, net of issuance costs of $742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Stock-based compensation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24765</wp:posOffset>
                </wp:positionV>
                <wp:extent cx="2761615" cy="14668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1615" cy="146685"/>
                        </a:xfrm>
                        <a:prstGeom prst="rect">
                          <a:avLst/>
                        </a:prstGeom>
                        <a:solidFill>
                          <a:srgbClr val="E0E0E0"/>
                        </a:solidFill>
                      </wps:spPr>
                      <wps:bodyPr/>
                    </wps:wsp>
                  </a:graphicData>
                </a:graphic>
              </wp:anchor>
            </w:drawing>
          </mc:Choice>
          <mc:Fallback>
            <w:pict>
              <v:rect id="Shape 51" o:spid="_x0000_s1076" style="position:absolute;margin-left:-0.3499pt;margin-top:1.95pt;width:217.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upon exercise of 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under employee stock purchase plan</w:t>
      </w:r>
    </w:p>
    <w:p>
      <w:pPr>
        <w:spacing w:after="0" w:line="14" w:lineRule="exact"/>
        <w:rPr>
          <w:sz w:val="20"/>
          <w:szCs w:val="20"/>
          <w:color w:val="auto"/>
        </w:rPr>
      </w:pPr>
    </w:p>
    <w:p>
      <w:pPr>
        <w:ind w:left="100" w:right="960" w:hanging="112"/>
        <w:spacing w:after="0" w:line="249" w:lineRule="auto"/>
        <w:rPr>
          <w:sz w:val="20"/>
          <w:szCs w:val="20"/>
          <w:color w:val="auto"/>
        </w:rPr>
      </w:pPr>
      <w:r>
        <w:rPr>
          <w:rFonts w:ascii="Times New Roman" w:cs="Times New Roman" w:eastAsia="Times New Roman" w:hAnsi="Times New Roman"/>
          <w:sz w:val="15"/>
          <w:szCs w:val="15"/>
          <w:color w:val="auto"/>
        </w:rPr>
        <w:t>Sale of common stock in an underwritten offering, net of issuance costs of $5,472</w:t>
      </w:r>
    </w:p>
    <w:p>
      <w:pPr>
        <w:spacing w:after="0" w:line="1" w:lineRule="exact"/>
        <w:rPr>
          <w:sz w:val="20"/>
          <w:szCs w:val="20"/>
          <w:color w:val="auto"/>
        </w:rPr>
      </w:pPr>
    </w:p>
    <w:p>
      <w:pPr>
        <w:ind w:left="100" w:right="1040" w:hanging="112"/>
        <w:spacing w:after="0" w:line="249" w:lineRule="auto"/>
        <w:rPr>
          <w:sz w:val="20"/>
          <w:szCs w:val="20"/>
          <w:color w:val="auto"/>
        </w:rPr>
      </w:pPr>
      <w:r>
        <w:rPr>
          <w:rFonts w:ascii="Times New Roman" w:cs="Times New Roman" w:eastAsia="Times New Roman" w:hAnsi="Times New Roman"/>
          <w:sz w:val="15"/>
          <w:szCs w:val="15"/>
          <w:color w:val="auto"/>
        </w:rPr>
        <w:t>Sale of common stock in at-the-market offerings, net of issuance costs of $518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Stock-based compensation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Unrealized gain on marketable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-102870</wp:posOffset>
                </wp:positionV>
                <wp:extent cx="2761615" cy="12763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1615" cy="127635"/>
                        </a:xfrm>
                        <a:prstGeom prst="rect">
                          <a:avLst/>
                        </a:prstGeom>
                        <a:solidFill>
                          <a:srgbClr val="E0E0E0"/>
                        </a:solidFill>
                      </wps:spPr>
                      <wps:bodyPr/>
                    </wps:wsp>
                  </a:graphicData>
                </a:graphic>
              </wp:anchor>
            </w:drawing>
          </mc:Choice>
          <mc:Fallback>
            <w:pict>
              <v:rect id="Shape 52" o:spid="_x0000_s1077" style="position:absolute;margin-left:-0.3499pt;margin-top:-8.0999pt;width:217.4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upon exercise of 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upon vesting of restricted stock units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Issuance of common stock under employee stock purchase plan</w:t>
      </w:r>
    </w:p>
    <w:p>
      <w:pPr>
        <w:spacing w:after="0" w:line="14" w:lineRule="exact"/>
        <w:rPr>
          <w:sz w:val="20"/>
          <w:szCs w:val="20"/>
          <w:color w:val="auto"/>
        </w:rPr>
      </w:pPr>
    </w:p>
    <w:p>
      <w:pPr>
        <w:ind w:left="100" w:right="1080" w:hanging="112"/>
        <w:spacing w:after="0" w:line="249" w:lineRule="auto"/>
        <w:rPr>
          <w:sz w:val="20"/>
          <w:szCs w:val="20"/>
          <w:color w:val="auto"/>
        </w:rPr>
      </w:pPr>
      <w:r>
        <w:rPr>
          <w:rFonts w:ascii="Times New Roman" w:cs="Times New Roman" w:eastAsia="Times New Roman" w:hAnsi="Times New Roman"/>
          <w:sz w:val="15"/>
          <w:szCs w:val="15"/>
          <w:color w:val="auto"/>
        </w:rPr>
        <w:t>Sale of common stock in underwritten offerings, net of issuance costs of $28,978</w:t>
      </w:r>
    </w:p>
    <w:p>
      <w:pPr>
        <w:spacing w:after="0" w:line="1" w:lineRule="exact"/>
        <w:rPr>
          <w:sz w:val="20"/>
          <w:szCs w:val="20"/>
          <w:color w:val="auto"/>
        </w:rPr>
      </w:pPr>
    </w:p>
    <w:p>
      <w:pPr>
        <w:ind w:left="100" w:right="740" w:hanging="112"/>
        <w:spacing w:after="0" w:line="249" w:lineRule="auto"/>
        <w:rPr>
          <w:sz w:val="20"/>
          <w:szCs w:val="20"/>
          <w:color w:val="auto"/>
        </w:rPr>
      </w:pPr>
      <w:r>
        <w:rPr>
          <w:rFonts w:ascii="Times New Roman" w:cs="Times New Roman" w:eastAsia="Times New Roman" w:hAnsi="Times New Roman"/>
          <w:sz w:val="15"/>
          <w:szCs w:val="15"/>
          <w:color w:val="auto"/>
        </w:rPr>
        <w:t>Sale of pre-funded warrants in underwritten offerings, net of issuance costs of $925</w:t>
      </w:r>
    </w:p>
    <w:p>
      <w:pPr>
        <w:spacing w:after="0" w:line="1" w:lineRule="exact"/>
        <w:rPr>
          <w:sz w:val="20"/>
          <w:szCs w:val="20"/>
          <w:color w:val="auto"/>
        </w:rPr>
      </w:pPr>
    </w:p>
    <w:p>
      <w:pPr>
        <w:ind w:left="100" w:right="1100" w:hanging="112"/>
        <w:spacing w:after="0" w:line="249" w:lineRule="auto"/>
        <w:rPr>
          <w:sz w:val="20"/>
          <w:szCs w:val="20"/>
          <w:color w:val="auto"/>
        </w:rPr>
      </w:pPr>
      <w:r>
        <w:rPr>
          <w:rFonts w:ascii="Times New Roman" w:cs="Times New Roman" w:eastAsia="Times New Roman" w:hAnsi="Times New Roman"/>
          <w:sz w:val="15"/>
          <w:szCs w:val="15"/>
          <w:color w:val="auto"/>
        </w:rPr>
        <w:t>Sale of common stock in at-the-market offering, net of issuance costs of $302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Stock-based compensation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Unrealized gain on marketable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Balance at December 31, 2025</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44"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20"/>
          <w:szCs w:val="20"/>
          <w:b w:val="1"/>
          <w:bCs w:val="1"/>
          <w:color w:val="auto"/>
        </w:rPr>
        <w:t>CONSOLIDATED STATEMENTS STOCKHOLDERS’ EQUITY</w:t>
      </w:r>
    </w:p>
    <w:p>
      <w:pPr>
        <w:jc w:val="center"/>
        <w:ind w:right="4180"/>
        <w:spacing w:after="0" w:line="233" w:lineRule="auto"/>
        <w:rPr>
          <w:sz w:val="20"/>
          <w:szCs w:val="20"/>
          <w:color w:val="auto"/>
        </w:rPr>
      </w:pPr>
      <w:r>
        <w:rPr>
          <w:rFonts w:ascii="Times New Roman" w:cs="Times New Roman" w:eastAsia="Times New Roman" w:hAnsi="Times New Roman"/>
          <w:sz w:val="20"/>
          <w:szCs w:val="20"/>
          <w:i w:val="1"/>
          <w:iCs w:val="1"/>
          <w:color w:val="auto"/>
        </w:rPr>
        <w:t>(In thousands, except share and per share amounts)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760" w:type="dxa"/>
            <w:vAlign w:val="bottom"/>
            <w:gridSpan w:val="6"/>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Accumulated 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760" w:type="dxa"/>
            <w:vAlign w:val="bottom"/>
            <w:gridSpan w:val="6"/>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$0.0001 Par Value</w:t>
            </w:r>
          </w:p>
        </w:tc>
        <w:tc>
          <w:tcPr>
            <w:tcW w:w="36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45"/>
        </w:trPr>
        <w:tc>
          <w:tcPr>
            <w:tcW w:w="14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Borders>
              <w:bottom w:val="single" w:sz="8" w:color="auto"/>
            </w:tcBorders>
          </w:tcPr>
          <w:p>
            <w:pPr>
              <w:spacing w:after="0"/>
              <w:rPr>
                <w:sz w:val="21"/>
                <w:szCs w:val="21"/>
                <w:color w:val="auto"/>
              </w:rPr>
            </w:pPr>
          </w:p>
        </w:tc>
        <w:tc>
          <w:tcPr>
            <w:tcW w:w="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66"/>
        </w:trPr>
        <w:tc>
          <w:tcPr>
            <w:tcW w:w="1480" w:type="dxa"/>
            <w:vAlign w:val="bottom"/>
            <w:tcBorders>
              <w:top w:val="single" w:sz="8" w:color="auto"/>
            </w:tcBorders>
            <w:shd w:val="clear" w:color="auto" w:fill="E0E0E0"/>
          </w:tcPr>
          <w:p>
            <w:pPr>
              <w:jc w:val="right"/>
              <w:spacing w:after="0" w:line="166" w:lineRule="exact"/>
              <w:rPr>
                <w:sz w:val="20"/>
                <w:szCs w:val="20"/>
                <w:color w:val="auto"/>
              </w:rPr>
            </w:pPr>
            <w:r>
              <w:rPr>
                <w:rFonts w:ascii="Times New Roman" w:cs="Times New Roman" w:eastAsia="Times New Roman" w:hAnsi="Times New Roman"/>
                <w:sz w:val="15"/>
                <w:szCs w:val="15"/>
                <w:color w:val="auto"/>
              </w:rPr>
              <w:t>17,403,315</w:t>
            </w:r>
          </w:p>
        </w:tc>
        <w:tc>
          <w:tcPr>
            <w:tcW w:w="14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1080" w:type="dxa"/>
            <w:vAlign w:val="bottom"/>
            <w:tcBorders>
              <w:top w:val="single" w:sz="8" w:color="auto"/>
            </w:tcBorders>
            <w:shd w:val="clear" w:color="auto" w:fill="E0E0E0"/>
          </w:tcPr>
          <w:p>
            <w:pPr>
              <w:jc w:val="right"/>
              <w:ind w:right="1030"/>
              <w:spacing w:after="0"/>
              <w:rPr>
                <w:sz w:val="20"/>
                <w:szCs w:val="20"/>
                <w:color w:val="auto"/>
              </w:rPr>
            </w:pPr>
            <w:r>
              <w:rPr>
                <w:rFonts w:ascii="Times New Roman" w:cs="Times New Roman" w:eastAsia="Times New Roman" w:hAnsi="Times New Roman"/>
                <w:sz w:val="1"/>
                <w:szCs w:val="1"/>
                <w:color w:val="auto"/>
                <w:w w:val="4294967286"/>
              </w:rPr>
              <w:t>$</w:t>
            </w:r>
          </w:p>
        </w:tc>
        <w:tc>
          <w:tcPr>
            <w:tcW w:w="360" w:type="dxa"/>
            <w:vAlign w:val="bottom"/>
            <w:tcBorders>
              <w:top w:val="single" w:sz="8" w:color="auto"/>
            </w:tcBorders>
            <w:shd w:val="clear" w:color="auto" w:fill="E0E0E0"/>
          </w:tcPr>
          <w:p>
            <w:pPr>
              <w:jc w:val="right"/>
              <w:spacing w:after="0" w:line="166"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Borders>
              <w:top w:val="single" w:sz="8" w:color="auto"/>
            </w:tcBorders>
            <w:shd w:val="clear" w:color="auto" w:fill="E0E0E0"/>
          </w:tcPr>
          <w:p>
            <w:pPr>
              <w:spacing w:after="0"/>
              <w:rPr>
                <w:sz w:val="14"/>
                <w:szCs w:val="14"/>
                <w:color w:val="auto"/>
              </w:rPr>
            </w:pPr>
          </w:p>
        </w:tc>
        <w:tc>
          <w:tcPr>
            <w:tcW w:w="20" w:type="dxa"/>
            <w:vAlign w:val="bottom"/>
            <w:tcBorders>
              <w:top w:val="single" w:sz="8" w:color="auto"/>
            </w:tcBorders>
            <w:shd w:val="clear" w:color="auto" w:fill="E0E0E0"/>
          </w:tcPr>
          <w:p>
            <w:pPr>
              <w:spacing w:after="0"/>
              <w:rPr>
                <w:sz w:val="14"/>
                <w:szCs w:val="14"/>
                <w:color w:val="auto"/>
              </w:rPr>
            </w:pPr>
          </w:p>
        </w:tc>
        <w:tc>
          <w:tcPr>
            <w:tcW w:w="1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160" w:type="dxa"/>
            <w:vAlign w:val="bottom"/>
            <w:tcBorders>
              <w:top w:val="single" w:sz="8" w:color="auto"/>
            </w:tcBorders>
            <w:shd w:val="clear" w:color="auto" w:fill="E0E0E0"/>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1280" w:type="dxa"/>
            <w:vAlign w:val="bottom"/>
            <w:tcBorders>
              <w:top w:val="single" w:sz="8" w:color="auto"/>
            </w:tcBorders>
            <w:shd w:val="clear" w:color="auto" w:fill="E0E0E0"/>
          </w:tcPr>
          <w:p>
            <w:pPr>
              <w:jc w:val="right"/>
              <w:spacing w:after="0" w:line="166" w:lineRule="exact"/>
              <w:rPr>
                <w:sz w:val="20"/>
                <w:szCs w:val="20"/>
                <w:color w:val="auto"/>
              </w:rPr>
            </w:pPr>
            <w:r>
              <w:rPr>
                <w:rFonts w:ascii="Times New Roman" w:cs="Times New Roman" w:eastAsia="Times New Roman" w:hAnsi="Times New Roman"/>
                <w:sz w:val="15"/>
                <w:szCs w:val="15"/>
                <w:color w:val="auto"/>
              </w:rPr>
              <w:t>288,814</w:t>
            </w:r>
          </w:p>
        </w:tc>
        <w:tc>
          <w:tcPr>
            <w:tcW w:w="0" w:type="dxa"/>
            <w:vAlign w:val="bottom"/>
            <w:tcBorders>
              <w:top w:val="single" w:sz="8" w:color="auto"/>
            </w:tcBorders>
            <w:shd w:val="clear" w:color="auto" w:fill="E0E0E0"/>
          </w:tcPr>
          <w:p>
            <w:pPr>
              <w:spacing w:after="0"/>
              <w:rPr>
                <w:sz w:val="14"/>
                <w:szCs w:val="14"/>
                <w:color w:val="auto"/>
              </w:rPr>
            </w:pPr>
          </w:p>
        </w:tc>
        <w:tc>
          <w:tcPr>
            <w:tcW w:w="14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60" w:type="dxa"/>
            <w:vAlign w:val="bottom"/>
            <w:tcBorders>
              <w:top w:val="single" w:sz="8" w:color="auto"/>
            </w:tcBorders>
            <w:shd w:val="clear" w:color="auto" w:fill="E0E0E0"/>
          </w:tcPr>
          <w:p>
            <w:pPr>
              <w:jc w:val="right"/>
              <w:ind w:right="10"/>
              <w:spacing w:after="0"/>
              <w:rPr>
                <w:sz w:val="20"/>
                <w:szCs w:val="20"/>
                <w:color w:val="auto"/>
              </w:rPr>
            </w:pPr>
            <w:r>
              <w:rPr>
                <w:rFonts w:ascii="Times New Roman" w:cs="Times New Roman" w:eastAsia="Times New Roman" w:hAnsi="Times New Roman"/>
                <w:sz w:val="1"/>
                <w:szCs w:val="1"/>
                <w:color w:val="auto"/>
                <w:w w:val="4294967286"/>
              </w:rPr>
              <w:t>$</w:t>
            </w:r>
          </w:p>
        </w:tc>
        <w:tc>
          <w:tcPr>
            <w:tcW w:w="1440" w:type="dxa"/>
            <w:vAlign w:val="bottom"/>
            <w:tcBorders>
              <w:top w:val="single" w:sz="8" w:color="auto"/>
            </w:tcBorders>
            <w:gridSpan w:val="3"/>
            <w:shd w:val="clear" w:color="auto" w:fill="E0E0E0"/>
          </w:tcPr>
          <w:p>
            <w:pPr>
              <w:jc w:val="right"/>
              <w:ind w:right="120"/>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auto"/>
            </w:tcBorders>
            <w:shd w:val="clear" w:color="auto" w:fill="E0E0E0"/>
          </w:tcPr>
          <w:p>
            <w:pPr>
              <w:spacing w:after="0"/>
              <w:rPr>
                <w:sz w:val="14"/>
                <w:szCs w:val="14"/>
                <w:color w:val="auto"/>
              </w:rPr>
            </w:pPr>
          </w:p>
        </w:tc>
        <w:tc>
          <w:tcPr>
            <w:tcW w:w="80" w:type="dxa"/>
            <w:vAlign w:val="bottom"/>
            <w:tcBorders>
              <w:top w:val="single" w:sz="8" w:color="auto"/>
            </w:tcBorders>
            <w:shd w:val="clear" w:color="auto" w:fill="E0E0E0"/>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tcBorders>
            <w:shd w:val="clear" w:color="auto" w:fill="E0E0E0"/>
          </w:tcPr>
          <w:p>
            <w:pPr>
              <w:jc w:val="right"/>
              <w:spacing w:after="0" w:line="166" w:lineRule="exact"/>
              <w:rPr>
                <w:sz w:val="20"/>
                <w:szCs w:val="20"/>
                <w:color w:val="auto"/>
              </w:rPr>
            </w:pPr>
            <w:r>
              <w:rPr>
                <w:rFonts w:ascii="Times New Roman" w:cs="Times New Roman" w:eastAsia="Times New Roman" w:hAnsi="Times New Roman"/>
                <w:sz w:val="15"/>
                <w:szCs w:val="15"/>
                <w:color w:val="auto"/>
              </w:rPr>
              <w:t>(112,216)</w:t>
            </w:r>
          </w:p>
        </w:tc>
        <w:tc>
          <w:tcPr>
            <w:tcW w:w="0" w:type="dxa"/>
            <w:vAlign w:val="bottom"/>
            <w:tcBorders>
              <w:top w:val="single" w:sz="8" w:color="auto"/>
            </w:tcBorders>
            <w:shd w:val="clear" w:color="auto" w:fill="E0E0E0"/>
          </w:tcPr>
          <w:p>
            <w:pPr>
              <w:spacing w:after="0"/>
              <w:rPr>
                <w:sz w:val="14"/>
                <w:szCs w:val="14"/>
                <w:color w:val="auto"/>
              </w:rPr>
            </w:pPr>
          </w:p>
        </w:tc>
        <w:tc>
          <w:tcPr>
            <w:tcW w:w="14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20" w:type="dxa"/>
            <w:vAlign w:val="bottom"/>
            <w:tcBorders>
              <w:top w:val="single" w:sz="8" w:color="E0E0E0"/>
            </w:tcBorders>
            <w:shd w:val="clear" w:color="auto" w:fill="E0E0E0"/>
          </w:tcPr>
          <w:p>
            <w:pPr>
              <w:spacing w:after="0"/>
              <w:rPr>
                <w:sz w:val="14"/>
                <w:szCs w:val="14"/>
                <w:color w:val="auto"/>
              </w:rPr>
            </w:pPr>
          </w:p>
        </w:tc>
        <w:tc>
          <w:tcPr>
            <w:tcW w:w="100" w:type="dxa"/>
            <w:vAlign w:val="bottom"/>
            <w:shd w:val="clear" w:color="auto" w:fill="E0E0E0"/>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1340" w:type="dxa"/>
            <w:vAlign w:val="bottom"/>
            <w:shd w:val="clear" w:color="auto" w:fill="E0E0E0"/>
          </w:tcPr>
          <w:p>
            <w:pPr>
              <w:jc w:val="right"/>
              <w:ind w:right="5"/>
              <w:spacing w:after="0" w:line="166" w:lineRule="exact"/>
              <w:rPr>
                <w:sz w:val="20"/>
                <w:szCs w:val="20"/>
                <w:color w:val="auto"/>
              </w:rPr>
            </w:pPr>
            <w:r>
              <w:rPr>
                <w:rFonts w:ascii="Times New Roman" w:cs="Times New Roman" w:eastAsia="Times New Roman" w:hAnsi="Times New Roman"/>
                <w:sz w:val="15"/>
                <w:szCs w:val="15"/>
                <w:color w:val="auto"/>
              </w:rPr>
              <w:t>176,600</w:t>
            </w:r>
          </w:p>
        </w:tc>
        <w:tc>
          <w:tcPr>
            <w:tcW w:w="0" w:type="dxa"/>
            <w:vAlign w:val="bottom"/>
          </w:tcPr>
          <w:p>
            <w:pPr>
              <w:spacing w:after="0"/>
              <w:rPr>
                <w:sz w:val="1"/>
                <w:szCs w:val="1"/>
                <w:color w:val="auto"/>
              </w:rPr>
            </w:pPr>
          </w:p>
        </w:tc>
      </w:tr>
      <w:tr>
        <w:trPr>
          <w:trHeight w:val="161"/>
        </w:trPr>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254,432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gridSpan w:val="3"/>
          </w:tcPr>
          <w:p>
            <w:pPr>
              <w:jc w:val="right"/>
              <w:ind w:right="8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2,763</w:t>
            </w:r>
          </w:p>
        </w:tc>
        <w:tc>
          <w:tcPr>
            <w:tcW w:w="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tcPr>
          <w:p>
            <w:pPr>
              <w:jc w:val="right"/>
              <w:ind w:right="1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8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5"/>
              <w:spacing w:after="0" w:line="161" w:lineRule="exact"/>
              <w:rPr>
                <w:sz w:val="20"/>
                <w:szCs w:val="20"/>
                <w:color w:val="auto"/>
              </w:rPr>
            </w:pPr>
            <w:r>
              <w:rPr>
                <w:rFonts w:ascii="Times New Roman" w:cs="Times New Roman" w:eastAsia="Times New Roman" w:hAnsi="Times New Roman"/>
                <w:sz w:val="15"/>
                <w:szCs w:val="15"/>
                <w:color w:val="auto"/>
              </w:rPr>
              <w:t>2,763</w:t>
            </w:r>
          </w:p>
        </w:tc>
        <w:tc>
          <w:tcPr>
            <w:tcW w:w="0" w:type="dxa"/>
            <w:vAlign w:val="bottom"/>
          </w:tcPr>
          <w:p>
            <w:pPr>
              <w:spacing w:after="0"/>
              <w:rPr>
                <w:sz w:val="1"/>
                <w:szCs w:val="1"/>
                <w:color w:val="auto"/>
              </w:rPr>
            </w:pPr>
          </w:p>
        </w:tc>
      </w:tr>
      <w:tr>
        <w:trPr>
          <w:trHeight w:val="186"/>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1,229,221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3"/>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3,015,919</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138,508</w:t>
            </w:r>
          </w:p>
        </w:tc>
        <w:tc>
          <w:tcPr>
            <w:tcW w:w="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138,508</w:t>
            </w:r>
          </w:p>
        </w:tc>
        <w:tc>
          <w:tcPr>
            <w:tcW w:w="0" w:type="dxa"/>
            <w:vAlign w:val="bottom"/>
          </w:tcPr>
          <w:p>
            <w:pPr>
              <w:spacing w:after="0"/>
              <w:rPr>
                <w:sz w:val="1"/>
                <w:szCs w:val="1"/>
                <w:color w:val="auto"/>
              </w:rPr>
            </w:pPr>
          </w:p>
        </w:tc>
      </w:tr>
      <w:tr>
        <w:trPr>
          <w:trHeight w:val="35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9,373</w:t>
            </w:r>
          </w:p>
        </w:tc>
        <w:tc>
          <w:tcPr>
            <w:tcW w:w="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9,373</w:t>
            </w:r>
          </w:p>
        </w:tc>
        <w:tc>
          <w:tcPr>
            <w:tcW w:w="0" w:type="dxa"/>
            <w:vAlign w:val="bottom"/>
          </w:tcPr>
          <w:p>
            <w:pPr>
              <w:spacing w:after="0"/>
              <w:rPr>
                <w:sz w:val="1"/>
                <w:szCs w:val="1"/>
                <w:color w:val="auto"/>
              </w:rPr>
            </w:pPr>
          </w:p>
        </w:tc>
      </w:tr>
      <w:tr>
        <w:trPr>
          <w:trHeight w:val="35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1,488,166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34,148</w:t>
            </w:r>
          </w:p>
        </w:tc>
        <w:tc>
          <w:tcPr>
            <w:tcW w:w="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34,148</w:t>
            </w:r>
          </w:p>
        </w:tc>
        <w:tc>
          <w:tcPr>
            <w:tcW w:w="0" w:type="dxa"/>
            <w:vAlign w:val="bottom"/>
          </w:tcPr>
          <w:p>
            <w:pPr>
              <w:spacing w:after="0"/>
              <w:rPr>
                <w:sz w:val="1"/>
                <w:szCs w:val="1"/>
                <w:color w:val="auto"/>
              </w:rPr>
            </w:pPr>
          </w:p>
        </w:tc>
      </w:tr>
      <w:tr>
        <w:trPr>
          <w:trHeight w:val="35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28,206</w:t>
            </w:r>
          </w:p>
        </w:tc>
        <w:tc>
          <w:tcPr>
            <w:tcW w:w="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28,206</w:t>
            </w:r>
          </w:p>
        </w:tc>
        <w:tc>
          <w:tcPr>
            <w:tcW w:w="0" w:type="dxa"/>
            <w:vAlign w:val="bottom"/>
          </w:tcPr>
          <w:p>
            <w:pPr>
              <w:spacing w:after="0"/>
              <w:rPr>
                <w:sz w:val="1"/>
                <w:szCs w:val="1"/>
                <w:color w:val="auto"/>
              </w:rPr>
            </w:pPr>
          </w:p>
        </w:tc>
      </w:tr>
      <w:tr>
        <w:trPr>
          <w:trHeight w:val="35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967,264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26,422</w:t>
            </w:r>
          </w:p>
        </w:tc>
        <w:tc>
          <w:tcPr>
            <w:tcW w:w="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26,422</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5,530</w:t>
            </w:r>
          </w:p>
        </w:tc>
        <w:tc>
          <w:tcPr>
            <w:tcW w:w="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5,530</w:t>
            </w:r>
          </w:p>
        </w:tc>
        <w:tc>
          <w:tcPr>
            <w:tcW w:w="0" w:type="dxa"/>
            <w:vAlign w:val="bottom"/>
          </w:tcPr>
          <w:p>
            <w:pPr>
              <w:spacing w:after="0"/>
              <w:rPr>
                <w:sz w:val="1"/>
                <w:szCs w:val="1"/>
                <w:color w:val="auto"/>
              </w:rPr>
            </w:pPr>
          </w:p>
        </w:tc>
      </w:tr>
      <w:tr>
        <w:trPr>
          <w:trHeight w:val="227"/>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(76,429)</w:t>
            </w:r>
          </w:p>
        </w:tc>
        <w:tc>
          <w:tcPr>
            <w:tcW w:w="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(76,429)</w:t>
            </w:r>
          </w:p>
        </w:tc>
        <w:tc>
          <w:tcPr>
            <w:tcW w:w="0" w:type="dxa"/>
            <w:vAlign w:val="bottom"/>
          </w:tcPr>
          <w:p>
            <w:pPr>
              <w:spacing w:after="0"/>
              <w:rPr>
                <w:sz w:val="1"/>
                <w:szCs w:val="1"/>
                <w:color w:val="auto"/>
              </w:rPr>
            </w:pPr>
          </w:p>
        </w:tc>
      </w:tr>
      <w:tr>
        <w:trPr>
          <w:trHeight w:val="206"/>
        </w:trPr>
        <w:tc>
          <w:tcPr>
            <w:tcW w:w="14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24,360,233</w:t>
            </w:r>
          </w:p>
        </w:tc>
        <w:tc>
          <w:tcPr>
            <w:tcW w:w="14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533,764</w:t>
            </w:r>
          </w:p>
        </w:tc>
        <w:tc>
          <w:tcPr>
            <w:tcW w:w="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top w:val="single" w:sz="8" w:color="auto"/>
              <w:bottom w:val="single" w:sz="8" w:color="auto"/>
            </w:tcBorders>
            <w:gridSpan w:val="2"/>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(188,645)</w:t>
            </w:r>
          </w:p>
        </w:tc>
        <w:tc>
          <w:tcPr>
            <w:tcW w:w="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bottom w:val="single" w:sz="8" w:color="auto"/>
            </w:tcBorders>
          </w:tcPr>
          <w:p>
            <w:pPr>
              <w:jc w:val="right"/>
              <w:ind w:right="5"/>
              <w:spacing w:after="0" w:line="167" w:lineRule="exact"/>
              <w:rPr>
                <w:sz w:val="20"/>
                <w:szCs w:val="20"/>
                <w:color w:val="auto"/>
              </w:rPr>
            </w:pPr>
            <w:r>
              <w:rPr>
                <w:rFonts w:ascii="Times New Roman" w:cs="Times New Roman" w:eastAsia="Times New Roman" w:hAnsi="Times New Roman"/>
                <w:sz w:val="15"/>
                <w:szCs w:val="15"/>
                <w:color w:val="auto"/>
              </w:rPr>
              <w:t>345,121</w:t>
            </w:r>
          </w:p>
        </w:tc>
        <w:tc>
          <w:tcPr>
            <w:tcW w:w="0" w:type="dxa"/>
            <w:vAlign w:val="bottom"/>
          </w:tcPr>
          <w:p>
            <w:pPr>
              <w:spacing w:after="0"/>
              <w:rPr>
                <w:sz w:val="1"/>
                <w:szCs w:val="1"/>
                <w:color w:val="auto"/>
              </w:rPr>
            </w:pPr>
          </w:p>
        </w:tc>
      </w:tr>
      <w:tr>
        <w:trPr>
          <w:trHeight w:val="171"/>
        </w:trPr>
        <w:tc>
          <w:tcPr>
            <w:tcW w:w="1480" w:type="dxa"/>
            <w:vAlign w:val="bottom"/>
            <w:shd w:val="clear" w:color="auto" w:fill="E0E0E0"/>
          </w:tcPr>
          <w:p>
            <w:pPr>
              <w:jc w:val="right"/>
              <w:spacing w:after="0" w:line="172" w:lineRule="exact"/>
              <w:rPr>
                <w:sz w:val="20"/>
                <w:szCs w:val="20"/>
                <w:color w:val="auto"/>
              </w:rPr>
            </w:pPr>
            <w:r>
              <w:rPr>
                <w:rFonts w:ascii="Times New Roman" w:cs="Times New Roman" w:eastAsia="Times New Roman" w:hAnsi="Times New Roman"/>
                <w:sz w:val="15"/>
                <w:szCs w:val="15"/>
                <w:color w:val="auto"/>
              </w:rPr>
              <w:t>315,266</w:t>
            </w:r>
          </w:p>
        </w:tc>
        <w:tc>
          <w:tcPr>
            <w:tcW w:w="1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80" w:type="dxa"/>
            <w:vAlign w:val="bottom"/>
            <w:shd w:val="clear" w:color="auto" w:fill="E0E0E0"/>
          </w:tcPr>
          <w:p>
            <w:pPr>
              <w:spacing w:after="0"/>
              <w:rPr>
                <w:sz w:val="14"/>
                <w:szCs w:val="14"/>
                <w:color w:val="auto"/>
              </w:rPr>
            </w:pPr>
          </w:p>
        </w:tc>
        <w:tc>
          <w:tcPr>
            <w:tcW w:w="380" w:type="dxa"/>
            <w:vAlign w:val="bottom"/>
            <w:gridSpan w:val="3"/>
            <w:shd w:val="clear" w:color="auto" w:fill="E0E0E0"/>
          </w:tcPr>
          <w:p>
            <w:pPr>
              <w:jc w:val="right"/>
              <w:ind w:right="8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1280" w:type="dxa"/>
            <w:vAlign w:val="bottom"/>
            <w:shd w:val="clear" w:color="auto" w:fill="E0E0E0"/>
          </w:tcPr>
          <w:p>
            <w:pPr>
              <w:jc w:val="right"/>
              <w:spacing w:after="0" w:line="172" w:lineRule="exact"/>
              <w:rPr>
                <w:sz w:val="20"/>
                <w:szCs w:val="20"/>
                <w:color w:val="auto"/>
              </w:rPr>
            </w:pPr>
            <w:r>
              <w:rPr>
                <w:rFonts w:ascii="Times New Roman" w:cs="Times New Roman" w:eastAsia="Times New Roman" w:hAnsi="Times New Roman"/>
                <w:sz w:val="15"/>
                <w:szCs w:val="15"/>
                <w:color w:val="auto"/>
              </w:rPr>
              <w:t>2,976</w:t>
            </w:r>
          </w:p>
        </w:tc>
        <w:tc>
          <w:tcPr>
            <w:tcW w:w="0" w:type="dxa"/>
            <w:vAlign w:val="bottom"/>
            <w:shd w:val="clear" w:color="auto" w:fill="E0E0E0"/>
          </w:tcPr>
          <w:p>
            <w:pPr>
              <w:spacing w:after="0"/>
              <w:rPr>
                <w:sz w:val="14"/>
                <w:szCs w:val="14"/>
                <w:color w:val="auto"/>
              </w:rPr>
            </w:pPr>
          </w:p>
        </w:tc>
        <w:tc>
          <w:tcPr>
            <w:tcW w:w="1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60" w:type="dxa"/>
            <w:vAlign w:val="bottom"/>
            <w:shd w:val="clear" w:color="auto" w:fill="E0E0E0"/>
          </w:tcPr>
          <w:p>
            <w:pPr>
              <w:spacing w:after="0"/>
              <w:rPr>
                <w:sz w:val="14"/>
                <w:szCs w:val="14"/>
                <w:color w:val="auto"/>
              </w:rPr>
            </w:pPr>
          </w:p>
        </w:tc>
        <w:tc>
          <w:tcPr>
            <w:tcW w:w="1440" w:type="dxa"/>
            <w:vAlign w:val="bottom"/>
            <w:gridSpan w:val="3"/>
            <w:shd w:val="clear" w:color="auto" w:fill="E0E0E0"/>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80" w:type="dxa"/>
            <w:vAlign w:val="bottom"/>
            <w:shd w:val="clear" w:color="auto" w:fill="E0E0E0"/>
          </w:tcPr>
          <w:p>
            <w:pPr>
              <w:spacing w:after="0"/>
              <w:rPr>
                <w:sz w:val="14"/>
                <w:szCs w:val="14"/>
                <w:color w:val="auto"/>
              </w:rPr>
            </w:pPr>
          </w:p>
        </w:tc>
        <w:tc>
          <w:tcPr>
            <w:tcW w:w="1340" w:type="dxa"/>
            <w:vAlign w:val="bottom"/>
            <w:gridSpan w:val="2"/>
            <w:shd w:val="clear" w:color="auto" w:fill="E0E0E0"/>
          </w:tcPr>
          <w:p>
            <w:pPr>
              <w:jc w:val="right"/>
              <w:ind w:right="8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1340" w:type="dxa"/>
            <w:vAlign w:val="bottom"/>
            <w:shd w:val="clear" w:color="auto" w:fill="E0E0E0"/>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2,976</w:t>
            </w:r>
          </w:p>
        </w:tc>
        <w:tc>
          <w:tcPr>
            <w:tcW w:w="0" w:type="dxa"/>
            <w:vAlign w:val="bottom"/>
          </w:tcPr>
          <w:p>
            <w:pPr>
              <w:spacing w:after="0"/>
              <w:rPr>
                <w:sz w:val="1"/>
                <w:szCs w:val="1"/>
                <w:color w:val="auto"/>
              </w:rPr>
            </w:pPr>
          </w:p>
        </w:tc>
      </w:tr>
      <w:tr>
        <w:trPr>
          <w:trHeight w:val="202"/>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w:t>
            </w:r>
          </w:p>
        </w:tc>
        <w:tc>
          <w:tcPr>
            <w:tcW w:w="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441</w:t>
            </w:r>
          </w:p>
        </w:tc>
        <w:tc>
          <w:tcPr>
            <w:tcW w:w="0" w:type="dxa"/>
            <w:vAlign w:val="bottom"/>
          </w:tcPr>
          <w:p>
            <w:pPr>
              <w:spacing w:after="0"/>
              <w:rPr>
                <w:sz w:val="1"/>
                <w:szCs w:val="1"/>
                <w:color w:val="auto"/>
              </w:rPr>
            </w:pPr>
          </w:p>
        </w:tc>
      </w:tr>
      <w:tr>
        <w:trPr>
          <w:trHeight w:val="247"/>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4,944,000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172,511</w:t>
            </w:r>
          </w:p>
        </w:tc>
        <w:tc>
          <w:tcPr>
            <w:tcW w:w="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172,512</w:t>
            </w:r>
          </w:p>
        </w:tc>
        <w:tc>
          <w:tcPr>
            <w:tcW w:w="0" w:type="dxa"/>
            <w:vAlign w:val="bottom"/>
          </w:tcPr>
          <w:p>
            <w:pPr>
              <w:spacing w:after="0"/>
              <w:rPr>
                <w:sz w:val="1"/>
                <w:szCs w:val="1"/>
                <w:color w:val="auto"/>
              </w:rPr>
            </w:pPr>
          </w:p>
        </w:tc>
      </w:tr>
      <w:tr>
        <w:trPr>
          <w:trHeight w:val="35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234,449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14,790</w:t>
            </w:r>
          </w:p>
        </w:tc>
        <w:tc>
          <w:tcPr>
            <w:tcW w:w="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14,790</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16,815</w:t>
            </w:r>
          </w:p>
        </w:tc>
        <w:tc>
          <w:tcPr>
            <w:tcW w:w="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16,815</w:t>
            </w:r>
          </w:p>
        </w:tc>
        <w:tc>
          <w:tcPr>
            <w:tcW w:w="0" w:type="dxa"/>
            <w:vAlign w:val="bottom"/>
          </w:tcPr>
          <w:p>
            <w:pPr>
              <w:spacing w:after="0"/>
              <w:rPr>
                <w:sz w:val="1"/>
                <w:szCs w:val="1"/>
                <w:color w:val="auto"/>
              </w:rPr>
            </w:pPr>
          </w:p>
        </w:tc>
      </w:tr>
      <w:tr>
        <w:trPr>
          <w:trHeight w:val="186"/>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86"/>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316</w:t>
            </w:r>
          </w:p>
        </w:tc>
        <w:tc>
          <w:tcPr>
            <w:tcW w:w="0" w:type="dxa"/>
            <w:vAlign w:val="bottom"/>
          </w:tcPr>
          <w:p>
            <w:pPr>
              <w:spacing w:after="0"/>
              <w:rPr>
                <w:sz w:val="1"/>
                <w:szCs w:val="1"/>
                <w:color w:val="auto"/>
              </w:rPr>
            </w:pPr>
          </w:p>
        </w:tc>
      </w:tr>
      <w:tr>
        <w:trPr>
          <w:trHeight w:val="207"/>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(109,357)</w:t>
            </w:r>
          </w:p>
        </w:tc>
        <w:tc>
          <w:tcPr>
            <w:tcW w:w="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(109,357)</w:t>
            </w:r>
          </w:p>
        </w:tc>
        <w:tc>
          <w:tcPr>
            <w:tcW w:w="0" w:type="dxa"/>
            <w:vAlign w:val="bottom"/>
          </w:tcPr>
          <w:p>
            <w:pPr>
              <w:spacing w:after="0"/>
              <w:rPr>
                <w:sz w:val="1"/>
                <w:szCs w:val="1"/>
                <w:color w:val="auto"/>
              </w:rPr>
            </w:pPr>
          </w:p>
        </w:tc>
      </w:tr>
      <w:tr>
        <w:trPr>
          <w:trHeight w:val="206"/>
        </w:trPr>
        <w:tc>
          <w:tcPr>
            <w:tcW w:w="14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29,865,030</w:t>
            </w:r>
          </w:p>
        </w:tc>
        <w:tc>
          <w:tcPr>
            <w:tcW w:w="140" w:type="dxa"/>
            <w:vAlign w:val="bottom"/>
            <w:tcBorders>
              <w:top w:val="single" w:sz="8" w:color="E0E0E0"/>
              <w:bottom w:val="single" w:sz="8" w:color="E0E0E0"/>
            </w:tcBorders>
            <w:shd w:val="clear" w:color="auto" w:fill="E0E0E0"/>
          </w:tcPr>
          <w:p>
            <w:pPr>
              <w:spacing w:after="0"/>
              <w:rPr>
                <w:sz w:val="17"/>
                <w:szCs w:val="17"/>
                <w:color w:val="auto"/>
              </w:rPr>
            </w:pPr>
          </w:p>
        </w:tc>
        <w:tc>
          <w:tcPr>
            <w:tcW w:w="20" w:type="dxa"/>
            <w:vAlign w:val="bottom"/>
            <w:tcBorders>
              <w:top w:val="single" w:sz="8" w:color="E0E0E0"/>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1080" w:type="dxa"/>
            <w:vAlign w:val="bottom"/>
            <w:tcBorders>
              <w:top w:val="single" w:sz="8" w:color="auto"/>
              <w:bottom w:val="single" w:sz="8" w:color="auto"/>
            </w:tcBorders>
            <w:shd w:val="clear" w:color="auto" w:fill="E0E0E0"/>
          </w:tcPr>
          <w:p>
            <w:pPr>
              <w:jc w:val="right"/>
              <w:ind w:right="1030"/>
              <w:spacing w:after="0"/>
              <w:rPr>
                <w:sz w:val="20"/>
                <w:szCs w:val="20"/>
                <w:color w:val="auto"/>
              </w:rPr>
            </w:pPr>
            <w:r>
              <w:rPr>
                <w:rFonts w:ascii="Times New Roman" w:cs="Times New Roman" w:eastAsia="Times New Roman" w:hAnsi="Times New Roman"/>
                <w:sz w:val="1"/>
                <w:szCs w:val="1"/>
                <w:color w:val="auto"/>
                <w:w w:val="4294967286"/>
              </w:rPr>
              <w:t>$</w:t>
            </w:r>
          </w:p>
        </w:tc>
        <w:tc>
          <w:tcPr>
            <w:tcW w:w="3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Borders>
              <w:top w:val="single" w:sz="8" w:color="auto"/>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20" w:type="dxa"/>
            <w:vAlign w:val="bottom"/>
            <w:tcBorders>
              <w:top w:val="single" w:sz="8" w:color="E0E0E0"/>
              <w:bottom w:val="single" w:sz="8" w:color="E0E0E0"/>
            </w:tcBorders>
            <w:shd w:val="clear" w:color="auto" w:fill="E0E0E0"/>
          </w:tcPr>
          <w:p>
            <w:pPr>
              <w:spacing w:after="0"/>
              <w:rPr>
                <w:sz w:val="17"/>
                <w:szCs w:val="17"/>
                <w:color w:val="auto"/>
              </w:rPr>
            </w:pPr>
          </w:p>
        </w:tc>
        <w:tc>
          <w:tcPr>
            <w:tcW w:w="20" w:type="dxa"/>
            <w:vAlign w:val="bottom"/>
            <w:tcBorders>
              <w:top w:val="single" w:sz="8" w:color="E0E0E0"/>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160" w:type="dxa"/>
            <w:vAlign w:val="bottom"/>
            <w:tcBorders>
              <w:top w:val="single" w:sz="8" w:color="auto"/>
              <w:bottom w:val="single" w:sz="8" w:color="auto"/>
            </w:tcBorders>
            <w:shd w:val="clear" w:color="auto" w:fill="E0E0E0"/>
          </w:tcPr>
          <w:p>
            <w:pPr>
              <w:jc w:val="right"/>
              <w:ind w:right="135"/>
              <w:spacing w:after="0"/>
              <w:rPr>
                <w:sz w:val="20"/>
                <w:szCs w:val="20"/>
                <w:color w:val="auto"/>
              </w:rPr>
            </w:pPr>
            <w:r>
              <w:rPr>
                <w:rFonts w:ascii="Times New Roman" w:cs="Times New Roman" w:eastAsia="Times New Roman" w:hAnsi="Times New Roman"/>
                <w:sz w:val="1"/>
                <w:szCs w:val="1"/>
                <w:color w:val="auto"/>
                <w:w w:val="4294967286"/>
              </w:rPr>
              <w:t>$</w:t>
            </w:r>
          </w:p>
        </w:tc>
        <w:tc>
          <w:tcPr>
            <w:tcW w:w="12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741,297</w:t>
            </w:r>
          </w:p>
        </w:tc>
        <w:tc>
          <w:tcPr>
            <w:tcW w:w="0" w:type="dxa"/>
            <w:vAlign w:val="bottom"/>
            <w:tcBorders>
              <w:top w:val="single" w:sz="8" w:color="auto"/>
              <w:bottom w:val="single" w:sz="8" w:color="E0E0E0"/>
            </w:tcBorders>
            <w:shd w:val="clear" w:color="auto" w:fill="E0E0E0"/>
          </w:tcPr>
          <w:p>
            <w:pPr>
              <w:spacing w:after="0"/>
              <w:rPr>
                <w:sz w:val="17"/>
                <w:szCs w:val="17"/>
                <w:color w:val="auto"/>
              </w:rPr>
            </w:pPr>
          </w:p>
        </w:tc>
        <w:tc>
          <w:tcPr>
            <w:tcW w:w="140" w:type="dxa"/>
            <w:vAlign w:val="bottom"/>
            <w:tcBorders>
              <w:top w:val="single" w:sz="8" w:color="E0E0E0"/>
              <w:bottom w:val="single" w:sz="8" w:color="E0E0E0"/>
            </w:tcBorders>
            <w:shd w:val="clear" w:color="auto" w:fill="E0E0E0"/>
          </w:tcPr>
          <w:p>
            <w:pPr>
              <w:spacing w:after="0"/>
              <w:rPr>
                <w:sz w:val="17"/>
                <w:szCs w:val="17"/>
                <w:color w:val="auto"/>
              </w:rPr>
            </w:pPr>
          </w:p>
        </w:tc>
        <w:tc>
          <w:tcPr>
            <w:tcW w:w="20" w:type="dxa"/>
            <w:vAlign w:val="bottom"/>
            <w:tcBorders>
              <w:top w:val="single" w:sz="8" w:color="E0E0E0"/>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60" w:type="dxa"/>
            <w:vAlign w:val="bottom"/>
            <w:tcBorders>
              <w:top w:val="single" w:sz="8" w:color="auto"/>
              <w:bottom w:val="single" w:sz="8" w:color="auto"/>
            </w:tcBorders>
            <w:shd w:val="clear" w:color="auto" w:fill="E0E0E0"/>
          </w:tcPr>
          <w:p>
            <w:pPr>
              <w:jc w:val="right"/>
              <w:ind w:right="10"/>
              <w:spacing w:after="0"/>
              <w:rPr>
                <w:sz w:val="20"/>
                <w:szCs w:val="20"/>
                <w:color w:val="auto"/>
              </w:rPr>
            </w:pPr>
            <w:r>
              <w:rPr>
                <w:rFonts w:ascii="Times New Roman" w:cs="Times New Roman" w:eastAsia="Times New Roman" w:hAnsi="Times New Roman"/>
                <w:sz w:val="1"/>
                <w:szCs w:val="1"/>
                <w:color w:val="auto"/>
                <w:w w:val="4294967286"/>
              </w:rPr>
              <w:t>$</w:t>
            </w:r>
          </w:p>
        </w:tc>
        <w:tc>
          <w:tcPr>
            <w:tcW w:w="1400" w:type="dxa"/>
            <w:vAlign w:val="bottom"/>
            <w:tcBorders>
              <w:top w:val="single" w:sz="8" w:color="auto"/>
              <w:bottom w:val="single" w:sz="8" w:color="auto"/>
            </w:tcBorders>
            <w:shd w:val="clear" w:color="auto" w:fill="E0E0E0"/>
          </w:tcPr>
          <w:p>
            <w:pPr>
              <w:jc w:val="right"/>
              <w:ind w:right="5"/>
              <w:spacing w:after="0"/>
              <w:rPr>
                <w:sz w:val="20"/>
                <w:szCs w:val="20"/>
                <w:color w:val="auto"/>
              </w:rPr>
            </w:pPr>
            <w:r>
              <w:rPr>
                <w:rFonts w:ascii="Times New Roman" w:cs="Times New Roman" w:eastAsia="Times New Roman" w:hAnsi="Times New Roman"/>
                <w:sz w:val="15"/>
                <w:szCs w:val="15"/>
                <w:color w:val="auto"/>
              </w:rPr>
              <w:t>289</w:t>
            </w:r>
          </w:p>
        </w:tc>
        <w:tc>
          <w:tcPr>
            <w:tcW w:w="20" w:type="dxa"/>
            <w:vAlign w:val="bottom"/>
            <w:tcBorders>
              <w:top w:val="single" w:sz="8" w:color="auto"/>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00" w:type="dxa"/>
            <w:vAlign w:val="bottom"/>
            <w:tcBorders>
              <w:top w:val="single" w:sz="8" w:color="E0E0E0"/>
              <w:bottom w:val="single" w:sz="8" w:color="E0E0E0"/>
            </w:tcBorders>
            <w:shd w:val="clear" w:color="auto" w:fill="E0E0E0"/>
          </w:tcPr>
          <w:p>
            <w:pPr>
              <w:spacing w:after="0"/>
              <w:rPr>
                <w:sz w:val="17"/>
                <w:szCs w:val="17"/>
                <w:color w:val="auto"/>
              </w:rPr>
            </w:pPr>
          </w:p>
        </w:tc>
        <w:tc>
          <w:tcPr>
            <w:tcW w:w="20" w:type="dxa"/>
            <w:vAlign w:val="bottom"/>
            <w:tcBorders>
              <w:top w:val="single" w:sz="8" w:color="E0E0E0"/>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80" w:type="dxa"/>
            <w:vAlign w:val="bottom"/>
            <w:tcBorders>
              <w:top w:val="single" w:sz="8" w:color="auto"/>
              <w:bottom w:val="single" w:sz="8" w:color="auto"/>
            </w:tcBorders>
            <w:shd w:val="clear" w:color="auto" w:fill="E0E0E0"/>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(298,002)</w:t>
            </w:r>
          </w:p>
        </w:tc>
        <w:tc>
          <w:tcPr>
            <w:tcW w:w="0" w:type="dxa"/>
            <w:vAlign w:val="bottom"/>
            <w:tcBorders>
              <w:top w:val="single" w:sz="8" w:color="auto"/>
              <w:bottom w:val="single" w:sz="8" w:color="E0E0E0"/>
            </w:tcBorders>
            <w:shd w:val="clear" w:color="auto" w:fill="E0E0E0"/>
          </w:tcPr>
          <w:p>
            <w:pPr>
              <w:spacing w:after="0"/>
              <w:rPr>
                <w:sz w:val="17"/>
                <w:szCs w:val="17"/>
                <w:color w:val="auto"/>
              </w:rPr>
            </w:pPr>
          </w:p>
        </w:tc>
        <w:tc>
          <w:tcPr>
            <w:tcW w:w="140" w:type="dxa"/>
            <w:vAlign w:val="bottom"/>
            <w:tcBorders>
              <w:top w:val="single" w:sz="8" w:color="E0E0E0"/>
              <w:bottom w:val="single" w:sz="8" w:color="E0E0E0"/>
            </w:tcBorders>
            <w:shd w:val="clear" w:color="auto" w:fill="E0E0E0"/>
          </w:tcPr>
          <w:p>
            <w:pPr>
              <w:spacing w:after="0"/>
              <w:rPr>
                <w:sz w:val="17"/>
                <w:szCs w:val="17"/>
                <w:color w:val="auto"/>
              </w:rPr>
            </w:pPr>
          </w:p>
        </w:tc>
        <w:tc>
          <w:tcPr>
            <w:tcW w:w="20" w:type="dxa"/>
            <w:vAlign w:val="bottom"/>
            <w:tcBorders>
              <w:top w:val="single" w:sz="8" w:color="E0E0E0"/>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20" w:type="dxa"/>
            <w:vAlign w:val="bottom"/>
            <w:tcBorders>
              <w:top w:val="single" w:sz="8" w:color="auto"/>
              <w:bottom w:val="single" w:sz="8" w:color="auto"/>
            </w:tcBorders>
            <w:shd w:val="clear" w:color="auto" w:fill="E0E0E0"/>
          </w:tcPr>
          <w:p>
            <w:pPr>
              <w:spacing w:after="0"/>
              <w:rPr>
                <w:sz w:val="17"/>
                <w:szCs w:val="17"/>
                <w:color w:val="auto"/>
              </w:rPr>
            </w:pPr>
          </w:p>
        </w:tc>
        <w:tc>
          <w:tcPr>
            <w:tcW w:w="100" w:type="dxa"/>
            <w:vAlign w:val="bottom"/>
            <w:tcBorders>
              <w:top w:val="single" w:sz="8" w:color="auto"/>
              <w:bottom w:val="single" w:sz="8" w:color="auto"/>
            </w:tcBorders>
            <w:shd w:val="clear" w:color="auto" w:fill="E0E0E0"/>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1340" w:type="dxa"/>
            <w:vAlign w:val="bottom"/>
            <w:tcBorders>
              <w:top w:val="single" w:sz="8" w:color="auto"/>
              <w:bottom w:val="single" w:sz="8" w:color="auto"/>
            </w:tcBorders>
            <w:shd w:val="clear" w:color="auto" w:fill="E0E0E0"/>
          </w:tcPr>
          <w:p>
            <w:pPr>
              <w:jc w:val="right"/>
              <w:ind w:right="5"/>
              <w:spacing w:after="0"/>
              <w:rPr>
                <w:sz w:val="20"/>
                <w:szCs w:val="20"/>
                <w:color w:val="auto"/>
              </w:rPr>
            </w:pPr>
            <w:r>
              <w:rPr>
                <w:rFonts w:ascii="Times New Roman" w:cs="Times New Roman" w:eastAsia="Times New Roman" w:hAnsi="Times New Roman"/>
                <w:sz w:val="15"/>
                <w:szCs w:val="15"/>
                <w:color w:val="auto"/>
              </w:rPr>
              <w:t>443,587</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4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578,872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8,641</w:t>
            </w:r>
          </w:p>
        </w:tc>
        <w:tc>
          <w:tcPr>
            <w:tcW w:w="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jc w:val="right"/>
              <w:ind w:right="5"/>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jc w:val="right"/>
              <w:ind w:right="5"/>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right"/>
              <w:ind w:right="5"/>
              <w:spacing w:after="0" w:line="126" w:lineRule="exact"/>
              <w:rPr>
                <w:sz w:val="20"/>
                <w:szCs w:val="20"/>
                <w:color w:val="auto"/>
              </w:rPr>
            </w:pPr>
            <w:r>
              <w:rPr>
                <w:rFonts w:ascii="Times New Roman" w:cs="Times New Roman" w:eastAsia="Times New Roman" w:hAnsi="Times New Roman"/>
                <w:sz w:val="14"/>
                <w:szCs w:val="14"/>
                <w:color w:val="auto"/>
              </w:rPr>
              <w:t>8,641</w:t>
            </w:r>
          </w:p>
        </w:tc>
        <w:tc>
          <w:tcPr>
            <w:tcW w:w="0" w:type="dxa"/>
            <w:vAlign w:val="bottom"/>
          </w:tcPr>
          <w:p>
            <w:pPr>
              <w:spacing w:after="0"/>
              <w:rPr>
                <w:sz w:val="1"/>
                <w:szCs w:val="1"/>
                <w:color w:val="auto"/>
              </w:rPr>
            </w:pPr>
          </w:p>
        </w:tc>
      </w:tr>
      <w:tr>
        <w:trPr>
          <w:trHeight w:val="186"/>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w:t>
            </w:r>
          </w:p>
        </w:tc>
        <w:tc>
          <w:tcPr>
            <w:tcW w:w="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578</w:t>
            </w:r>
          </w:p>
        </w:tc>
        <w:tc>
          <w:tcPr>
            <w:tcW w:w="0" w:type="dxa"/>
            <w:vAlign w:val="bottom"/>
          </w:tcPr>
          <w:p>
            <w:pPr>
              <w:spacing w:after="0"/>
              <w:rPr>
                <w:sz w:val="1"/>
                <w:szCs w:val="1"/>
                <w:color w:val="auto"/>
              </w:rPr>
            </w:pPr>
          </w:p>
        </w:tc>
      </w:tr>
      <w:tr>
        <w:trPr>
          <w:trHeight w:val="273"/>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7,152,231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440,346</w:t>
            </w:r>
          </w:p>
        </w:tc>
        <w:tc>
          <w:tcPr>
            <w:tcW w:w="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440,346</w:t>
            </w:r>
          </w:p>
        </w:tc>
        <w:tc>
          <w:tcPr>
            <w:tcW w:w="0" w:type="dxa"/>
            <w:vAlign w:val="bottom"/>
          </w:tcPr>
          <w:p>
            <w:pPr>
              <w:spacing w:after="0"/>
              <w:rPr>
                <w:sz w:val="1"/>
                <w:szCs w:val="1"/>
                <w:color w:val="auto"/>
              </w:rPr>
            </w:pPr>
          </w:p>
        </w:tc>
      </w:tr>
      <w:tr>
        <w:trPr>
          <w:trHeight w:val="35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14,076</w:t>
            </w:r>
          </w:p>
        </w:tc>
        <w:tc>
          <w:tcPr>
            <w:tcW w:w="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14,076</w:t>
            </w:r>
          </w:p>
        </w:tc>
        <w:tc>
          <w:tcPr>
            <w:tcW w:w="0" w:type="dxa"/>
            <w:vAlign w:val="bottom"/>
          </w:tcPr>
          <w:p>
            <w:pPr>
              <w:spacing w:after="0"/>
              <w:rPr>
                <w:sz w:val="1"/>
                <w:szCs w:val="1"/>
                <w:color w:val="auto"/>
              </w:rPr>
            </w:pPr>
          </w:p>
        </w:tc>
      </w:tr>
      <w:tr>
        <w:trPr>
          <w:trHeight w:val="35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162,457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9,765</w:t>
            </w:r>
          </w:p>
        </w:tc>
        <w:tc>
          <w:tcPr>
            <w:tcW w:w="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9,766</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34,340</w:t>
            </w:r>
          </w:p>
        </w:tc>
        <w:tc>
          <w:tcPr>
            <w:tcW w:w="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34,340</w:t>
            </w:r>
          </w:p>
        </w:tc>
        <w:tc>
          <w:tcPr>
            <w:tcW w:w="0" w:type="dxa"/>
            <w:vAlign w:val="bottom"/>
          </w:tcPr>
          <w:p>
            <w:pPr>
              <w:spacing w:after="0"/>
              <w:rPr>
                <w:sz w:val="1"/>
                <w:szCs w:val="1"/>
                <w:color w:val="auto"/>
              </w:rPr>
            </w:pPr>
          </w:p>
        </w:tc>
      </w:tr>
      <w:tr>
        <w:trPr>
          <w:trHeight w:val="186"/>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6"/>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677</w:t>
            </w:r>
          </w:p>
        </w:tc>
        <w:tc>
          <w:tcPr>
            <w:tcW w:w="0" w:type="dxa"/>
            <w:vAlign w:val="bottom"/>
          </w:tcPr>
          <w:p>
            <w:pPr>
              <w:spacing w:after="0"/>
              <w:rPr>
                <w:sz w:val="1"/>
                <w:szCs w:val="1"/>
                <w:color w:val="auto"/>
              </w:rPr>
            </w:pPr>
          </w:p>
        </w:tc>
      </w:tr>
      <w:tr>
        <w:trPr>
          <w:trHeight w:val="227"/>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(212,184)</w:t>
            </w:r>
          </w:p>
        </w:tc>
        <w:tc>
          <w:tcPr>
            <w:tcW w:w="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(212,184)</w:t>
            </w:r>
          </w:p>
        </w:tc>
        <w:tc>
          <w:tcPr>
            <w:tcW w:w="0" w:type="dxa"/>
            <w:vAlign w:val="bottom"/>
          </w:tcPr>
          <w:p>
            <w:pPr>
              <w:spacing w:after="0"/>
              <w:rPr>
                <w:sz w:val="1"/>
                <w:szCs w:val="1"/>
                <w:color w:val="auto"/>
              </w:rPr>
            </w:pPr>
          </w:p>
        </w:tc>
      </w:tr>
      <w:tr>
        <w:trPr>
          <w:trHeight w:val="166"/>
        </w:trPr>
        <w:tc>
          <w:tcPr>
            <w:tcW w:w="14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37,890,616</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1,249,043</w:t>
            </w:r>
          </w:p>
        </w:tc>
        <w:tc>
          <w:tcPr>
            <w:tcW w:w="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ind w:right="5"/>
              <w:spacing w:after="0" w:line="167" w:lineRule="exact"/>
              <w:rPr>
                <w:sz w:val="20"/>
                <w:szCs w:val="20"/>
                <w:color w:val="auto"/>
              </w:rPr>
            </w:pPr>
            <w:r>
              <w:rPr>
                <w:rFonts w:ascii="Times New Roman" w:cs="Times New Roman" w:eastAsia="Times New Roman" w:hAnsi="Times New Roman"/>
                <w:sz w:val="15"/>
                <w:szCs w:val="15"/>
                <w:color w:val="auto"/>
              </w:rPr>
              <w:t>965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(510,186)</w:t>
            </w:r>
          </w:p>
        </w:tc>
        <w:tc>
          <w:tcPr>
            <w:tcW w:w="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ind w:right="5"/>
              <w:spacing w:after="0" w:line="167" w:lineRule="exact"/>
              <w:rPr>
                <w:sz w:val="20"/>
                <w:szCs w:val="20"/>
                <w:color w:val="auto"/>
              </w:rPr>
            </w:pPr>
            <w:r>
              <w:rPr>
                <w:rFonts w:ascii="Times New Roman" w:cs="Times New Roman" w:eastAsia="Times New Roman" w:hAnsi="Times New Roman"/>
                <w:sz w:val="15"/>
                <w:szCs w:val="15"/>
                <w:color w:val="auto"/>
              </w:rPr>
              <w:t>739,826</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-2658745</wp:posOffset>
                </wp:positionH>
                <wp:positionV relativeFrom="paragraph">
                  <wp:posOffset>-4759325</wp:posOffset>
                </wp:positionV>
                <wp:extent cx="8923655" cy="11811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3655" cy="118110"/>
                        </a:xfrm>
                        <a:prstGeom prst="rect">
                          <a:avLst/>
                        </a:prstGeom>
                        <a:solidFill>
                          <a:srgbClr val="E0E0E0"/>
                        </a:solidFill>
                      </wps:spPr>
                      <wps:bodyPr/>
                    </wps:wsp>
                  </a:graphicData>
                </a:graphic>
              </wp:anchor>
            </w:drawing>
          </mc:Choice>
          <mc:Fallback>
            <w:pict>
              <v:rect id="Shape 53" o:spid="_x0000_s1078" style="position:absolute;margin-left:-209.3499pt;margin-top:-374.7499pt;width:702.6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-4522470</wp:posOffset>
                </wp:positionV>
                <wp:extent cx="8924290" cy="22796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4290" cy="227965"/>
                        </a:xfrm>
                        <a:prstGeom prst="rect">
                          <a:avLst/>
                        </a:prstGeom>
                        <a:solidFill>
                          <a:srgbClr val="E0E0E0"/>
                        </a:solidFill>
                      </wps:spPr>
                      <wps:bodyPr/>
                    </wps:wsp>
                  </a:graphicData>
                </a:graphic>
              </wp:anchor>
            </w:drawing>
          </mc:Choice>
          <mc:Fallback>
            <w:pict>
              <v:rect id="Shape 54" o:spid="_x0000_s1079" style="position:absolute;margin-left:-209.3499pt;margin-top:-356.0999pt;width:702.7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-4067175</wp:posOffset>
                </wp:positionV>
                <wp:extent cx="8924290" cy="22796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4290" cy="227965"/>
                        </a:xfrm>
                        <a:prstGeom prst="rect">
                          <a:avLst/>
                        </a:prstGeom>
                        <a:solidFill>
                          <a:srgbClr val="E0E0E0"/>
                        </a:solidFill>
                      </wps:spPr>
                      <wps:bodyPr/>
                    </wps:wsp>
                  </a:graphicData>
                </a:graphic>
              </wp:anchor>
            </w:drawing>
          </mc:Choice>
          <mc:Fallback>
            <w:pict>
              <v:rect id="Shape 55" o:spid="_x0000_s1080" style="position:absolute;margin-left:-209.3499pt;margin-top:-320.2499pt;width:702.7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-3611245</wp:posOffset>
                </wp:positionV>
                <wp:extent cx="8924290" cy="22796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4290" cy="227965"/>
                        </a:xfrm>
                        <a:prstGeom prst="rect">
                          <a:avLst/>
                        </a:prstGeom>
                        <a:solidFill>
                          <a:srgbClr val="E0E0E0"/>
                        </a:solidFill>
                      </wps:spPr>
                      <wps:bodyPr/>
                    </wps:wsp>
                  </a:graphicData>
                </a:graphic>
              </wp:anchor>
            </w:drawing>
          </mc:Choice>
          <mc:Fallback>
            <w:pict>
              <v:rect id="Shape 56" o:spid="_x0000_s1081" style="position:absolute;margin-left:-209.3499pt;margin-top:-284.3499pt;width:702.7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-3265170</wp:posOffset>
                </wp:positionV>
                <wp:extent cx="8923655" cy="11811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3655" cy="118110"/>
                        </a:xfrm>
                        <a:prstGeom prst="rect">
                          <a:avLst/>
                        </a:prstGeom>
                        <a:solidFill>
                          <a:srgbClr val="E0E0E0"/>
                        </a:solidFill>
                      </wps:spPr>
                      <wps:bodyPr/>
                    </wps:wsp>
                  </a:graphicData>
                </a:graphic>
              </wp:anchor>
            </w:drawing>
          </mc:Choice>
          <mc:Fallback>
            <w:pict>
              <v:rect id="Shape 57" o:spid="_x0000_s1082" style="position:absolute;margin-left:-209.3499pt;margin-top:-257.0999pt;width:702.6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-2753360</wp:posOffset>
                </wp:positionV>
                <wp:extent cx="8924290" cy="22796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4290" cy="227965"/>
                        </a:xfrm>
                        <a:prstGeom prst="rect">
                          <a:avLst/>
                        </a:prstGeom>
                        <a:solidFill>
                          <a:srgbClr val="E0E0E0"/>
                        </a:solidFill>
                      </wps:spPr>
                      <wps:bodyPr/>
                    </wps:wsp>
                  </a:graphicData>
                </a:graphic>
              </wp:anchor>
            </w:drawing>
          </mc:Choice>
          <mc:Fallback>
            <w:pict>
              <v:rect id="Shape 58" o:spid="_x0000_s1083" style="position:absolute;margin-left:-209.3499pt;margin-top:-216.7999pt;width:702.7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-2298065</wp:posOffset>
                </wp:positionV>
                <wp:extent cx="8923655" cy="11811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3655" cy="118110"/>
                        </a:xfrm>
                        <a:prstGeom prst="rect">
                          <a:avLst/>
                        </a:prstGeom>
                        <a:solidFill>
                          <a:srgbClr val="E0E0E0"/>
                        </a:solidFill>
                      </wps:spPr>
                      <wps:bodyPr/>
                    </wps:wsp>
                  </a:graphicData>
                </a:graphic>
              </wp:anchor>
            </w:drawing>
          </mc:Choice>
          <mc:Fallback>
            <w:pict>
              <v:rect id="Shape 59" o:spid="_x0000_s1084" style="position:absolute;margin-left:-209.3499pt;margin-top:-180.9499pt;width:702.6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-2061210</wp:posOffset>
                </wp:positionV>
                <wp:extent cx="8923655" cy="11811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3655" cy="118110"/>
                        </a:xfrm>
                        <a:prstGeom prst="rect">
                          <a:avLst/>
                        </a:prstGeom>
                        <a:solidFill>
                          <a:srgbClr val="E0E0E0"/>
                        </a:solidFill>
                      </wps:spPr>
                      <wps:bodyPr/>
                    </wps:wsp>
                  </a:graphicData>
                </a:graphic>
              </wp:anchor>
            </w:drawing>
          </mc:Choice>
          <mc:Fallback>
            <w:pict>
              <v:rect id="Shape 60" o:spid="_x0000_s1085" style="position:absolute;margin-left:-209.3499pt;margin-top:-162.2999pt;width:702.6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-1550035</wp:posOffset>
                </wp:positionV>
                <wp:extent cx="8923655" cy="11874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3655" cy="118745"/>
                        </a:xfrm>
                        <a:prstGeom prst="rect">
                          <a:avLst/>
                        </a:prstGeom>
                        <a:solidFill>
                          <a:srgbClr val="E0E0E0"/>
                        </a:solidFill>
                      </wps:spPr>
                      <wps:bodyPr/>
                    </wps:wsp>
                  </a:graphicData>
                </a:graphic>
              </wp:anchor>
            </w:drawing>
          </mc:Choice>
          <mc:Fallback>
            <w:pict>
              <v:rect id="Shape 61" o:spid="_x0000_s1086" style="position:absolute;margin-left:-209.3499pt;margin-top:-122.0499pt;width:702.65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-1312545</wp:posOffset>
                </wp:positionV>
                <wp:extent cx="8924290" cy="22733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4290" cy="227330"/>
                        </a:xfrm>
                        <a:prstGeom prst="rect">
                          <a:avLst/>
                        </a:prstGeom>
                        <a:solidFill>
                          <a:srgbClr val="E0E0E0"/>
                        </a:solidFill>
                      </wps:spPr>
                      <wps:bodyPr/>
                    </wps:wsp>
                  </a:graphicData>
                </a:graphic>
              </wp:anchor>
            </w:drawing>
          </mc:Choice>
          <mc:Fallback>
            <w:pict>
              <v:rect id="Shape 62" o:spid="_x0000_s1087" style="position:absolute;margin-left:-209.3499pt;margin-top:-103.3499pt;width:702.7pt;height:17.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-857250</wp:posOffset>
                </wp:positionV>
                <wp:extent cx="8924290" cy="22796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4290" cy="227965"/>
                        </a:xfrm>
                        <a:prstGeom prst="rect">
                          <a:avLst/>
                        </a:prstGeom>
                        <a:solidFill>
                          <a:srgbClr val="E0E0E0"/>
                        </a:solidFill>
                      </wps:spPr>
                      <wps:bodyPr/>
                    </wps:wsp>
                  </a:graphicData>
                </a:graphic>
              </wp:anchor>
            </w:drawing>
          </mc:Choice>
          <mc:Fallback>
            <w:pict>
              <v:rect id="Shape 63" o:spid="_x0000_s1088" style="position:absolute;margin-left:-209.3499pt;margin-top:-67.4999pt;width:702.7pt;height:1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-511175</wp:posOffset>
                </wp:positionV>
                <wp:extent cx="8923655" cy="11811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3655" cy="118110"/>
                        </a:xfrm>
                        <a:prstGeom prst="rect">
                          <a:avLst/>
                        </a:prstGeom>
                        <a:solidFill>
                          <a:srgbClr val="E0E0E0"/>
                        </a:solidFill>
                      </wps:spPr>
                      <wps:bodyPr/>
                    </wps:wsp>
                  </a:graphicData>
                </a:graphic>
              </wp:anchor>
            </w:drawing>
          </mc:Choice>
          <mc:Fallback>
            <w:pict>
              <v:rect id="Shape 64" o:spid="_x0000_s1089" style="position:absolute;margin-left:-209.3499pt;margin-top:-40.2499pt;width:702.6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-2658745</wp:posOffset>
                </wp:positionH>
                <wp:positionV relativeFrom="paragraph">
                  <wp:posOffset>-274320</wp:posOffset>
                </wp:positionV>
                <wp:extent cx="8923655" cy="11811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3655" cy="118110"/>
                        </a:xfrm>
                        <a:prstGeom prst="rect">
                          <a:avLst/>
                        </a:prstGeom>
                        <a:solidFill>
                          <a:srgbClr val="E0E0E0"/>
                        </a:solidFill>
                      </wps:spPr>
                      <wps:bodyPr/>
                    </wps:wsp>
                  </a:graphicData>
                </a:graphic>
              </wp:anchor>
            </w:drawing>
          </mc:Choice>
          <mc:Fallback>
            <w:pict>
              <v:rect id="Shape 65" o:spid="_x0000_s1090" style="position:absolute;margin-left:-209.3499pt;margin-top:-21.5999pt;width:702.6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drawing>
          <wp:anchor simplePos="0" relativeHeight="251657728" behindDoc="1" locked="0" layoutInCell="0" allowOverlap="1">
            <wp:simplePos x="0" y="0"/>
            <wp:positionH relativeFrom="column">
              <wp:posOffset>83820</wp:posOffset>
            </wp:positionH>
            <wp:positionV relativeFrom="paragraph">
              <wp:posOffset>-5154930</wp:posOffset>
            </wp:positionV>
            <wp:extent cx="20199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7">
                      <a:extLst>
                        <a:ext uri="{28A0092B-C50C-407E-A947-70E740481C1C}"/>
                      </a:extLst>
                    </a:blip>
                    <a:srcRect/>
                    <a:stretch>
                      <a:fillRect/>
                    </a:stretch>
                  </pic:blipFill>
                  <pic:spPr bwMode="auto">
                    <a:xfrm>
                      <a:off x="0" y="0"/>
                      <a:ext cx="2019935" cy="38100"/>
                    </a:xfrm>
                    <a:prstGeom prst="rect">
                      <a:avLst/>
                    </a:prstGeom>
                    <a:noFill/>
                  </pic:spPr>
                </pic:pic>
              </a:graphicData>
            </a:graphic>
          </wp:anchor>
        </w:drawing>
      </w:r>
    </w:p>
    <w:p>
      <w:pPr>
        <w:spacing w:after="0" w:line="189" w:lineRule="exact"/>
        <w:rPr>
          <w:sz w:val="20"/>
          <w:szCs w:val="20"/>
          <w:color w:val="auto"/>
        </w:rPr>
      </w:pPr>
    </w:p>
    <w:p>
      <w:pPr>
        <w:sectPr>
          <w:pgSz w:w="15840" w:h="12240" w:orient="landscape"/>
          <w:cols w:equalWidth="0" w:num="3">
            <w:col w:w="243" w:space="171"/>
            <w:col w:w="3980" w:space="200"/>
            <w:col w:w="9860"/>
          </w:cols>
          <w:pgMar w:left="726" w:top="894" w:right="660" w:bottom="898" w:gutter="0" w:footer="0" w:header="0"/>
        </w:sectPr>
      </w:pPr>
    </w:p>
    <w:p>
      <w:pPr>
        <w:jc w:val="center"/>
        <w:ind w:right="-413"/>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5840" w:h="12240" w:orient="landscape"/>
          <w:cols w:equalWidth="0" w:num="1">
            <w:col w:w="14454"/>
          </w:cols>
          <w:pgMar w:left="726" w:top="894" w:right="660" w:bottom="898"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2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-17780</wp:posOffset>
            </wp:positionV>
            <wp:extent cx="245872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a:extLst>
                        <a:ext uri="{28A0092B-C50C-407E-A947-70E740481C1C}"/>
                      </a:extLst>
                    </a:blip>
                    <a:srcRect/>
                    <a:stretch>
                      <a:fillRect/>
                    </a:stretch>
                  </pic:blipFill>
                  <pic:spPr bwMode="auto">
                    <a:xfrm>
                      <a:off x="0" y="0"/>
                      <a:ext cx="245872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6600" w:type="dxa"/>
            <w:vAlign w:val="bottom"/>
            <w:tcBorders>
              <w:bottom w:val="single" w:sz="8" w:color="E0E0E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E0E0E0"/>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9"/>
        </w:trPr>
        <w:tc>
          <w:tcPr>
            <w:tcW w:w="66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24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98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(212,184)</w:t>
            </w:r>
          </w:p>
        </w:tc>
        <w:tc>
          <w:tcPr>
            <w:tcW w:w="14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(109,357)</w:t>
            </w:r>
          </w:p>
        </w:tc>
        <w:tc>
          <w:tcPr>
            <w:tcW w:w="12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(76,429)</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operations:</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281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34,340</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16,815</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5,530</w:t>
            </w:r>
          </w:p>
        </w:tc>
        <w:tc>
          <w:tcPr>
            <w:tcW w:w="0" w:type="dxa"/>
            <w:vAlign w:val="bottom"/>
          </w:tcPr>
          <w:p>
            <w:pPr>
              <w:spacing w:after="0"/>
              <w:rPr>
                <w:sz w:val="1"/>
                <w:szCs w:val="1"/>
                <w:color w:val="auto"/>
              </w:rPr>
            </w:pPr>
          </w:p>
        </w:tc>
      </w:tr>
      <w:tr>
        <w:trPr>
          <w:trHeight w:val="244"/>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Amortization/accretion of investment securities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Loss from initial consolidation of variable interest entity</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852</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Non-cash lease expense</w:t>
            </w: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Non-cash interest expense</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837</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127</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non-cash items</w:t>
            </w: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1,070</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(4,681)</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(3,741)</w:t>
            </w:r>
          </w:p>
        </w:tc>
        <w:tc>
          <w:tcPr>
            <w:tcW w:w="0" w:type="dxa"/>
            <w:vAlign w:val="bottom"/>
          </w:tcPr>
          <w:p>
            <w:pPr>
              <w:spacing w:after="0"/>
              <w:rPr>
                <w:sz w:val="1"/>
                <w:szCs w:val="1"/>
                <w:color w:val="auto"/>
              </w:rPr>
            </w:pPr>
          </w:p>
        </w:tc>
      </w:tr>
      <w:tr>
        <w:trPr>
          <w:trHeight w:val="244"/>
        </w:trPr>
        <w:tc>
          <w:tcPr>
            <w:tcW w:w="66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Accrued external research and development expenses</w:t>
            </w: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4,310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Other accrued expenses</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6,882</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1,681</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1,839</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E0E0E0"/>
            </w:tcBorders>
          </w:tcPr>
          <w:p>
            <w:pPr>
              <w:ind w:left="6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186</w:t>
            </w:r>
          </w:p>
        </w:tc>
        <w:tc>
          <w:tcPr>
            <w:tcW w:w="14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12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59"/>
        </w:trPr>
        <w:tc>
          <w:tcPr>
            <w:tcW w:w="6600" w:type="dxa"/>
            <w:vAlign w:val="bottom"/>
            <w:tcBorders>
              <w:bottom w:val="single" w:sz="8" w:color="E0E0E0"/>
            </w:tcBorders>
            <w:shd w:val="clear" w:color="auto" w:fill="E0E0E0"/>
          </w:tcPr>
          <w:p>
            <w:pPr>
              <w:ind w:left="80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40" w:type="dxa"/>
            <w:vAlign w:val="bottom"/>
            <w:tcBorders>
              <w:bottom w:val="single" w:sz="8" w:color="auto"/>
            </w:tcBorders>
            <w:shd w:val="clear" w:color="auto" w:fill="E0E0E0"/>
          </w:tcPr>
          <w:p>
            <w:pPr>
              <w:spacing w:after="0"/>
              <w:rPr>
                <w:sz w:val="22"/>
                <w:szCs w:val="22"/>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(180,393)</w:t>
            </w:r>
          </w:p>
        </w:tc>
        <w:tc>
          <w:tcPr>
            <w:tcW w:w="14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(93,926)</w:t>
            </w:r>
          </w:p>
        </w:tc>
        <w:tc>
          <w:tcPr>
            <w:tcW w:w="12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(73,462)</w:t>
            </w:r>
          </w:p>
        </w:tc>
        <w:tc>
          <w:tcPr>
            <w:tcW w:w="0" w:type="dxa"/>
            <w:vAlign w:val="bottom"/>
          </w:tcPr>
          <w:p>
            <w:pPr>
              <w:spacing w:after="0"/>
              <w:rPr>
                <w:sz w:val="1"/>
                <w:szCs w:val="1"/>
                <w:color w:val="auto"/>
              </w:rPr>
            </w:pPr>
          </w:p>
        </w:tc>
      </w:tr>
      <w:tr>
        <w:trPr>
          <w:trHeight w:val="219"/>
        </w:trPr>
        <w:tc>
          <w:tcPr>
            <w:tcW w:w="660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Purchases of marketable securities</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(849,585)</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(386,627)</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Maturities of marketable securities</w:t>
            </w: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456,219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94,800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660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240" w:type="dxa"/>
            <w:vAlign w:val="bottom"/>
            <w:tcBorders>
              <w:bottom w:val="single" w:sz="8" w:color="auto"/>
            </w:tcBorders>
            <w:shd w:val="clear" w:color="auto" w:fill="E0E0E0"/>
          </w:tcPr>
          <w:p>
            <w:pPr>
              <w:spacing w:after="0"/>
              <w:rPr>
                <w:sz w:val="22"/>
                <w:szCs w:val="22"/>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14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12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19"/>
        </w:trPr>
        <w:tc>
          <w:tcPr>
            <w:tcW w:w="6600" w:type="dxa"/>
            <w:vAlign w:val="bottom"/>
            <w:tcBorders>
              <w:bottom w:val="single" w:sz="8" w:color="E0E0E0"/>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(394,299)</w:t>
            </w:r>
          </w:p>
        </w:tc>
        <w:tc>
          <w:tcPr>
            <w:tcW w:w="14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(292,332)</w:t>
            </w:r>
          </w:p>
        </w:tc>
        <w:tc>
          <w:tcPr>
            <w:tcW w:w="120" w:type="dxa"/>
            <w:vAlign w:val="bottom"/>
            <w:tcBorders>
              <w:bottom w:val="single" w:sz="8" w:color="E0E0E0"/>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39"/>
        </w:trPr>
        <w:tc>
          <w:tcPr>
            <w:tcW w:w="66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4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98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Proceeds from sale of common stock in underwritten offerings, net of</w:t>
            </w:r>
          </w:p>
        </w:tc>
        <w:tc>
          <w:tcPr>
            <w:tcW w:w="240" w:type="dxa"/>
            <w:vAlign w:val="bottom"/>
          </w:tcPr>
          <w:p>
            <w:pPr>
              <w:spacing w:after="0"/>
              <w:rPr>
                <w:sz w:val="19"/>
                <w:szCs w:val="19"/>
                <w:color w:val="auto"/>
              </w:rPr>
            </w:pP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440,346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172,512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199,078</w:t>
            </w:r>
          </w:p>
        </w:tc>
        <w:tc>
          <w:tcPr>
            <w:tcW w:w="0" w:type="dxa"/>
            <w:vAlign w:val="bottom"/>
          </w:tcPr>
          <w:p>
            <w:pPr>
              <w:spacing w:after="0"/>
              <w:rPr>
                <w:sz w:val="1"/>
                <w:szCs w:val="1"/>
                <w:color w:val="auto"/>
              </w:rPr>
            </w:pPr>
          </w:p>
        </w:tc>
      </w:tr>
      <w:tr>
        <w:trPr>
          <w:trHeight w:val="151"/>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issuance costs paid</w:t>
            </w: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6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60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Proceeds from sale of pre-funded warrants in underwritten offerings, net of</w:t>
            </w:r>
          </w:p>
        </w:tc>
        <w:tc>
          <w:tcPr>
            <w:tcW w:w="240" w:type="dxa"/>
            <w:vAlign w:val="bottom"/>
            <w:shd w:val="clear" w:color="auto" w:fill="E0E0E0"/>
          </w:tcPr>
          <w:p>
            <w:pPr>
              <w:spacing w:after="0"/>
              <w:rPr>
                <w:sz w:val="19"/>
                <w:szCs w:val="19"/>
                <w:color w:val="auto"/>
              </w:rPr>
            </w:pPr>
          </w:p>
        </w:tc>
        <w:tc>
          <w:tcPr>
            <w:tcW w:w="960" w:type="dxa"/>
            <w:vAlign w:val="bottom"/>
            <w:vMerge w:val="restart"/>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14,076</w:t>
            </w:r>
          </w:p>
        </w:tc>
        <w:tc>
          <w:tcPr>
            <w:tcW w:w="1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80" w:type="dxa"/>
            <w:vAlign w:val="bottom"/>
            <w:vMerge w:val="restart"/>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940" w:type="dxa"/>
            <w:vAlign w:val="bottom"/>
            <w:vMerge w:val="restart"/>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37,579</w:t>
            </w:r>
          </w:p>
        </w:tc>
        <w:tc>
          <w:tcPr>
            <w:tcW w:w="0" w:type="dxa"/>
            <w:vAlign w:val="bottom"/>
          </w:tcPr>
          <w:p>
            <w:pPr>
              <w:spacing w:after="0"/>
              <w:rPr>
                <w:sz w:val="1"/>
                <w:szCs w:val="1"/>
                <w:color w:val="auto"/>
              </w:rPr>
            </w:pPr>
          </w:p>
        </w:tc>
      </w:tr>
      <w:tr>
        <w:trPr>
          <w:trHeight w:val="151"/>
        </w:trPr>
        <w:tc>
          <w:tcPr>
            <w:tcW w:w="6600" w:type="dxa"/>
            <w:vAlign w:val="bottom"/>
            <w:vMerge w:val="restart"/>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issuance costs paid</w:t>
            </w:r>
          </w:p>
        </w:tc>
        <w:tc>
          <w:tcPr>
            <w:tcW w:w="240" w:type="dxa"/>
            <w:vAlign w:val="bottom"/>
            <w:shd w:val="clear" w:color="auto" w:fill="E0E0E0"/>
          </w:tcPr>
          <w:p>
            <w:pPr>
              <w:spacing w:after="0"/>
              <w:rPr>
                <w:sz w:val="13"/>
                <w:szCs w:val="13"/>
                <w:color w:val="auto"/>
              </w:rPr>
            </w:pPr>
          </w:p>
        </w:tc>
        <w:tc>
          <w:tcPr>
            <w:tcW w:w="960" w:type="dxa"/>
            <w:vAlign w:val="bottom"/>
            <w:vMerge w:val="continue"/>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220" w:type="dxa"/>
            <w:vAlign w:val="bottom"/>
            <w:shd w:val="clear" w:color="auto" w:fill="E0E0E0"/>
          </w:tcPr>
          <w:p>
            <w:pPr>
              <w:spacing w:after="0"/>
              <w:rPr>
                <w:sz w:val="13"/>
                <w:szCs w:val="13"/>
                <w:color w:val="auto"/>
              </w:rPr>
            </w:pPr>
          </w:p>
        </w:tc>
        <w:tc>
          <w:tcPr>
            <w:tcW w:w="980" w:type="dxa"/>
            <w:vAlign w:val="bottom"/>
            <w:vMerge w:val="continue"/>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940" w:type="dxa"/>
            <w:vAlign w:val="bottom"/>
            <w:vMerge w:val="continue"/>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6600" w:type="dxa"/>
            <w:vAlign w:val="bottom"/>
            <w:vMerge w:val="continue"/>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960" w:type="dxa"/>
            <w:vAlign w:val="bottom"/>
            <w:shd w:val="clear" w:color="auto" w:fill="E0E0E0"/>
          </w:tcPr>
          <w:p>
            <w:pPr>
              <w:spacing w:after="0"/>
              <w:rPr>
                <w:sz w:val="8"/>
                <w:szCs w:val="8"/>
                <w:color w:val="auto"/>
              </w:rPr>
            </w:pPr>
          </w:p>
        </w:tc>
        <w:tc>
          <w:tcPr>
            <w:tcW w:w="140" w:type="dxa"/>
            <w:vAlign w:val="bottom"/>
            <w:shd w:val="clear" w:color="auto" w:fill="E0E0E0"/>
          </w:tcPr>
          <w:p>
            <w:pPr>
              <w:spacing w:after="0"/>
              <w:rPr>
                <w:sz w:val="8"/>
                <w:szCs w:val="8"/>
                <w:color w:val="auto"/>
              </w:rPr>
            </w:pPr>
          </w:p>
        </w:tc>
        <w:tc>
          <w:tcPr>
            <w:tcW w:w="220" w:type="dxa"/>
            <w:vAlign w:val="bottom"/>
            <w:shd w:val="clear" w:color="auto" w:fill="E0E0E0"/>
          </w:tcPr>
          <w:p>
            <w:pPr>
              <w:spacing w:after="0"/>
              <w:rPr>
                <w:sz w:val="8"/>
                <w:szCs w:val="8"/>
                <w:color w:val="auto"/>
              </w:rPr>
            </w:pPr>
          </w:p>
        </w:tc>
        <w:tc>
          <w:tcPr>
            <w:tcW w:w="980" w:type="dxa"/>
            <w:vAlign w:val="bottom"/>
            <w:shd w:val="clear" w:color="auto" w:fill="E0E0E0"/>
          </w:tcPr>
          <w:p>
            <w:pPr>
              <w:spacing w:after="0"/>
              <w:rPr>
                <w:sz w:val="8"/>
                <w:szCs w:val="8"/>
                <w:color w:val="auto"/>
              </w:rPr>
            </w:pPr>
          </w:p>
        </w:tc>
        <w:tc>
          <w:tcPr>
            <w:tcW w:w="12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940" w:type="dxa"/>
            <w:vAlign w:val="bottom"/>
            <w:shd w:val="clear" w:color="auto" w:fill="E0E0E0"/>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Proceeds from sale of common stock in at-the-market offerings, net of</w:t>
            </w:r>
          </w:p>
        </w:tc>
        <w:tc>
          <w:tcPr>
            <w:tcW w:w="240" w:type="dxa"/>
            <w:vAlign w:val="bottom"/>
          </w:tcPr>
          <w:p>
            <w:pPr>
              <w:spacing w:after="0"/>
              <w:rPr>
                <w:sz w:val="19"/>
                <w:szCs w:val="19"/>
                <w:color w:val="auto"/>
              </w:rPr>
            </w:pP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9,766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14,790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51"/>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issuance costs paid</w:t>
            </w: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6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Proceeds from issuance of long-term debt, net of issuance costs paid</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28,988</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of debt issuance costs</w:t>
            </w: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Proceeds from stock option exercises</w:t>
            </w:r>
          </w:p>
        </w:tc>
        <w:tc>
          <w:tcPr>
            <w:tcW w:w="240" w:type="dxa"/>
            <w:vAlign w:val="bottom"/>
            <w:shd w:val="clear" w:color="auto" w:fill="E0E0E0"/>
          </w:tcPr>
          <w:p>
            <w:pPr>
              <w:spacing w:after="0"/>
              <w:rPr>
                <w:sz w:val="21"/>
                <w:szCs w:val="21"/>
                <w:color w:val="auto"/>
              </w:rPr>
            </w:pPr>
          </w:p>
        </w:tc>
        <w:tc>
          <w:tcPr>
            <w:tcW w:w="96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8,641</w:t>
            </w:r>
          </w:p>
        </w:tc>
        <w:tc>
          <w:tcPr>
            <w:tcW w:w="1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80" w:type="dxa"/>
            <w:vAlign w:val="bottom"/>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2,976</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94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2,722</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Contributions from employee stock purchase plan</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578</w:t>
            </w:r>
          </w:p>
        </w:tc>
        <w:tc>
          <w:tcPr>
            <w:tcW w:w="14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441</w:t>
            </w:r>
          </w:p>
        </w:tc>
        <w:tc>
          <w:tcPr>
            <w:tcW w:w="12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66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40" w:type="dxa"/>
            <w:vAlign w:val="bottom"/>
            <w:tcBorders>
              <w:bottom w:val="single" w:sz="8" w:color="auto"/>
            </w:tcBorders>
            <w:shd w:val="clear" w:color="auto" w:fill="E0E0E0"/>
          </w:tcPr>
          <w:p>
            <w:pPr>
              <w:spacing w:after="0"/>
              <w:rPr>
                <w:sz w:val="22"/>
                <w:szCs w:val="22"/>
                <w:color w:val="auto"/>
              </w:rPr>
            </w:pPr>
          </w:p>
        </w:tc>
        <w:tc>
          <w:tcPr>
            <w:tcW w:w="960" w:type="dxa"/>
            <w:vAlign w:val="bottom"/>
            <w:tcBorders>
              <w:bottom w:val="single" w:sz="8" w:color="auto"/>
            </w:tcBorders>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473,407</w:t>
            </w:r>
          </w:p>
        </w:tc>
        <w:tc>
          <w:tcPr>
            <w:tcW w:w="14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218,314</w:t>
            </w:r>
          </w:p>
        </w:tc>
        <w:tc>
          <w:tcPr>
            <w:tcW w:w="12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940" w:type="dxa"/>
            <w:vAlign w:val="bottom"/>
            <w:tcBorders>
              <w:bottom w:val="single" w:sz="8" w:color="auto"/>
            </w:tcBorders>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239,379</w:t>
            </w:r>
          </w:p>
        </w:tc>
        <w:tc>
          <w:tcPr>
            <w:tcW w:w="0" w:type="dxa"/>
            <w:vAlign w:val="bottom"/>
          </w:tcPr>
          <w:p>
            <w:pPr>
              <w:spacing w:after="0"/>
              <w:rPr>
                <w:sz w:val="1"/>
                <w:szCs w:val="1"/>
                <w:color w:val="auto"/>
              </w:rPr>
            </w:pPr>
          </w:p>
        </w:tc>
      </w:tr>
      <w:tr>
        <w:trPr>
          <w:trHeight w:val="219"/>
        </w:trPr>
        <w:tc>
          <w:tcPr>
            <w:tcW w:w="660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24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(101,285)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(167,944)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165,828</w:t>
            </w:r>
          </w:p>
        </w:tc>
        <w:tc>
          <w:tcPr>
            <w:tcW w:w="0" w:type="dxa"/>
            <w:vAlign w:val="bottom"/>
          </w:tcPr>
          <w:p>
            <w:pPr>
              <w:spacing w:after="0"/>
              <w:rPr>
                <w:sz w:val="1"/>
                <w:szCs w:val="1"/>
                <w:color w:val="auto"/>
              </w:rPr>
            </w:pPr>
          </w:p>
        </w:tc>
      </w:tr>
      <w:tr>
        <w:trPr>
          <w:trHeight w:val="264"/>
        </w:trPr>
        <w:tc>
          <w:tcPr>
            <w:tcW w:w="660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cash equivalents and restricted cash, beginning of period</w:t>
            </w:r>
          </w:p>
        </w:tc>
        <w:tc>
          <w:tcPr>
            <w:tcW w:w="240" w:type="dxa"/>
            <w:vAlign w:val="bottom"/>
            <w:tcBorders>
              <w:bottom w:val="single" w:sz="8" w:color="auto"/>
            </w:tcBorders>
            <w:shd w:val="clear" w:color="auto" w:fill="E0E0E0"/>
          </w:tcPr>
          <w:p>
            <w:pPr>
              <w:spacing w:after="0"/>
              <w:rPr>
                <w:sz w:val="22"/>
                <w:szCs w:val="22"/>
                <w:color w:val="auto"/>
              </w:rPr>
            </w:pPr>
          </w:p>
        </w:tc>
        <w:tc>
          <w:tcPr>
            <w:tcW w:w="960" w:type="dxa"/>
            <w:vAlign w:val="bottom"/>
            <w:tcBorders>
              <w:bottom w:val="single" w:sz="8" w:color="auto"/>
            </w:tcBorders>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192,672</w:t>
            </w:r>
          </w:p>
        </w:tc>
        <w:tc>
          <w:tcPr>
            <w:tcW w:w="14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ind w:right="21"/>
              <w:spacing w:after="0"/>
              <w:rPr>
                <w:sz w:val="20"/>
                <w:szCs w:val="20"/>
                <w:color w:val="auto"/>
              </w:rPr>
            </w:pPr>
            <w:r>
              <w:rPr>
                <w:rFonts w:ascii="Times New Roman" w:cs="Times New Roman" w:eastAsia="Times New Roman" w:hAnsi="Times New Roman"/>
                <w:sz w:val="20"/>
                <w:szCs w:val="20"/>
                <w:color w:val="auto"/>
              </w:rPr>
              <w:t>360,616</w:t>
            </w:r>
          </w:p>
        </w:tc>
        <w:tc>
          <w:tcPr>
            <w:tcW w:w="12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940" w:type="dxa"/>
            <w:vAlign w:val="bottom"/>
            <w:tcBorders>
              <w:bottom w:val="single" w:sz="8" w:color="auto"/>
            </w:tcBorders>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194,788</w:t>
            </w:r>
          </w:p>
        </w:tc>
        <w:tc>
          <w:tcPr>
            <w:tcW w:w="0" w:type="dxa"/>
            <w:vAlign w:val="bottom"/>
          </w:tcPr>
          <w:p>
            <w:pPr>
              <w:spacing w:after="0"/>
              <w:rPr>
                <w:sz w:val="1"/>
                <w:szCs w:val="1"/>
                <w:color w:val="auto"/>
              </w:rPr>
            </w:pPr>
          </w:p>
        </w:tc>
      </w:tr>
      <w:tr>
        <w:trPr>
          <w:trHeight w:val="219"/>
        </w:trPr>
        <w:tc>
          <w:tcPr>
            <w:tcW w:w="660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Cash, cash equivalents and restricted cash, end of period</w:t>
            </w: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91,387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192,672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360,616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440"/>
          </w:cols>
          <w:pgMar w:left="900" w:top="926" w:right="900" w:bottom="175" w:gutter="0" w:footer="0" w:header="0"/>
          <w:type w:val="continuous"/>
        </w:sectPr>
      </w:pPr>
    </w:p>
    <w:bookmarkStart w:id="127" w:name="page128"/>
    <w:bookmarkEnd w:id="127"/>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(Continued)</w:t>
      </w:r>
    </w:p>
    <w:p>
      <w:pPr>
        <w:jc w:val="center"/>
        <w:ind w:right="-79"/>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2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247332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a:extLst>
                        <a:ext uri="{28A0092B-C50C-407E-A947-70E740481C1C}"/>
                      </a:extLst>
                    </a:blip>
                    <a:srcRect/>
                    <a:stretch>
                      <a:fillRect/>
                    </a:stretch>
                  </pic:blipFill>
                  <pic:spPr bwMode="auto">
                    <a:xfrm>
                      <a:off x="0" y="0"/>
                      <a:ext cx="2473325" cy="38100"/>
                    </a:xfrm>
                    <a:prstGeom prst="rect">
                      <a:avLst/>
                    </a:prstGeom>
                    <a:noFill/>
                  </pic:spPr>
                </pic:pic>
              </a:graphicData>
            </a:graphic>
          </wp:anchor>
        </w:drawing>
      </w:r>
    </w:p>
    <w:p>
      <w:pPr>
        <w:spacing w:after="0" w:line="29" w:lineRule="exact"/>
        <w:rPr>
          <w:sz w:val="20"/>
          <w:szCs w:val="20"/>
          <w:color w:val="auto"/>
        </w:rPr>
      </w:pPr>
    </w:p>
    <w:p>
      <w:pPr>
        <w:jc w:val="both"/>
        <w:ind w:left="6980"/>
        <w:spacing w:after="0"/>
        <w:tabs>
          <w:tab w:leader="none" w:pos="8300" w:val="left"/>
          <w:tab w:leader="none" w:pos="96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12065</wp:posOffset>
                </wp:positionV>
                <wp:extent cx="4184015" cy="16446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4015" cy="164465"/>
                        </a:xfrm>
                        <a:prstGeom prst="rect">
                          <a:avLst/>
                        </a:prstGeom>
                        <a:solidFill>
                          <a:srgbClr val="E0E0E0"/>
                        </a:solidFill>
                      </wps:spPr>
                      <wps:bodyPr/>
                    </wps:wsp>
                  </a:graphicData>
                </a:graphic>
              </wp:anchor>
            </w:drawing>
          </mc:Choice>
          <mc:Fallback>
            <w:pict>
              <v:rect id="Shape 69" o:spid="_x0000_s1094" style="position:absolute;margin-left:-0.2999pt;margin-top:0.95pt;width:329.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4180205</wp:posOffset>
                </wp:positionH>
                <wp:positionV relativeFrom="paragraph">
                  <wp:posOffset>21590</wp:posOffset>
                </wp:positionV>
                <wp:extent cx="768985" cy="15494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154940"/>
                        </a:xfrm>
                        <a:prstGeom prst="rect">
                          <a:avLst/>
                        </a:prstGeom>
                        <a:solidFill>
                          <a:srgbClr val="E0E0E0"/>
                        </a:solidFill>
                      </wps:spPr>
                      <wps:bodyPr/>
                    </wps:wsp>
                  </a:graphicData>
                </a:graphic>
              </wp:anchor>
            </w:drawing>
          </mc:Choice>
          <mc:Fallback>
            <w:pict>
              <v:rect id="Shape 70" o:spid="_x0000_s1095" style="position:absolute;margin-left:329.15pt;margin-top:1.7pt;width:60.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4949190</wp:posOffset>
                </wp:positionH>
                <wp:positionV relativeFrom="paragraph">
                  <wp:posOffset>12065</wp:posOffset>
                </wp:positionV>
                <wp:extent cx="85090" cy="16446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90" cy="164465"/>
                        </a:xfrm>
                        <a:prstGeom prst="rect">
                          <a:avLst/>
                        </a:prstGeom>
                        <a:solidFill>
                          <a:srgbClr val="E0E0E0"/>
                        </a:solidFill>
                      </wps:spPr>
                      <wps:bodyPr/>
                    </wps:wsp>
                  </a:graphicData>
                </a:graphic>
              </wp:anchor>
            </w:drawing>
          </mc:Choice>
          <mc:Fallback>
            <w:pict>
              <v:rect id="Shape 71" o:spid="_x0000_s1096" style="position:absolute;margin-left:389.7pt;margin-top:0.95pt;width:6.7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5034280</wp:posOffset>
                </wp:positionH>
                <wp:positionV relativeFrom="paragraph">
                  <wp:posOffset>21590</wp:posOffset>
                </wp:positionV>
                <wp:extent cx="769620" cy="15494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9620" cy="154940"/>
                        </a:xfrm>
                        <a:prstGeom prst="rect">
                          <a:avLst/>
                        </a:prstGeom>
                        <a:solidFill>
                          <a:srgbClr val="E0E0E0"/>
                        </a:solidFill>
                      </wps:spPr>
                      <wps:bodyPr/>
                    </wps:wsp>
                  </a:graphicData>
                </a:graphic>
              </wp:anchor>
            </w:drawing>
          </mc:Choice>
          <mc:Fallback>
            <w:pict>
              <v:rect id="Shape 72" o:spid="_x0000_s1097" style="position:absolute;margin-left:396.4pt;margin-top:1.7pt;width:60.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5803900</wp:posOffset>
                </wp:positionH>
                <wp:positionV relativeFrom="paragraph">
                  <wp:posOffset>12065</wp:posOffset>
                </wp:positionV>
                <wp:extent cx="85090" cy="16446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90" cy="164465"/>
                        </a:xfrm>
                        <a:prstGeom prst="rect">
                          <a:avLst/>
                        </a:prstGeom>
                        <a:solidFill>
                          <a:srgbClr val="E0E0E0"/>
                        </a:solidFill>
                      </wps:spPr>
                      <wps:bodyPr/>
                    </wps:wsp>
                  </a:graphicData>
                </a:graphic>
              </wp:anchor>
            </w:drawing>
          </mc:Choice>
          <mc:Fallback>
            <w:pict>
              <v:rect id="Shape 73" o:spid="_x0000_s1098" style="position:absolute;margin-left:457pt;margin-top:0.95pt;width:6.7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5888990</wp:posOffset>
                </wp:positionH>
                <wp:positionV relativeFrom="paragraph">
                  <wp:posOffset>21590</wp:posOffset>
                </wp:positionV>
                <wp:extent cx="744855" cy="15494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855" cy="154940"/>
                        </a:xfrm>
                        <a:prstGeom prst="rect">
                          <a:avLst/>
                        </a:prstGeom>
                        <a:solidFill>
                          <a:srgbClr val="E0E0E0"/>
                        </a:solidFill>
                      </wps:spPr>
                      <wps:bodyPr/>
                    </wps:wsp>
                  </a:graphicData>
                </a:graphic>
              </wp:anchor>
            </w:drawing>
          </mc:Choice>
          <mc:Fallback>
            <w:pict>
              <v:rect id="Shape 74" o:spid="_x0000_s1099" style="position:absolute;margin-left:463.7pt;margin-top:1.7pt;width:58.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4179570</wp:posOffset>
                </wp:positionH>
                <wp:positionV relativeFrom="paragraph">
                  <wp:posOffset>16510</wp:posOffset>
                </wp:positionV>
                <wp:extent cx="76962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96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1pt,1.3pt" to="389.7pt,1.3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5034280</wp:posOffset>
                </wp:positionH>
                <wp:positionV relativeFrom="paragraph">
                  <wp:posOffset>16510</wp:posOffset>
                </wp:positionV>
                <wp:extent cx="76962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96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4pt,1.3pt" to="457pt,1.3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5888990</wp:posOffset>
                </wp:positionH>
                <wp:positionV relativeFrom="paragraph">
                  <wp:posOffset>16510</wp:posOffset>
                </wp:positionV>
                <wp:extent cx="74485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85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7pt,1.3pt" to="522.35pt,1.3pt" o:allowincell="f" strokecolor="#000000" strokeweight="0.75pt"/>
            </w:pict>
          </mc:Fallback>
        </mc:AlternateContent>
      </w:r>
    </w:p>
    <w:p>
      <w:pPr>
        <w:sectPr>
          <w:pgSz w:w="12240" w:h="15840" w:orient="portrait"/>
          <w:cols w:equalWidth="0" w:num="1">
            <w:col w:w="10360"/>
          </w:cols>
          <w:pgMar w:left="900" w:top="926" w:right="980" w:bottom="175"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Cash paid for interest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-3810</wp:posOffset>
                </wp:positionV>
                <wp:extent cx="6637655" cy="30035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300355"/>
                        </a:xfrm>
                        <a:prstGeom prst="rect">
                          <a:avLst/>
                        </a:prstGeom>
                        <a:solidFill>
                          <a:srgbClr val="E0E0E0"/>
                        </a:solidFill>
                      </wps:spPr>
                      <wps:bodyPr/>
                    </wps:wsp>
                  </a:graphicData>
                </a:graphic>
              </wp:anchor>
            </w:drawing>
          </mc:Choice>
          <mc:Fallback>
            <w:pict>
              <v:rect id="Shape 78" o:spid="_x0000_s1103" style="position:absolute;margin-left:-0.2999pt;margin-top:-0.2999pt;width:522.65pt;height:2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ind w:left="200" w:right="40"/>
        <w:spacing w:after="0" w:line="254" w:lineRule="auto"/>
        <w:rPr>
          <w:sz w:val="20"/>
          <w:szCs w:val="20"/>
          <w:color w:val="auto"/>
        </w:rPr>
      </w:pPr>
      <w:r>
        <w:rPr>
          <w:rFonts w:ascii="Times New Roman" w:cs="Times New Roman" w:eastAsia="Times New Roman" w:hAnsi="Times New Roman"/>
          <w:sz w:val="20"/>
          <w:szCs w:val="20"/>
          <w:color w:val="auto"/>
        </w:rPr>
        <w:t>Cash paid for amounts included in the measurement of operating lease liabilities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2,795</w:t>
            </w: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198</w:t>
            </w:r>
          </w:p>
        </w:tc>
        <w:tc>
          <w:tcPr>
            <w:tcW w:w="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59"/>
        </w:trPr>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850</w:t>
            </w: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718</w:t>
            </w:r>
          </w:p>
        </w:tc>
        <w:tc>
          <w:tcPr>
            <w:tcW w:w="5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r>
    </w:tbl>
    <w:p>
      <w:pPr>
        <w:spacing w:after="0" w:line="320" w:lineRule="exact"/>
        <w:rPr>
          <w:sz w:val="20"/>
          <w:szCs w:val="20"/>
          <w:color w:val="auto"/>
        </w:rPr>
      </w:pPr>
    </w:p>
    <w:p>
      <w:pPr>
        <w:sectPr>
          <w:pgSz w:w="12240" w:h="15840" w:orient="portrait"/>
          <w:cols w:equalWidth="0" w:num="2">
            <w:col w:w="5860" w:space="720"/>
            <w:col w:w="3780"/>
          </w:cols>
          <w:pgMar w:left="900" w:top="926" w:right="980" w:bottom="175"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360"/>
          </w:cols>
          <w:pgMar w:left="900" w:top="926" w:right="98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360"/>
          </w:cols>
          <w:pgMar w:left="900" w:top="926" w:right="980" w:bottom="175" w:gutter="0" w:footer="0" w:header="0"/>
          <w:type w:val="continuous"/>
        </w:sectPr>
      </w:pPr>
    </w:p>
    <w:bookmarkStart w:id="128" w:name="page129"/>
    <w:bookmarkEnd w:id="12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Nature of the Business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DISC-0974 for the treatment of anemia of myelofibrosis ("MF"), and anemia of inflammatory bowel disease ("IBD"); and DISC-3405 for the treatment of polycythemia vera ("PV"), sickle cell disease ("SCD"), and other hematologic disorders. In addition, the Company's preclinical programs include DISC-0998 for the treatment of anemia associated with inflammatory diseases. The Company's approach to product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is subject to a number of risks and uncertainties common to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and the ability to secure additional capital to fund operations. The Company’s research and development programs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Merger with Gemini</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connection with the merger, each person who was a stockholder of record of Gemini or had the right to receive Gemini’s common stock received a contractual contingent value right (“CVR”) issued by Gemini subject to and in accordance with the terms and conditions of a Contingent Value Rights Agreement (the “CVR Agreement”). The CVRs represented the contractual right to receive consideration from the post-closing combined company upon the receipt of certain proceeds from a disposition of Gemini’s pre-merger assets (specifically, Gemini’s intellectual property assets (“Gemini IP”), which the Company assumed in the merger) during the one year after the closing of the merger, calculated in accordance with the CVR Agreement.</w:t>
      </w:r>
    </w:p>
    <w:p>
      <w:pPr>
        <w:spacing w:after="0" w:line="7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To satisfy its obligations with respect to the CVRs and the Gemini IP, the Company hired an outside firm to attempt to sell the Gemini IP. In June 2023, the Company received an offer and recorded a $1.5 million liability representing the estimated fair value of the Company’s obligation to the holders of the CVRs. However, the counterparty and the Company were unable to come to an agreement. The disposition period ended on December 29, 2023 and no dispositions of Gemini's pre-merger assets were made during the disposition period. Therefore, there were no CVR payments made to the holders and there will not be any future CVR payments to the holders. The Company’s obligations under the CVR Agreement expired and the CVRs are valueless. In December 2023, the Company recognized the reversal of the $1.5 million liability in the consolidated statements of operations and comprehensive loss. The Company generated no revenue from Gemini’s pre-merger assets and incurred approximately $1.6 million in aggregate costs (including maintenance of license agreements, storage, legal and other fees) during the year ended December 31, 2023, to maintain Gemini’s pre-merger assets solely in order to fulfill the Company’s obligations under the CVR Agreement.</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460"/>
          </w:cols>
          <w:pgMar w:left="900" w:top="926" w:right="880" w:bottom="175" w:gutter="0" w:footer="0" w:header="0"/>
          <w:type w:val="continuous"/>
        </w:sectPr>
      </w:pPr>
    </w:p>
    <w:bookmarkStart w:id="129" w:name="page130"/>
    <w:bookmarkEnd w:id="129"/>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18" w:lineRule="exact"/>
        <w:rPr>
          <w:sz w:val="20"/>
          <w:szCs w:val="20"/>
          <w:color w:val="auto"/>
        </w:rPr>
      </w:pPr>
    </w:p>
    <w:p>
      <w:pPr>
        <w:jc w:val="both"/>
        <w:ind w:left="7"/>
        <w:spacing w:after="0" w:line="243"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on the basis of the Company continuing as a going concern. The Company expects that its existing cash, cash equivalents and marketable securities as of December 31, 2025 of $791.2 million 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2025, the Company had an accumulated deficit of $510.2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205" w:lineRule="exact"/>
        <w:rPr>
          <w:sz w:val="20"/>
          <w:szCs w:val="20"/>
          <w:color w:val="auto"/>
        </w:rPr>
      </w:pPr>
    </w:p>
    <w:p>
      <w:pPr>
        <w:ind w:left="7" w:right="6040" w:hanging="7"/>
        <w:spacing w:after="0" w:line="386" w:lineRule="auto"/>
        <w:tabs>
          <w:tab w:leader="none" w:pos="207"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Summary of Significant Accounting Policies </w:t>
      </w:r>
      <w:r>
        <w:rPr>
          <w:rFonts w:ascii="Times New Roman" w:cs="Times New Roman" w:eastAsia="Times New Roman" w:hAnsi="Times New Roman"/>
          <w:sz w:val="19"/>
          <w:szCs w:val="19"/>
          <w:b w:val="1"/>
          <w:bCs w:val="1"/>
          <w:i w:val="1"/>
          <w:iCs w:val="1"/>
          <w:color w:val="auto"/>
        </w:rPr>
        <w:t>Basis of Presentation and Principles of Consolidation</w:t>
      </w:r>
    </w:p>
    <w:p>
      <w:pPr>
        <w:spacing w:after="0" w:line="1"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74" w:lineRule="exact"/>
        <w:rPr>
          <w:sz w:val="20"/>
          <w:szCs w:val="20"/>
          <w:color w:val="auto"/>
        </w:rPr>
      </w:pPr>
    </w:p>
    <w:p>
      <w:pPr>
        <w:jc w:val="both"/>
        <w:ind w:left="7"/>
        <w:spacing w:after="0" w:line="277"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the Company and its wholly-owned subsidiaries. All intercompany transactions and balances have been eliminated in consolidation.</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jc w:val="both"/>
        <w:ind w:left="7"/>
        <w:spacing w:after="0" w:line="244"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accrued research and development expenses; stock-based compensation expense; the fair value of the common stock prior to the effective date of the merger;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2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20"/>
          <w:szCs w:val="20"/>
          <w:color w:val="auto"/>
        </w:rPr>
        <w:t xml:space="preserve">The Company manages its operations as a single operating segment for the purposes of assessing performance and making operating decisions, resulting in a single reportable segment.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 See </w:t>
      </w:r>
      <w:r>
        <w:rPr>
          <w:rFonts w:ascii="Times New Roman" w:cs="Times New Roman" w:eastAsia="Times New Roman" w:hAnsi="Times New Roman"/>
          <w:sz w:val="20"/>
          <w:szCs w:val="20"/>
          <w:i w:val="1"/>
          <w:iCs w:val="1"/>
          <w:color w:val="auto"/>
        </w:rPr>
        <w:t>Note 13 - Segment Information</w:t>
      </w:r>
      <w:r>
        <w:rPr>
          <w:rFonts w:ascii="Times New Roman" w:cs="Times New Roman" w:eastAsia="Times New Roman" w:hAnsi="Times New Roman"/>
          <w:sz w:val="20"/>
          <w:szCs w:val="20"/>
          <w:color w:val="auto"/>
        </w:rPr>
        <w:t xml:space="preserve"> for additional details.</w:t>
      </w:r>
    </w:p>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of Significant Suppliers</w:t>
      </w:r>
    </w:p>
    <w:p>
      <w:pPr>
        <w:spacing w:after="0" w:line="120" w:lineRule="exact"/>
        <w:rPr>
          <w:sz w:val="20"/>
          <w:szCs w:val="20"/>
          <w:color w:val="auto"/>
        </w:rPr>
      </w:pPr>
    </w:p>
    <w:p>
      <w:pPr>
        <w:jc w:val="both"/>
        <w:ind w:left="7" w:right="20"/>
        <w:spacing w:after="0" w:line="249"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7"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12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20"/>
          <w:szCs w:val="20"/>
          <w:color w:val="auto"/>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of foreign currency translation adjustments and unrealized gains (losses) on available-for-sale marketable securities during the years ended years ended December 31, 2025, 2024 and 2023.</w:t>
      </w:r>
    </w:p>
    <w:p>
      <w:pPr>
        <w:sectPr>
          <w:pgSz w:w="12240" w:h="15840" w:orient="portrait"/>
          <w:cols w:equalWidth="0" w:num="1">
            <w:col w:w="10467"/>
          </w:cols>
          <w:pgMar w:left="893" w:top="921" w:right="880" w:bottom="175" w:gutter="0" w:footer="0" w:header="0"/>
        </w:sectPr>
      </w:pP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467"/>
          </w:cols>
          <w:pgMar w:left="893" w:top="921" w:right="880" w:bottom="175"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Company considers all highly liquid investments with original maturities of three months or less at the date of purchase to be cash equivalents. Cash and cash equivalents include cash in readily available checking and money market accounts and U.S. treasury and corporate debt securities with original maturities of three months or less at the date of purchase. Cash equivalents are reflected at fair value based on quoted market prices as further described in </w:t>
      </w:r>
      <w:r>
        <w:rPr>
          <w:rFonts w:ascii="Times New Roman" w:cs="Times New Roman" w:eastAsia="Times New Roman" w:hAnsi="Times New Roman"/>
          <w:sz w:val="20"/>
          <w:szCs w:val="20"/>
          <w:i w:val="1"/>
          <w:iCs w:val="1"/>
          <w:color w:val="auto"/>
        </w:rPr>
        <w:t>Note 5 - Fair Value Measurements</w:t>
      </w:r>
      <w:r>
        <w:rPr>
          <w:rFonts w:ascii="Times New Roman" w:cs="Times New Roman" w:eastAsia="Times New Roman" w:hAnsi="Times New Roman"/>
          <w:sz w:val="20"/>
          <w:szCs w:val="20"/>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classifies its marketable securities as available-for-sale.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Marketable securities are maintained by an investment manager and consist of U.S. treasury, US government agency, and corporate debt securities. Marketable securities are carried at fair value with the unrealized gains and losses included in accumulated other comprehensive income (loss) as a component of stockholders’ equity until realized. Any premium or discount arising at purchase is amortized and/or accreted to interest income and/or expense over the life of the underlying marketable security. Although these marketable securities are available to be sold to meet operating needs or otherwise, they are generally held through maturity. The cost of securities sold is determined on a specific identification basis, and realized gains and losses are included in other income (expense), net within the consolidated statements of operations and comprehensive loss. The Company reviews its portfolio of available-for-sale securities, using both quantitative and qualitative factors, to determine if declines in fair value below cost have resulted from a credit loss or other factors. If the decline in fair value is due to credit loss factors, a loss is recognized. To date, the Company has not experienced any credit losses and does not expect it is exposed to any significant credit risk on these investments.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Transaction Costs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Company categorizes its assets and liabilities measured at fair value in accordance with the provisions of ASC Topic 820, </w:t>
      </w:r>
      <w:r>
        <w:rPr>
          <w:rFonts w:ascii="Times New Roman" w:cs="Times New Roman" w:eastAsia="Times New Roman" w:hAnsi="Times New Roman"/>
          <w:sz w:val="20"/>
          <w:szCs w:val="20"/>
          <w:i w:val="1"/>
          <w:iCs w:val="1"/>
          <w:color w:val="auto"/>
        </w:rPr>
        <w:t xml:space="preserve">Fair Value Measurements and Disclosures, </w:t>
      </w:r>
      <w:r>
        <w:rPr>
          <w:rFonts w:ascii="Times New Roman" w:cs="Times New Roman" w:eastAsia="Times New Roman" w:hAnsi="Times New Roman"/>
          <w:sz w:val="20"/>
          <w:szCs w:val="20"/>
          <w:color w:val="auto"/>
        </w:rPr>
        <w:t>which establishes a consistent framework for measuring fair value and expands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96" w:lineRule="exact"/>
        <w:rPr>
          <w:sz w:val="20"/>
          <w:szCs w:val="20"/>
          <w:color w:val="auto"/>
        </w:rPr>
      </w:pPr>
    </w:p>
    <w:p>
      <w:pPr>
        <w:ind w:left="720" w:hanging="36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Level 1: Quoted prices (unadjusted) in active markets for identical assets or liabilities;</w:t>
      </w:r>
    </w:p>
    <w:p>
      <w:pPr>
        <w:spacing w:after="0" w:line="133" w:lineRule="exact"/>
        <w:rPr>
          <w:rFonts w:ascii="Arial" w:cs="Arial" w:eastAsia="Arial" w:hAnsi="Arial"/>
          <w:sz w:val="20"/>
          <w:szCs w:val="20"/>
          <w:color w:val="auto"/>
        </w:rPr>
      </w:pPr>
    </w:p>
    <w:p>
      <w:pPr>
        <w:ind w:left="720" w:hanging="36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Level 2: Inputs other than quoted prices included within Level 1 that are either directly or indirectly observable; and</w:t>
      </w:r>
    </w:p>
    <w:p>
      <w:pPr>
        <w:spacing w:after="0" w:line="133" w:lineRule="exact"/>
        <w:rPr>
          <w:rFonts w:ascii="Arial" w:cs="Arial" w:eastAsia="Arial" w:hAnsi="Arial"/>
          <w:sz w:val="20"/>
          <w:szCs w:val="20"/>
          <w:color w:val="auto"/>
        </w:rPr>
      </w:pPr>
    </w:p>
    <w:p>
      <w:pPr>
        <w:ind w:left="720" w:hanging="367"/>
        <w:spacing w:after="0" w:line="276"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Level 3: Unobservable inputs in which little or no market activity exists, therefore requiring an entity to develop its own assumptions about the assumptions that market participants would use in pricing.</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fair value of the Company’s cash equivalents and marketable securities are determined according to the fair value hierarchy described above (see </w:t>
      </w:r>
      <w:r>
        <w:rPr>
          <w:rFonts w:ascii="Times New Roman" w:cs="Times New Roman" w:eastAsia="Times New Roman" w:hAnsi="Times New Roman"/>
          <w:sz w:val="20"/>
          <w:szCs w:val="20"/>
          <w:i w:val="1"/>
          <w:iCs w:val="1"/>
          <w:color w:val="auto"/>
        </w:rPr>
        <w:t>Note 5 - Fair Value Measurements</w:t>
      </w:r>
      <w:r>
        <w:rPr>
          <w:rFonts w:ascii="Times New Roman" w:cs="Times New Roman" w:eastAsia="Times New Roman" w:hAnsi="Times New Roman"/>
          <w:sz w:val="20"/>
          <w:szCs w:val="20"/>
          <w:color w:val="auto"/>
        </w:rPr>
        <w:t>). The carrying values of the Company’s prepaid expenses and other current assets, accounts payable and accrued expenses approximate their fair values due to the short-term nature of these assets and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is calculated using the straight-line method over the estimated useful lives of the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bottom w:val="single" w:sz="8" w:color="E0E0E0"/>
            </w:tcBorders>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Life</w:t>
            </w:r>
          </w:p>
        </w:tc>
      </w:tr>
      <w:tr>
        <w:trPr>
          <w:trHeight w:val="242"/>
        </w:trPr>
        <w:tc>
          <w:tcPr>
            <w:tcW w:w="64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04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Shorter of useful life or remaining life of lease</w:t>
            </w:r>
          </w:p>
        </w:tc>
      </w:tr>
      <w:tr>
        <w:trPr>
          <w:trHeight w:val="24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4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 years</w:t>
            </w:r>
          </w:p>
        </w:tc>
      </w:tr>
      <w:tr>
        <w:trPr>
          <w:trHeight w:val="244"/>
        </w:trPr>
        <w:tc>
          <w:tcPr>
            <w:tcW w:w="64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404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3.0 years</w:t>
            </w:r>
          </w:p>
        </w:tc>
      </w:tr>
    </w:tbl>
    <w:p>
      <w:pPr>
        <w:spacing w:after="0" w:line="200" w:lineRule="exact"/>
        <w:rPr>
          <w:sz w:val="20"/>
          <w:szCs w:val="20"/>
          <w:color w:val="auto"/>
        </w:rPr>
      </w:pPr>
    </w:p>
    <w:p>
      <w:pPr>
        <w:sectPr>
          <w:pgSz w:w="12240" w:h="15840" w:orient="portrait"/>
          <w:cols w:equalWidth="0" w:num="1">
            <w:col w:w="10460"/>
          </w:cols>
          <w:pgMar w:left="900" w:top="930" w:right="880" w:bottom="175"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460"/>
          </w:cols>
          <w:pgMar w:left="900" w:top="930" w:right="880" w:bottom="175" w:gutter="0" w:footer="0" w:header="0"/>
          <w:type w:val="continuous"/>
        </w:sectPr>
      </w:pPr>
    </w:p>
    <w:bookmarkStart w:id="131" w:name="page132"/>
    <w:bookmarkEnd w:id="131"/>
    <w:p>
      <w:pPr>
        <w:jc w:val="both"/>
        <w:spacing w:after="0" w:line="252" w:lineRule="auto"/>
        <w:rPr>
          <w:sz w:val="20"/>
          <w:szCs w:val="20"/>
          <w:color w:val="auto"/>
        </w:rPr>
      </w:pPr>
      <w:r>
        <w:rPr>
          <w:rFonts w:ascii="Times New Roman" w:cs="Times New Roman" w:eastAsia="Times New Roman" w:hAnsi="Times New Roman"/>
          <w:sz w:val="20"/>
          <w:szCs w:val="20"/>
          <w:color w:val="auto"/>
        </w:rPr>
        <w:t>Costs for capital assets not yet placed into service are capitalized as construction-in-progress and depreciated in accordance with the above guidelines once placed into service. Upon retirement or sale, the cost of assets disposed and the related accumulated depreciation and amortization are removed from the accounts and any resulting gain or loss is included in loss from operations. Expenditures for repairs and maintenance are expensed as incurred.</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within depreciation expense over the estimated useful life of the related asset, which is typically three years.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Company accounts for the impairment and disposition of long-lived assets in accordance with ASC Topic 360, </w:t>
      </w:r>
      <w:r>
        <w:rPr>
          <w:rFonts w:ascii="Times New Roman" w:cs="Times New Roman" w:eastAsia="Times New Roman" w:hAnsi="Times New Roman"/>
          <w:sz w:val="20"/>
          <w:szCs w:val="20"/>
          <w:i w:val="1"/>
          <w:iCs w:val="1"/>
          <w:color w:val="auto"/>
        </w:rPr>
        <w:t>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Plant, and Equipment</w:t>
      </w:r>
      <w:r>
        <w:rPr>
          <w:rFonts w:ascii="Times New Roman" w:cs="Times New Roman" w:eastAsia="Times New Roman" w:hAnsi="Times New Roman"/>
          <w:sz w:val="20"/>
          <w:szCs w:val="20"/>
          <w:color w:val="auto"/>
        </w:rPr>
        <w:t>. Long-lived assets, such as property and equipment and right-of-use ("ROU") assets, are reviewed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impairment whenever events or changes in circumstances indicate that the carrying amount of an asset or asset group may not be recoverable. The recoverability of assets or asset groups to be held and used is measured by a comparison of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There were no impairment losses recorded for the years ended December 31, 2025, 2024 and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its leases under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Upon adoption, the Company elected to combine lease and non-lease components when calculating minimum lease payments on new leases for all asset classes. The Company has also elected an accounting policy to forgo the recognition of lease assets or liabilities for short-term leases. Short-term leases are defined, in accordance with the standard, as those with terms of one year or less and do not include an option to purchase the underlying asset that the lessee is reasonably certain to exercise.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determines if an arrangement is or contains a lease at contract inception. The Company accounts for a contract as a lease when it has the right to direct the use of the asset for a period of time while obtaining substantially all of the asset’s economic benefits. The Company determines the initial classification and measurement of right-of-use assets and lease liabilities at the lease commencement date and thereafter at the modification date, if modified.</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Right-of-use assets represent the Company's right to control the underlying assets under lease, and the lease liability is the Company's obligation to make the lease payments related to the underlying assets under lease, over the contractual term. Right-of-use assets and lease liabilities are recognized at the lease commencement date based on the present value of future minimum fixed lease payments to be made over the lease term. The Company uses the non-cancellable lease term unless it is reasonably certain that a renewal or termination option will be exercised. When available, the Company uses the rate implicit in the lease to discount lease payments to present value. As most leases do not provide an implicit rate, the Company estimates the incremental borrowing rate to discount the lease payments. The Company estimates the incremental borrowing rate based on the rates of interest that the Company would have to pay to borrow an amount equal to the lease payments on a collateralized basis, over a similar term, and in a similar economic environment. The right-of-use asset also includes any lease prepayments and initial direct costs, offset by lease incentives.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Certain lease agreements contain variable lease payments which are not included in the measurement of the lease liability. Variable lease payments relate to taxes, insurance, utilities, and common area maintenance ("CAM"). These variable lease payments are recognized in the consolidated statements of operations and comprehensive loss in the period in which the obligation for those payments is incurred.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and the acquired in-process research and development does not have an alternative future use, any related upfront license payment is expensed as incurred in accordance with guidance in ASC Topic 730, </w:t>
      </w:r>
      <w:r>
        <w:rPr>
          <w:rFonts w:ascii="Times New Roman" w:cs="Times New Roman" w:eastAsia="Times New Roman" w:hAnsi="Times New Roman"/>
          <w:sz w:val="20"/>
          <w:szCs w:val="20"/>
          <w:i w:val="1"/>
          <w:iCs w:val="1"/>
          <w:color w:val="auto"/>
        </w:rPr>
        <w:t>Research and Development</w:t>
      </w:r>
      <w:r>
        <w:rPr>
          <w:rFonts w:ascii="Times New Roman" w:cs="Times New Roman" w:eastAsia="Times New Roman" w:hAnsi="Times New Roman"/>
          <w:sz w:val="20"/>
          <w:szCs w:val="20"/>
          <w:color w:val="auto"/>
        </w:rPr>
        <w:t>. Where contingent milestone payments are due to third parties under license or other agreements,</w:t>
      </w:r>
    </w:p>
    <w:p>
      <w:pPr>
        <w:sectPr>
          <w:pgSz w:w="12240" w:h="15840" w:orient="portrait"/>
          <w:cols w:equalWidth="0" w:num="1">
            <w:col w:w="10460"/>
          </w:cols>
          <w:pgMar w:left="900" w:top="930" w:right="880" w:bottom="175"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460"/>
          </w:cols>
          <w:pgMar w:left="900" w:top="930" w:right="880" w:bottom="175" w:gutter="0" w:footer="0" w:header="0"/>
          <w:type w:val="continuous"/>
        </w:sectPr>
      </w:pPr>
    </w:p>
    <w:bookmarkStart w:id="132" w:name="page133"/>
    <w:bookmarkEnd w:id="132"/>
    <w:p>
      <w:pPr>
        <w:jc w:val="both"/>
        <w:spacing w:after="0" w:line="245" w:lineRule="auto"/>
        <w:rPr>
          <w:sz w:val="20"/>
          <w:szCs w:val="20"/>
          <w:color w:val="auto"/>
        </w:rPr>
      </w:pPr>
      <w:r>
        <w:rPr>
          <w:rFonts w:ascii="Times New Roman" w:cs="Times New Roman" w:eastAsia="Times New Roman" w:hAnsi="Times New Roman"/>
          <w:sz w:val="20"/>
          <w:szCs w:val="20"/>
          <w:color w:val="auto"/>
        </w:rPr>
        <w:t>the milestone payment obligations are recognized as expense when achievement of the contingent milestone is probable, which is generally upon achievement of the milestone event.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Milestone payments made to third parties subsequent to regulatory approval are capitalized as intangible assets and amortized over the estimated remaining useful life of the related product. Royalties owed on sales of the products licensed pursuant to license agreements are expensed in the period the related revenues are recognized.</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Amortization of Debt Discount and Issuance Costs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Long-term debt is initially recorded as the proceeds received by the Company, net of debt issuance costs and discounts. Debt is subsequently stated at amortized cost. Debt issuance costs and discounts and are amortized to interest expense using the effective interest method, over the term of the debt. Debt issuance costs and discounts related to a recognized debt liability are presented in the consolidated balance sheets as a direct deduction from the carrying amount of that debt liability. For tranches not yet drawn, the related debt issuance costs are deferred and recorded as an asset. In the consolidated statements of cash flows, debt issuance costs paid to lenders are netted against the proceeds from the related long-term debt while debt issuance costs paid to third parties, are presented separately within financing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selling, general and administrative expenses within the Company’s consolidated statements of operations and comprehensive loss.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 Company accounts for all stock-based awards granted to employees and non-employees as stock-based compensation expense at fair value in accordance with ASC Topic 718, </w:t>
      </w:r>
      <w:r>
        <w:rPr>
          <w:rFonts w:ascii="Times New Roman" w:cs="Times New Roman" w:eastAsia="Times New Roman" w:hAnsi="Times New Roman"/>
          <w:sz w:val="20"/>
          <w:szCs w:val="20"/>
          <w:i w:val="1"/>
          <w:iCs w:val="1"/>
          <w:color w:val="auto"/>
        </w:rPr>
        <w:t>Compensation - Stock Compensation</w:t>
      </w:r>
      <w:r>
        <w:rPr>
          <w:rFonts w:ascii="Times New Roman" w:cs="Times New Roman" w:eastAsia="Times New Roman" w:hAnsi="Times New Roman"/>
          <w:sz w:val="20"/>
          <w:szCs w:val="20"/>
          <w:color w:val="auto"/>
        </w:rPr>
        <w:t>.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The grant date fair value of restricted stock units and shares of restricted stock granted is based on the fair value of the underlying common stock on the date of grant.</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460"/>
          </w:cols>
          <w:pgMar w:left="900" w:top="930" w:right="880" w:bottom="175" w:gutter="0" w:footer="0" w:header="0"/>
          <w:type w:val="continuous"/>
        </w:sectPr>
      </w:pPr>
    </w:p>
    <w:bookmarkStart w:id="133" w:name="page134"/>
    <w:bookmarkEnd w:id="133"/>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Company classifies stock-based compensation expense in the consolidated statements of operations and comprehensive loss in the same manner in which the award recipient’s payroll costs are classified or in which the award recipient’s service payments are classified. See </w:t>
      </w:r>
      <w:r>
        <w:rPr>
          <w:rFonts w:ascii="Times New Roman" w:cs="Times New Roman" w:eastAsia="Times New Roman" w:hAnsi="Times New Roman"/>
          <w:sz w:val="20"/>
          <w:szCs w:val="20"/>
          <w:i w:val="1"/>
          <w:iCs w:val="1"/>
          <w:color w:val="auto"/>
        </w:rPr>
        <w:t>Note 10 - Stock-Based Compensation</w:t>
      </w:r>
      <w:r>
        <w:rPr>
          <w:rFonts w:ascii="Times New Roman" w:cs="Times New Roman" w:eastAsia="Times New Roman" w:hAnsi="Times New Roman"/>
          <w:sz w:val="20"/>
          <w:szCs w:val="20"/>
          <w:color w:val="auto"/>
        </w:rPr>
        <w:t xml:space="preserve"> for a summary of the stock-based award activity under the Company’s stock-based compensation plans.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Fair Value of Common Stock on Grant Dates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Valuation of Privately-Held Company Equity Securities Issued as Compensation. In determining the exercise prices for options granted, Private Disc considered the estimated fair value of the common stock as of the 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8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as of December 31, 2025 or December 31, 2024.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460"/>
          </w:cols>
          <w:pgMar w:left="900" w:top="930" w:right="880" w:bottom="175" w:gutter="0" w:footer="0" w:header="0"/>
          <w:type w:val="continuous"/>
        </w:sectPr>
      </w:pPr>
    </w:p>
    <w:bookmarkStart w:id="134" w:name="page135"/>
    <w:bookmarkEnd w:id="134"/>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Company files federal income tax returns in the United States, the Netherlands and Australia and state income tax returns in Massachusetts and various other state jurisdictions. The Company’s income tax returns are subject to review and tax assessment from an income tax examination. As of December 31, 2025, the Company was not under examination by the Internal Revenue Service or other jurisdictions for any tax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Basic and diluted net loss per share is computed by dividing net loss by the weighted-average common shares outstanding. The weighted-average common shares outstanding used in the basic and diluted net loss per share calculation includes the pre-funded warrants issued in connection with the Company’s underwritten offerings in October 2025, January 2025, and June 2023 as the pre-funded warrants are exercisable for nominal cash consideration. In periods in which the Company reports a net loss, diluted net loss per share is generally the same as basic net loss per share since dilutive common shares are not assumed to have been issued if their effect is anti-dilutive.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requires enhanced disclosures related to the rate reconciliation and income taxes paid, among other changes. The Company adopted the standard effective January 1, 2025, on a prospective basis. The adoption of ASU 2023-09 did not have a material impact on the Company’s consolidated financial statements, but did result in expanded income tax disclosures as required by the amended guidance. Refer to </w:t>
      </w:r>
      <w:r>
        <w:rPr>
          <w:rFonts w:ascii="Times New Roman" w:cs="Times New Roman" w:eastAsia="Times New Roman" w:hAnsi="Times New Roman"/>
          <w:sz w:val="20"/>
          <w:szCs w:val="20"/>
          <w:i w:val="1"/>
          <w:iCs w:val="1"/>
          <w:color w:val="auto"/>
        </w:rPr>
        <w:t>Note 11 - Income Taxes</w:t>
      </w:r>
      <w:r>
        <w:rPr>
          <w:rFonts w:ascii="Times New Roman" w:cs="Times New Roman" w:eastAsia="Times New Roman" w:hAnsi="Times New Roman"/>
          <w:sz w:val="20"/>
          <w:szCs w:val="20"/>
          <w:color w:val="auto"/>
        </w:rPr>
        <w:t xml:space="preserve"> for additional details.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Cash, Cash Equivalents and Restricted Cash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cash equivalents and restricted cash consisted of the following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0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7100" w:type="dxa"/>
            <w:vAlign w:val="bottom"/>
            <w:gridSpan w:val="2"/>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E0E0E0"/>
          </w:tcPr>
          <w:p>
            <w:pPr>
              <w:jc w:val="right"/>
              <w:ind w:right="28"/>
              <w:spacing w:after="0" w:line="225" w:lineRule="exact"/>
              <w:rPr>
                <w:sz w:val="20"/>
                <w:szCs w:val="20"/>
                <w:color w:val="auto"/>
              </w:rPr>
            </w:pPr>
            <w:r>
              <w:rPr>
                <w:rFonts w:ascii="Times New Roman" w:cs="Times New Roman" w:eastAsia="Times New Roman" w:hAnsi="Times New Roman"/>
                <w:sz w:val="20"/>
                <w:szCs w:val="20"/>
                <w:color w:val="auto"/>
              </w:rPr>
              <w:t>91,145</w:t>
            </w: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192,434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E0E0E0"/>
            </w:tcBorders>
            <w:gridSpan w:val="2"/>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color w:val="auto"/>
              </w:rPr>
              <w:t>242</w:t>
            </w:r>
          </w:p>
        </w:tc>
        <w:tc>
          <w:tcPr>
            <w:tcW w:w="18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0" w:type="dxa"/>
            <w:vAlign w:val="bottom"/>
          </w:tcPr>
          <w:p>
            <w:pPr>
              <w:spacing w:after="0"/>
              <w:rPr>
                <w:sz w:val="1"/>
                <w:szCs w:val="1"/>
                <w:color w:val="auto"/>
              </w:rPr>
            </w:pPr>
          </w:p>
        </w:tc>
      </w:tr>
      <w:tr>
        <w:trPr>
          <w:trHeight w:val="206"/>
        </w:trPr>
        <w:tc>
          <w:tcPr>
            <w:tcW w:w="7100" w:type="dxa"/>
            <w:vAlign w:val="bottom"/>
            <w:gridSpan w:val="2"/>
            <w:shd w:val="clear" w:color="auto" w:fill="E0E0E0"/>
          </w:tcPr>
          <w:p>
            <w:pPr>
              <w:spacing w:after="0" w:line="206" w:lineRule="exact"/>
              <w:rPr>
                <w:sz w:val="20"/>
                <w:szCs w:val="20"/>
                <w:color w:val="auto"/>
              </w:rPr>
            </w:pPr>
            <w:r>
              <w:rPr>
                <w:rFonts w:ascii="Times New Roman" w:cs="Times New Roman" w:eastAsia="Times New Roman" w:hAnsi="Times New Roman"/>
                <w:sz w:val="20"/>
                <w:szCs w:val="20"/>
                <w:color w:val="auto"/>
              </w:rPr>
              <w:t>Total cash, cash equivalents and restricted cash as shown on the consolidated</w:t>
            </w:r>
          </w:p>
        </w:tc>
        <w:tc>
          <w:tcPr>
            <w:tcW w:w="180" w:type="dxa"/>
            <w:vAlign w:val="bottom"/>
            <w:vMerge w:val="restart"/>
            <w:shd w:val="clear" w:color="auto" w:fill="E0E0E0"/>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restart"/>
            <w:shd w:val="clear" w:color="auto" w:fill="E0E0E0"/>
          </w:tcPr>
          <w:p>
            <w:pPr>
              <w:jc w:val="right"/>
              <w:ind w:right="28"/>
              <w:spacing w:after="0"/>
              <w:rPr>
                <w:sz w:val="20"/>
                <w:szCs w:val="20"/>
                <w:color w:val="auto"/>
              </w:rPr>
            </w:pPr>
            <w:r>
              <w:rPr>
                <w:rFonts w:ascii="Times New Roman" w:cs="Times New Roman" w:eastAsia="Times New Roman" w:hAnsi="Times New Roman"/>
                <w:sz w:val="20"/>
                <w:szCs w:val="20"/>
                <w:color w:val="auto"/>
              </w:rPr>
              <w:t>91,387</w:t>
            </w:r>
          </w:p>
        </w:tc>
        <w:tc>
          <w:tcPr>
            <w:tcW w:w="1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192,672</w:t>
            </w:r>
          </w:p>
        </w:tc>
        <w:tc>
          <w:tcPr>
            <w:tcW w:w="0" w:type="dxa"/>
            <w:vAlign w:val="bottom"/>
          </w:tcPr>
          <w:p>
            <w:pPr>
              <w:spacing w:after="0"/>
              <w:rPr>
                <w:sz w:val="1"/>
                <w:szCs w:val="1"/>
                <w:color w:val="auto"/>
              </w:rPr>
            </w:pPr>
          </w:p>
        </w:tc>
      </w:tr>
      <w:tr>
        <w:trPr>
          <w:trHeight w:val="151"/>
        </w:trPr>
        <w:tc>
          <w:tcPr>
            <w:tcW w:w="7100" w:type="dxa"/>
            <w:vAlign w:val="bottom"/>
            <w:gridSpan w:val="2"/>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statements of cash flows</w:t>
            </w:r>
          </w:p>
        </w:tc>
        <w:tc>
          <w:tcPr>
            <w:tcW w:w="180" w:type="dxa"/>
            <w:vAlign w:val="bottom"/>
            <w:vMerge w:val="continue"/>
            <w:shd w:val="clear" w:color="auto" w:fill="E0E0E0"/>
          </w:tcPr>
          <w:p>
            <w:pPr>
              <w:spacing w:after="0"/>
              <w:rPr>
                <w:sz w:val="13"/>
                <w:szCs w:val="13"/>
                <w:color w:val="auto"/>
              </w:rPr>
            </w:pPr>
          </w:p>
        </w:tc>
        <w:tc>
          <w:tcPr>
            <w:tcW w:w="1420" w:type="dxa"/>
            <w:vAlign w:val="bottom"/>
            <w:vMerge w:val="continue"/>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60" w:type="dxa"/>
            <w:vAlign w:val="bottom"/>
            <w:vMerge w:val="continue"/>
            <w:shd w:val="clear" w:color="auto" w:fill="E0E0E0"/>
          </w:tcPr>
          <w:p>
            <w:pPr>
              <w:spacing w:after="0"/>
              <w:rPr>
                <w:sz w:val="13"/>
                <w:szCs w:val="13"/>
                <w:color w:val="auto"/>
              </w:rPr>
            </w:pPr>
          </w:p>
        </w:tc>
        <w:tc>
          <w:tcPr>
            <w:tcW w:w="1380" w:type="dxa"/>
            <w:vAlign w:val="bottom"/>
            <w:vMerge w:val="continue"/>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100" w:type="dxa"/>
            <w:vAlign w:val="bottom"/>
            <w:gridSpan w:val="2"/>
            <w:vMerge w:val="continue"/>
            <w:shd w:val="clear" w:color="auto" w:fill="E0E0E0"/>
          </w:tcPr>
          <w:p>
            <w:pPr>
              <w:spacing w:after="0"/>
              <w:rPr>
                <w:sz w:val="10"/>
                <w:szCs w:val="10"/>
                <w:color w:val="auto"/>
              </w:rPr>
            </w:pPr>
          </w:p>
        </w:tc>
        <w:tc>
          <w:tcPr>
            <w:tcW w:w="180" w:type="dxa"/>
            <w:vAlign w:val="bottom"/>
            <w:shd w:val="clear" w:color="auto" w:fill="E0E0E0"/>
          </w:tcPr>
          <w:p>
            <w:pPr>
              <w:spacing w:after="0"/>
              <w:rPr>
                <w:sz w:val="10"/>
                <w:szCs w:val="10"/>
                <w:color w:val="auto"/>
              </w:rPr>
            </w:pPr>
          </w:p>
        </w:tc>
        <w:tc>
          <w:tcPr>
            <w:tcW w:w="1420" w:type="dxa"/>
            <w:vAlign w:val="bottom"/>
            <w:shd w:val="clear" w:color="auto" w:fill="E0E0E0"/>
          </w:tcPr>
          <w:p>
            <w:pPr>
              <w:spacing w:after="0"/>
              <w:rPr>
                <w:sz w:val="10"/>
                <w:szCs w:val="10"/>
                <w:color w:val="auto"/>
              </w:rPr>
            </w:pPr>
          </w:p>
        </w:tc>
        <w:tc>
          <w:tcPr>
            <w:tcW w:w="18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60" w:type="dxa"/>
            <w:vAlign w:val="bottom"/>
            <w:shd w:val="clear" w:color="auto" w:fill="E0E0E0"/>
          </w:tcPr>
          <w:p>
            <w:pPr>
              <w:spacing w:after="0"/>
              <w:rPr>
                <w:sz w:val="10"/>
                <w:szCs w:val="10"/>
                <w:color w:val="auto"/>
              </w:rPr>
            </w:pPr>
          </w:p>
        </w:tc>
        <w:tc>
          <w:tcPr>
            <w:tcW w:w="1380" w:type="dxa"/>
            <w:vAlign w:val="bottom"/>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restricted cash balance, which is classified within prepaid expenses and other current assets and other assets on the consolidated balance sheets, consists of letters of credit related to leased and subleased office space in Watertown, Massachusetts. The Company is required to maintain a separate cash balance to secure its letters of credit.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Marketable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Marketable securities as of December 31, 2025 consisted of the following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37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39"/>
        </w:trPr>
        <w:tc>
          <w:tcPr>
            <w:tcW w:w="37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Marketable securities available-for-sale:</w:t>
            </w:r>
          </w:p>
        </w:tc>
        <w:tc>
          <w:tcPr>
            <w:tcW w:w="14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80" w:type="dxa"/>
            <w:vAlign w:val="bottom"/>
            <w:shd w:val="clear" w:color="auto" w:fill="E0E0E0"/>
          </w:tcPr>
          <w:p>
            <w:pPr>
              <w:spacing w:after="0"/>
              <w:rPr>
                <w:sz w:val="20"/>
                <w:szCs w:val="20"/>
                <w:color w:val="auto"/>
              </w:rPr>
            </w:pPr>
          </w:p>
        </w:tc>
        <w:tc>
          <w:tcPr>
            <w:tcW w:w="1140" w:type="dxa"/>
            <w:vAlign w:val="bottom"/>
            <w:shd w:val="clear" w:color="auto" w:fill="E0E0E0"/>
          </w:tcPr>
          <w:p>
            <w:pPr>
              <w:spacing w:after="0"/>
              <w:rPr>
                <w:sz w:val="20"/>
                <w:szCs w:val="20"/>
                <w:color w:val="auto"/>
              </w:rPr>
            </w:pPr>
          </w:p>
        </w:tc>
      </w:tr>
      <w:tr>
        <w:trPr>
          <w:trHeight w:val="244"/>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484,670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859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485,529</w:t>
            </w:r>
          </w:p>
        </w:tc>
      </w:tr>
      <w:tr>
        <w:trPr>
          <w:trHeight w:val="244"/>
        </w:trPr>
        <w:tc>
          <w:tcPr>
            <w:tcW w:w="3720" w:type="dxa"/>
            <w:vAlign w:val="bottom"/>
            <w:gridSpan w:val="2"/>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40" w:type="dxa"/>
            <w:vAlign w:val="bottom"/>
            <w:shd w:val="clear" w:color="auto" w:fill="E0E0E0"/>
          </w:tcPr>
          <w:p>
            <w:pPr>
              <w:spacing w:after="0"/>
              <w:rPr>
                <w:sz w:val="21"/>
                <w:szCs w:val="21"/>
                <w:color w:val="auto"/>
              </w:rPr>
            </w:pPr>
          </w:p>
        </w:tc>
        <w:tc>
          <w:tcPr>
            <w:tcW w:w="1520" w:type="dxa"/>
            <w:vAlign w:val="bottom"/>
            <w:shd w:val="clear" w:color="auto" w:fill="E0E0E0"/>
          </w:tcPr>
          <w:p>
            <w:pPr>
              <w:jc w:val="right"/>
              <w:ind w:right="24"/>
              <w:spacing w:after="0"/>
              <w:rPr>
                <w:sz w:val="20"/>
                <w:szCs w:val="20"/>
                <w:color w:val="auto"/>
              </w:rPr>
            </w:pPr>
            <w:r>
              <w:rPr>
                <w:rFonts w:ascii="Times New Roman" w:cs="Times New Roman" w:eastAsia="Times New Roman" w:hAnsi="Times New Roman"/>
                <w:sz w:val="20"/>
                <w:szCs w:val="20"/>
                <w:color w:val="auto"/>
              </w:rPr>
              <w:t>132,913</w:t>
            </w:r>
          </w:p>
        </w:tc>
        <w:tc>
          <w:tcPr>
            <w:tcW w:w="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6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48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132,941</w:t>
            </w:r>
          </w:p>
        </w:tc>
      </w:tr>
      <w:tr>
        <w:trPr>
          <w:trHeight w:val="244"/>
        </w:trPr>
        <w:tc>
          <w:tcPr>
            <w:tcW w:w="3720" w:type="dxa"/>
            <w:vAlign w:val="bottom"/>
            <w:tcBorders>
              <w:bottom w:val="single" w:sz="8" w:color="E0E0E0"/>
            </w:tcBorders>
            <w:gridSpan w:val="2"/>
          </w:tcPr>
          <w:p>
            <w:pPr>
              <w:ind w:left="4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81,431</w:t>
            </w:r>
          </w:p>
        </w:tc>
        <w:tc>
          <w:tcPr>
            <w:tcW w:w="20" w:type="dxa"/>
            <w:vAlign w:val="bottom"/>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110</w:t>
            </w: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81,537</w:t>
            </w:r>
          </w:p>
        </w:tc>
      </w:tr>
      <w:tr>
        <w:trPr>
          <w:trHeight w:val="259"/>
        </w:trPr>
        <w:tc>
          <w:tcPr>
            <w:tcW w:w="3720" w:type="dxa"/>
            <w:vAlign w:val="bottom"/>
            <w:gridSpan w:val="2"/>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Total available-for-sale securities</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E0E0E0"/>
          </w:tcPr>
          <w:p>
            <w:pPr>
              <w:jc w:val="right"/>
              <w:ind w:right="24"/>
              <w:spacing w:after="0"/>
              <w:rPr>
                <w:sz w:val="20"/>
                <w:szCs w:val="20"/>
                <w:color w:val="auto"/>
              </w:rPr>
            </w:pPr>
            <w:r>
              <w:rPr>
                <w:rFonts w:ascii="Times New Roman" w:cs="Times New Roman" w:eastAsia="Times New Roman" w:hAnsi="Times New Roman"/>
                <w:sz w:val="20"/>
                <w:szCs w:val="20"/>
                <w:color w:val="auto"/>
              </w:rPr>
              <w:t>699,014</w:t>
            </w:r>
          </w:p>
        </w:tc>
        <w:tc>
          <w:tcPr>
            <w:tcW w:w="20" w:type="dxa"/>
            <w:vAlign w:val="bottom"/>
          </w:tcPr>
          <w:p>
            <w:pPr>
              <w:spacing w:after="0"/>
              <w:rPr>
                <w:sz w:val="22"/>
                <w:szCs w:val="22"/>
                <w:color w:val="auto"/>
              </w:rPr>
            </w:pPr>
          </w:p>
        </w:tc>
        <w:tc>
          <w:tcPr>
            <w:tcW w:w="16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940" w:type="dxa"/>
            <w:vAlign w:val="bottom"/>
            <w:shd w:val="clear" w:color="auto" w:fill="E0E0E0"/>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480" w:type="dxa"/>
            <w:vAlign w:val="bottom"/>
            <w:shd w:val="clear" w:color="auto" w:fill="E0E0E0"/>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700,007</w:t>
            </w:r>
          </w:p>
        </w:tc>
      </w:tr>
      <w:tr>
        <w:trPr>
          <w:trHeight w:val="20"/>
        </w:trPr>
        <w:tc>
          <w:tcPr>
            <w:tcW w:w="370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-970915</wp:posOffset>
            </wp:positionV>
            <wp:extent cx="196659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a:extLst>
                        <a:ext uri="{28A0092B-C50C-407E-A947-70E740481C1C}"/>
                      </a:extLst>
                    </a:blip>
                    <a:srcRect/>
                    <a:stretch>
                      <a:fillRect/>
                    </a:stretch>
                  </pic:blipFill>
                  <pic:spPr bwMode="auto">
                    <a:xfrm>
                      <a:off x="0" y="0"/>
                      <a:ext cx="1966595" cy="381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Marketable securities as of December 31, 2024 consisted of the following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39"/>
        </w:trPr>
        <w:tc>
          <w:tcPr>
            <w:tcW w:w="3740" w:type="dxa"/>
            <w:vAlign w:val="bottom"/>
            <w:tcBorders>
              <w:top w:val="single" w:sz="8" w:color="E0E0E0"/>
            </w:tcBorders>
            <w:gridSpan w:val="3"/>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Marketable securities available-for-sale:</w:t>
            </w:r>
          </w:p>
        </w:tc>
        <w:tc>
          <w:tcPr>
            <w:tcW w:w="120" w:type="dxa"/>
            <w:vAlign w:val="bottom"/>
            <w:tcBorders>
              <w:top w:val="single" w:sz="8" w:color="auto"/>
            </w:tcBorders>
            <w:shd w:val="clear" w:color="auto" w:fill="E0E0E0"/>
          </w:tcPr>
          <w:p>
            <w:pPr>
              <w:spacing w:after="0"/>
              <w:rPr>
                <w:sz w:val="20"/>
                <w:szCs w:val="20"/>
                <w:color w:val="auto"/>
              </w:rPr>
            </w:pPr>
          </w:p>
        </w:tc>
        <w:tc>
          <w:tcPr>
            <w:tcW w:w="1520" w:type="dxa"/>
            <w:vAlign w:val="bottom"/>
            <w:tcBorders>
              <w:top w:val="single" w:sz="8" w:color="auto"/>
            </w:tcBorders>
            <w:shd w:val="clear" w:color="auto" w:fill="E0E0E0"/>
          </w:tcPr>
          <w:p>
            <w:pPr>
              <w:spacing w:after="0"/>
              <w:rPr>
                <w:sz w:val="20"/>
                <w:szCs w:val="20"/>
                <w:color w:val="auto"/>
              </w:rPr>
            </w:pPr>
          </w:p>
        </w:tc>
        <w:tc>
          <w:tcPr>
            <w:tcW w:w="18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260" w:type="dxa"/>
            <w:vAlign w:val="bottom"/>
            <w:tcBorders>
              <w:top w:val="single" w:sz="8" w:color="auto"/>
            </w:tcBorders>
            <w:shd w:val="clear" w:color="auto" w:fill="E0E0E0"/>
          </w:tcPr>
          <w:p>
            <w:pPr>
              <w:spacing w:after="0"/>
              <w:rPr>
                <w:sz w:val="20"/>
                <w:szCs w:val="20"/>
                <w:color w:val="auto"/>
              </w:rPr>
            </w:pPr>
          </w:p>
        </w:tc>
        <w:tc>
          <w:tcPr>
            <w:tcW w:w="1160" w:type="dxa"/>
            <w:vAlign w:val="bottom"/>
            <w:tcBorders>
              <w:top w:val="single" w:sz="8" w:color="auto"/>
            </w:tcBorders>
            <w:shd w:val="clear" w:color="auto" w:fill="E0E0E0"/>
          </w:tcPr>
          <w:p>
            <w:pPr>
              <w:spacing w:after="0"/>
              <w:rPr>
                <w:sz w:val="20"/>
                <w:szCs w:val="20"/>
                <w:color w:val="auto"/>
              </w:rPr>
            </w:pPr>
          </w:p>
        </w:tc>
        <w:tc>
          <w:tcPr>
            <w:tcW w:w="18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940" w:type="dxa"/>
            <w:vAlign w:val="bottom"/>
            <w:tcBorders>
              <w:top w:val="single" w:sz="8" w:color="auto"/>
            </w:tcBorders>
            <w:shd w:val="clear" w:color="auto" w:fill="E0E0E0"/>
          </w:tcPr>
          <w:p>
            <w:pPr>
              <w:spacing w:after="0"/>
              <w:rPr>
                <w:sz w:val="20"/>
                <w:szCs w:val="20"/>
                <w:color w:val="auto"/>
              </w:rPr>
            </w:pPr>
          </w:p>
        </w:tc>
        <w:tc>
          <w:tcPr>
            <w:tcW w:w="460" w:type="dxa"/>
            <w:vAlign w:val="bottom"/>
            <w:tcBorders>
              <w:top w:val="single" w:sz="8" w:color="auto"/>
            </w:tcBorders>
            <w:shd w:val="clear" w:color="auto" w:fill="E0E0E0"/>
          </w:tcPr>
          <w:p>
            <w:pPr>
              <w:spacing w:after="0"/>
              <w:rPr>
                <w:sz w:val="20"/>
                <w:szCs w:val="20"/>
                <w:color w:val="auto"/>
              </w:rPr>
            </w:pP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480" w:type="dxa"/>
            <w:vAlign w:val="bottom"/>
            <w:tcBorders>
              <w:top w:val="single" w:sz="8" w:color="auto"/>
            </w:tcBorders>
            <w:shd w:val="clear" w:color="auto" w:fill="E0E0E0"/>
          </w:tcPr>
          <w:p>
            <w:pPr>
              <w:spacing w:after="0"/>
              <w:rPr>
                <w:sz w:val="20"/>
                <w:szCs w:val="20"/>
                <w:color w:val="auto"/>
              </w:rPr>
            </w:pPr>
          </w:p>
        </w:tc>
        <w:tc>
          <w:tcPr>
            <w:tcW w:w="1140" w:type="dxa"/>
            <w:vAlign w:val="bottom"/>
            <w:tcBorders>
              <w:top w:val="single" w:sz="8" w:color="auto"/>
            </w:tcBorders>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r>
      <w:tr>
        <w:trPr>
          <w:trHeight w:val="244"/>
        </w:trPr>
        <w:tc>
          <w:tcPr>
            <w:tcW w:w="3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U.S. treasury securities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189,409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288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189,663</w:t>
            </w:r>
          </w:p>
        </w:tc>
        <w:tc>
          <w:tcPr>
            <w:tcW w:w="20" w:type="dxa"/>
            <w:vAlign w:val="bottom"/>
          </w:tcPr>
          <w:p>
            <w:pPr>
              <w:spacing w:after="0"/>
              <w:rPr>
                <w:sz w:val="21"/>
                <w:szCs w:val="21"/>
                <w:color w:val="auto"/>
              </w:rPr>
            </w:pPr>
          </w:p>
        </w:tc>
      </w:tr>
      <w:tr>
        <w:trPr>
          <w:trHeight w:val="264"/>
        </w:trPr>
        <w:tc>
          <w:tcPr>
            <w:tcW w:w="3740" w:type="dxa"/>
            <w:vAlign w:val="bottom"/>
            <w:tcBorders>
              <w:bottom w:val="single" w:sz="8" w:color="E0E0E0"/>
            </w:tcBorders>
            <w:gridSpan w:val="3"/>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20" w:type="dxa"/>
            <w:vAlign w:val="bottom"/>
            <w:tcBorders>
              <w:bottom w:val="single" w:sz="8" w:color="E0E0E0"/>
            </w:tcBorders>
            <w:shd w:val="clear" w:color="auto" w:fill="E0E0E0"/>
          </w:tcPr>
          <w:p>
            <w:pPr>
              <w:spacing w:after="0"/>
              <w:rPr>
                <w:sz w:val="22"/>
                <w:szCs w:val="22"/>
                <w:color w:val="auto"/>
              </w:rPr>
            </w:pPr>
          </w:p>
        </w:tc>
        <w:tc>
          <w:tcPr>
            <w:tcW w:w="1520" w:type="dxa"/>
            <w:vAlign w:val="bottom"/>
            <w:tcBorders>
              <w:bottom w:val="single" w:sz="8" w:color="E0E0E0"/>
            </w:tcBorders>
            <w:shd w:val="clear" w:color="auto" w:fill="E0E0E0"/>
          </w:tcPr>
          <w:p>
            <w:pPr>
              <w:jc w:val="right"/>
              <w:ind w:right="25"/>
              <w:spacing w:after="0"/>
              <w:rPr>
                <w:sz w:val="20"/>
                <w:szCs w:val="20"/>
                <w:color w:val="auto"/>
              </w:rPr>
            </w:pPr>
            <w:r>
              <w:rPr>
                <w:rFonts w:ascii="Times New Roman" w:cs="Times New Roman" w:eastAsia="Times New Roman" w:hAnsi="Times New Roman"/>
                <w:sz w:val="20"/>
                <w:szCs w:val="20"/>
                <w:color w:val="auto"/>
              </w:rPr>
              <w:t>107,722</w:t>
            </w:r>
          </w:p>
        </w:tc>
        <w:tc>
          <w:tcPr>
            <w:tcW w:w="18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E0E0E0"/>
            </w:tcBorders>
            <w:shd w:val="clear" w:color="auto" w:fill="E0E0E0"/>
          </w:tcPr>
          <w:p>
            <w:pPr>
              <w:spacing w:after="0"/>
              <w:rPr>
                <w:sz w:val="22"/>
                <w:szCs w:val="22"/>
                <w:color w:val="auto"/>
              </w:rPr>
            </w:pPr>
          </w:p>
        </w:tc>
        <w:tc>
          <w:tcPr>
            <w:tcW w:w="1160" w:type="dxa"/>
            <w:vAlign w:val="bottom"/>
            <w:tcBorders>
              <w:bottom w:val="single" w:sz="8" w:color="E0E0E0"/>
            </w:tcBorders>
            <w:shd w:val="clear" w:color="auto" w:fill="E0E0E0"/>
          </w:tcPr>
          <w:p>
            <w:pPr>
              <w:jc w:val="right"/>
              <w:ind w:right="28"/>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940" w:type="dxa"/>
            <w:vAlign w:val="bottom"/>
            <w:tcBorders>
              <w:bottom w:val="single" w:sz="8" w:color="E0E0E0"/>
            </w:tcBorders>
            <w:shd w:val="clear" w:color="auto" w:fill="E0E0E0"/>
          </w:tcPr>
          <w:p>
            <w:pPr>
              <w:spacing w:after="0"/>
              <w:rPr>
                <w:sz w:val="22"/>
                <w:szCs w:val="22"/>
                <w:color w:val="auto"/>
              </w:rPr>
            </w:pPr>
          </w:p>
        </w:tc>
        <w:tc>
          <w:tcPr>
            <w:tcW w:w="4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E0E0E0"/>
            </w:tcBorders>
            <w:shd w:val="clear" w:color="auto" w:fill="E0E0E0"/>
          </w:tcPr>
          <w:p>
            <w:pPr>
              <w:spacing w:after="0"/>
              <w:rPr>
                <w:sz w:val="22"/>
                <w:szCs w:val="22"/>
                <w:color w:val="auto"/>
              </w:rPr>
            </w:pPr>
          </w:p>
        </w:tc>
        <w:tc>
          <w:tcPr>
            <w:tcW w:w="480" w:type="dxa"/>
            <w:vAlign w:val="bottom"/>
            <w:tcBorders>
              <w:bottom w:val="single" w:sz="8" w:color="auto"/>
            </w:tcBorders>
            <w:shd w:val="clear" w:color="auto" w:fill="E0E0E0"/>
          </w:tcPr>
          <w:p>
            <w:pPr>
              <w:spacing w:after="0"/>
              <w:rPr>
                <w:sz w:val="22"/>
                <w:szCs w:val="22"/>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107,784</w:t>
            </w:r>
          </w:p>
        </w:tc>
        <w:tc>
          <w:tcPr>
            <w:tcW w:w="20" w:type="dxa"/>
            <w:vAlign w:val="bottom"/>
            <w:tcBorders>
              <w:bottom w:val="single" w:sz="8" w:color="E0E0E0"/>
            </w:tcBorders>
            <w:shd w:val="clear" w:color="auto" w:fill="E0E0E0"/>
          </w:tcPr>
          <w:p>
            <w:pPr>
              <w:spacing w:after="0"/>
              <w:rPr>
                <w:sz w:val="22"/>
                <w:szCs w:val="22"/>
                <w:color w:val="auto"/>
              </w:rPr>
            </w:pPr>
          </w:p>
        </w:tc>
      </w:tr>
      <w:tr>
        <w:trPr>
          <w:trHeight w:val="219"/>
        </w:trPr>
        <w:tc>
          <w:tcPr>
            <w:tcW w:w="3720" w:type="dxa"/>
            <w:vAlign w:val="bottom"/>
            <w:gridSpan w:val="2"/>
          </w:tcPr>
          <w:p>
            <w:pPr>
              <w:ind w:left="100"/>
              <w:spacing w:after="0" w:line="219" w:lineRule="exact"/>
              <w:rPr>
                <w:sz w:val="20"/>
                <w:szCs w:val="20"/>
                <w:color w:val="auto"/>
              </w:rPr>
            </w:pPr>
            <w:r>
              <w:rPr>
                <w:rFonts w:ascii="Times New Roman" w:cs="Times New Roman" w:eastAsia="Times New Roman" w:hAnsi="Times New Roman"/>
                <w:sz w:val="20"/>
                <w:szCs w:val="20"/>
                <w:color w:val="auto"/>
              </w:rPr>
              <w:t>Total available-for-sale securities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tcPr>
          <w:p>
            <w:pPr>
              <w:jc w:val="right"/>
              <w:ind w:right="25"/>
              <w:spacing w:after="0" w:line="219" w:lineRule="exact"/>
              <w:rPr>
                <w:sz w:val="20"/>
                <w:szCs w:val="20"/>
                <w:color w:val="auto"/>
              </w:rPr>
            </w:pPr>
            <w:r>
              <w:rPr>
                <w:rFonts w:ascii="Times New Roman" w:cs="Times New Roman" w:eastAsia="Times New Roman" w:hAnsi="Times New Roman"/>
                <w:sz w:val="20"/>
                <w:szCs w:val="20"/>
                <w:color w:val="auto"/>
              </w:rPr>
              <w:t>297,131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ind w:right="28"/>
              <w:spacing w:after="0" w:line="219" w:lineRule="exact"/>
              <w:rPr>
                <w:sz w:val="20"/>
                <w:szCs w:val="20"/>
                <w:color w:val="auto"/>
              </w:rPr>
            </w:pPr>
            <w:r>
              <w:rPr>
                <w:rFonts w:ascii="Times New Roman" w:cs="Times New Roman" w:eastAsia="Times New Roman" w:hAnsi="Times New Roman"/>
                <w:sz w:val="20"/>
                <w:szCs w:val="20"/>
                <w:color w:val="auto"/>
              </w:rPr>
              <w:t>373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747"/>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297,447</w:t>
            </w:r>
          </w:p>
        </w:tc>
        <w:tc>
          <w:tcPr>
            <w:tcW w:w="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-815975</wp:posOffset>
            </wp:positionV>
            <wp:extent cx="196659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1">
                      <a:extLst>
                        <a:ext uri="{28A0092B-C50C-407E-A947-70E740481C1C}"/>
                      </a:extLst>
                    </a:blip>
                    <a:srcRect/>
                    <a:stretch>
                      <a:fillRect/>
                    </a:stretch>
                  </pic:blipFill>
                  <pic:spPr bwMode="auto">
                    <a:xfrm>
                      <a:off x="0" y="0"/>
                      <a:ext cx="1966595" cy="38100"/>
                    </a:xfrm>
                    <a:prstGeom prst="rect">
                      <a:avLst/>
                    </a:prstGeom>
                    <a:noFill/>
                  </pic:spPr>
                </pic:pic>
              </a:graphicData>
            </a:graphic>
          </wp:anchor>
        </w:drawing>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10460"/>
          </w:cols>
          <w:pgMar w:left="900" w:top="930" w:right="880" w:bottom="175" w:gutter="0" w:footer="0" w:header="0"/>
          <w:type w:val="continuous"/>
        </w:sectPr>
      </w:pPr>
    </w:p>
    <w:bookmarkStart w:id="135" w:name="page136"/>
    <w:bookmarkEnd w:id="135"/>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2025,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w:t>
      </w:r>
    </w:p>
    <w:p>
      <w:pPr>
        <w:spacing w:after="0" w:line="6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The following table shows the fair value of the Company’s marketable securities, by contractual maturity, as of December 31, 2025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Borders>
              <w:bottom w:val="single" w:sz="8" w:color="E0E0E0"/>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9"/>
        </w:trPr>
        <w:tc>
          <w:tcPr>
            <w:tcW w:w="72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Due within one year</w:t>
            </w:r>
          </w:p>
        </w:tc>
        <w:tc>
          <w:tcPr>
            <w:tcW w:w="500" w:type="dxa"/>
            <w:vAlign w:val="bottom"/>
            <w:shd w:val="clear" w:color="auto" w:fill="E0E0E0"/>
          </w:tcPr>
          <w:p>
            <w:pPr>
              <w:jc w:val="right"/>
              <w:ind w:right="300"/>
              <w:spacing w:after="0"/>
              <w:rPr>
                <w:sz w:val="20"/>
                <w:szCs w:val="20"/>
                <w:color w:val="auto"/>
              </w:rPr>
            </w:pPr>
            <w:r>
              <w:rPr>
                <w:rFonts w:ascii="Times New Roman" w:cs="Times New Roman" w:eastAsia="Times New Roman" w:hAnsi="Times New Roman"/>
                <w:sz w:val="20"/>
                <w:szCs w:val="20"/>
                <w:color w:val="auto"/>
                <w:w w:val="79"/>
              </w:rPr>
              <w:t>$</w:t>
            </w:r>
          </w:p>
        </w:tc>
        <w:tc>
          <w:tcPr>
            <w:tcW w:w="2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479,683</w:t>
            </w:r>
          </w:p>
        </w:tc>
      </w:tr>
      <w:tr>
        <w:trPr>
          <w:trHeight w:val="244"/>
        </w:trPr>
        <w:tc>
          <w:tcPr>
            <w:tcW w:w="72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Due after one year through five years</w:t>
            </w:r>
          </w:p>
        </w:tc>
        <w:tc>
          <w:tcPr>
            <w:tcW w:w="5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220,324</w:t>
            </w:r>
          </w:p>
        </w:tc>
      </w:tr>
      <w:tr>
        <w:trPr>
          <w:trHeight w:val="259"/>
        </w:trPr>
        <w:tc>
          <w:tcPr>
            <w:tcW w:w="7240" w:type="dxa"/>
            <w:vAlign w:val="bottom"/>
            <w:tcBorders>
              <w:bottom w:val="single" w:sz="8" w:color="E0E0E0"/>
            </w:tcBorders>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Total available-for-sale securities</w:t>
            </w:r>
          </w:p>
        </w:tc>
        <w:tc>
          <w:tcPr>
            <w:tcW w:w="500" w:type="dxa"/>
            <w:vAlign w:val="bottom"/>
            <w:tcBorders>
              <w:bottom w:val="single" w:sz="8" w:color="auto"/>
            </w:tcBorders>
            <w:shd w:val="clear" w:color="auto" w:fill="E0E0E0"/>
          </w:tcPr>
          <w:p>
            <w:pPr>
              <w:jc w:val="right"/>
              <w:ind w:right="300"/>
              <w:spacing w:after="0"/>
              <w:rPr>
                <w:sz w:val="20"/>
                <w:szCs w:val="20"/>
                <w:color w:val="auto"/>
              </w:rPr>
            </w:pPr>
            <w:r>
              <w:rPr>
                <w:rFonts w:ascii="Times New Roman" w:cs="Times New Roman" w:eastAsia="Times New Roman" w:hAnsi="Times New Roman"/>
                <w:sz w:val="20"/>
                <w:szCs w:val="20"/>
                <w:color w:val="auto"/>
                <w:w w:val="79"/>
              </w:rPr>
              <w:t>$</w:t>
            </w:r>
          </w:p>
        </w:tc>
        <w:tc>
          <w:tcPr>
            <w:tcW w:w="27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700,007</w:t>
            </w:r>
          </w:p>
        </w:tc>
      </w:tr>
      <w:tr>
        <w:trPr>
          <w:trHeight w:val="20"/>
        </w:trPr>
        <w:tc>
          <w:tcPr>
            <w:tcW w:w="7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aggregate fair value of marketable securities with unrealized losses was $41.3 million as of December 31, 2025 and $51.0 million as of December 31, 2024. As of December 31, 2025 and December 31, 2024, five investments, respectively, were in an unrealized loss position.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U.S. government agency and corporate debt securities are subject to minimal credit risk. As a result, the Company did not record any charges for credit-related impairments for its available-for-sale securities during the years ended December 31, 2025, 2024 and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following tables present information about the Company’s assets and liabilities that are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20"/>
          <w:szCs w:val="20"/>
          <w:i w:val="1"/>
          <w:iCs w:val="1"/>
          <w:color w:val="auto"/>
        </w:rPr>
        <w:t>Note 2 - Summary of Significant Accounting Policies</w:t>
      </w:r>
      <w:r>
        <w:rPr>
          <w:rFonts w:ascii="Times New Roman" w:cs="Times New Roman" w:eastAsia="Times New Roman" w:hAnsi="Times New Roman"/>
          <w:sz w:val="20"/>
          <w:szCs w:val="20"/>
          <w:color w:val="auto"/>
        </w:rPr>
        <w:t>.</w:t>
      </w:r>
    </w:p>
    <w:p>
      <w:pPr>
        <w:spacing w:after="0" w:line="6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Financial assets and liabilities measured at fair value on a recurring basis as of December 31, 2025 are summarized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3"/>
        </w:trPr>
        <w:tc>
          <w:tcPr>
            <w:tcW w:w="4240" w:type="dxa"/>
            <w:vAlign w:val="bottom"/>
            <w:tcBorders>
              <w:bottom w:val="single" w:sz="8" w:color="E0E0E0"/>
            </w:tcBorders>
          </w:tcPr>
          <w:p>
            <w:pPr>
              <w:spacing w:after="0"/>
              <w:rPr>
                <w:sz w:val="16"/>
                <w:szCs w:val="16"/>
                <w:color w:val="auto"/>
              </w:rPr>
            </w:pPr>
          </w:p>
        </w:tc>
        <w:tc>
          <w:tcPr>
            <w:tcW w:w="138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Borders>
              <w:bottom w:val="single" w:sz="8" w:color="auto"/>
            </w:tcBorders>
          </w:tcPr>
          <w:p>
            <w:pPr>
              <w:spacing w:after="0"/>
              <w:rPr>
                <w:sz w:val="16"/>
                <w:szCs w:val="16"/>
                <w:color w:val="auto"/>
              </w:rPr>
            </w:pPr>
          </w:p>
        </w:tc>
      </w:tr>
      <w:tr>
        <w:trPr>
          <w:trHeight w:val="239"/>
        </w:trPr>
        <w:tc>
          <w:tcPr>
            <w:tcW w:w="42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38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24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Money market funds</w:t>
            </w:r>
          </w:p>
        </w:tc>
        <w:tc>
          <w:tcPr>
            <w:tcW w:w="16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auto"/>
              </w:rPr>
              <w:t>72,932</w:t>
            </w:r>
          </w:p>
        </w:tc>
        <w:tc>
          <w:tcPr>
            <w:tcW w:w="480" w:type="dxa"/>
            <w:vAlign w:val="bottom"/>
            <w:gridSpan w:val="2"/>
            <w:shd w:val="clear" w:color="auto" w:fill="E0E0E0"/>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24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38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9,981</w:t>
            </w:r>
          </w:p>
        </w:tc>
        <w:tc>
          <w:tcPr>
            <w:tcW w:w="20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424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cash equivalents</w:t>
            </w:r>
          </w:p>
        </w:tc>
        <w:tc>
          <w:tcPr>
            <w:tcW w:w="138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auto"/>
              </w:rPr>
              <w:t>72,932</w:t>
            </w:r>
          </w:p>
        </w:tc>
        <w:tc>
          <w:tcPr>
            <w:tcW w:w="20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9,981</w:t>
            </w:r>
          </w:p>
        </w:tc>
        <w:tc>
          <w:tcPr>
            <w:tcW w:w="20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180" w:type="dxa"/>
            <w:vAlign w:val="bottom"/>
            <w:tcBorders>
              <w:bottom w:val="single" w:sz="8" w:color="auto"/>
            </w:tcBorders>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42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Marketable securities: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424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138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20" w:type="dxa"/>
            <w:vAlign w:val="bottom"/>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20" w:type="dxa"/>
            <w:vAlign w:val="bottom"/>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485,529</w:t>
            </w:r>
          </w:p>
        </w:tc>
        <w:tc>
          <w:tcPr>
            <w:tcW w:w="2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132,941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4240" w:type="dxa"/>
            <w:vAlign w:val="bottom"/>
            <w:tcBorders>
              <w:bottom w:val="single" w:sz="8" w:color="E0E0E0"/>
            </w:tcBorders>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38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81,537</w:t>
            </w:r>
          </w:p>
        </w:tc>
        <w:tc>
          <w:tcPr>
            <w:tcW w:w="20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180" w:type="dxa"/>
            <w:vAlign w:val="bottom"/>
            <w:tcBorders>
              <w:bottom w:val="single" w:sz="8" w:color="auto"/>
            </w:tcBorders>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4240" w:type="dxa"/>
            <w:vAlign w:val="bottom"/>
            <w:tcBorders>
              <w:bottom w:val="single" w:sz="8" w:color="E0E0E0"/>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marketable securities</w:t>
            </w:r>
          </w:p>
        </w:tc>
        <w:tc>
          <w:tcPr>
            <w:tcW w:w="1380" w:type="dxa"/>
            <w:vAlign w:val="bottom"/>
            <w:tcBorders>
              <w:bottom w:val="single" w:sz="8" w:color="E0E0E0"/>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auto"/>
              </w:rPr>
              <w:t>700,007</w:t>
            </w:r>
          </w:p>
        </w:tc>
        <w:tc>
          <w:tcPr>
            <w:tcW w:w="200" w:type="dxa"/>
            <w:vAlign w:val="bottom"/>
            <w:tcBorders>
              <w:bottom w:val="single" w:sz="8" w:color="E0E0E0"/>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900"/>
              <w:spacing w:after="0" w:line="219" w:lineRule="exact"/>
              <w:rPr>
                <w:sz w:val="20"/>
                <w:szCs w:val="20"/>
                <w:color w:val="auto"/>
              </w:rPr>
            </w:pPr>
            <w:r>
              <w:rPr>
                <w:rFonts w:ascii="Times New Roman" w:cs="Times New Roman" w:eastAsia="Times New Roman" w:hAnsi="Times New Roman"/>
                <w:sz w:val="20"/>
                <w:szCs w:val="20"/>
                <w:color w:val="auto"/>
              </w:rPr>
              <w:t>—</w:t>
            </w:r>
          </w:p>
        </w:tc>
      </w:tr>
      <w:tr>
        <w:trPr>
          <w:trHeight w:val="259"/>
        </w:trPr>
        <w:tc>
          <w:tcPr>
            <w:tcW w:w="42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38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auto"/>
              </w:rPr>
              <w:t>72,932</w:t>
            </w:r>
          </w:p>
        </w:tc>
        <w:tc>
          <w:tcPr>
            <w:tcW w:w="20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9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709,988</w:t>
            </w:r>
          </w:p>
        </w:tc>
        <w:tc>
          <w:tcPr>
            <w:tcW w:w="20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-1929130</wp:posOffset>
            </wp:positionV>
            <wp:extent cx="306578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2">
                      <a:extLst>
                        <a:ext uri="{28A0092B-C50C-407E-A947-70E740481C1C}"/>
                      </a:extLst>
                    </a:blip>
                    <a:srcRect/>
                    <a:stretch>
                      <a:fillRect/>
                    </a:stretch>
                  </pic:blipFill>
                  <pic:spPr bwMode="auto">
                    <a:xfrm>
                      <a:off x="0" y="0"/>
                      <a:ext cx="3065780" cy="38100"/>
                    </a:xfrm>
                    <a:prstGeom prst="rect">
                      <a:avLst/>
                    </a:prstGeom>
                    <a:noFill/>
                  </pic:spPr>
                </pic:pic>
              </a:graphicData>
            </a:graphic>
          </wp:anchor>
        </w:drawing>
      </w:r>
    </w:p>
    <w:p>
      <w:pPr>
        <w:spacing w:after="0" w:line="8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Financial assets and liabilities measured at fair value on a recurring basis as of December 31, 2024 are summarized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3"/>
        </w:trPr>
        <w:tc>
          <w:tcPr>
            <w:tcW w:w="56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Borders>
              <w:bottom w:val="single" w:sz="8" w:color="auto"/>
            </w:tcBorders>
          </w:tcPr>
          <w:p>
            <w:pPr>
              <w:spacing w:after="0"/>
              <w:rPr>
                <w:sz w:val="16"/>
                <w:szCs w:val="16"/>
                <w:color w:val="auto"/>
              </w:rPr>
            </w:pPr>
          </w:p>
        </w:tc>
      </w:tr>
      <w:tr>
        <w:trPr>
          <w:trHeight w:val="239"/>
        </w:trPr>
        <w:tc>
          <w:tcPr>
            <w:tcW w:w="56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5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Money market funds</w:t>
            </w:r>
          </w:p>
        </w:tc>
        <w:tc>
          <w:tcPr>
            <w:tcW w:w="260" w:type="dxa"/>
            <w:vAlign w:val="bottom"/>
            <w:gridSpan w:val="2"/>
            <w:shd w:val="clear" w:color="auto" w:fill="E0E0E0"/>
          </w:tcPr>
          <w:p>
            <w:pPr>
              <w:jc w:val="right"/>
              <w:ind w:right="75"/>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88,735</w:t>
            </w:r>
          </w:p>
        </w:tc>
        <w:tc>
          <w:tcPr>
            <w:tcW w:w="480" w:type="dxa"/>
            <w:vAlign w:val="bottom"/>
            <w:gridSpan w:val="2"/>
            <w:shd w:val="clear" w:color="auto" w:fill="E0E0E0"/>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62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91,916</w:t>
            </w:r>
          </w:p>
        </w:tc>
        <w:tc>
          <w:tcPr>
            <w:tcW w:w="20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562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cash equivalents</w:t>
            </w:r>
          </w:p>
        </w:tc>
        <w:tc>
          <w:tcPr>
            <w:tcW w:w="2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88,735</w:t>
            </w:r>
          </w:p>
        </w:tc>
        <w:tc>
          <w:tcPr>
            <w:tcW w:w="20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91,916</w:t>
            </w:r>
          </w:p>
        </w:tc>
        <w:tc>
          <w:tcPr>
            <w:tcW w:w="20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180" w:type="dxa"/>
            <w:vAlign w:val="bottom"/>
            <w:tcBorders>
              <w:bottom w:val="single" w:sz="8" w:color="auto"/>
            </w:tcBorders>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56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5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U.S. treasury securities</w:t>
            </w:r>
          </w:p>
        </w:tc>
        <w:tc>
          <w:tcPr>
            <w:tcW w:w="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22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2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189,663</w:t>
            </w:r>
          </w:p>
        </w:tc>
        <w:tc>
          <w:tcPr>
            <w:tcW w:w="20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62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107,784</w:t>
            </w:r>
          </w:p>
        </w:tc>
        <w:tc>
          <w:tcPr>
            <w:tcW w:w="20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562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2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297,447</w:t>
            </w:r>
          </w:p>
        </w:tc>
        <w:tc>
          <w:tcPr>
            <w:tcW w:w="20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180" w:type="dxa"/>
            <w:vAlign w:val="bottom"/>
            <w:tcBorders>
              <w:bottom w:val="single" w:sz="8" w:color="auto"/>
            </w:tcBorders>
            <w:gridSpan w:val="2"/>
            <w:shd w:val="clear" w:color="auto" w:fill="E0E0E0"/>
          </w:tcPr>
          <w:p>
            <w:pPr>
              <w:ind w:left="9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56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
              <w:spacing w:after="0" w:line="219" w:lineRule="exact"/>
              <w:rPr>
                <w:sz w:val="20"/>
                <w:szCs w:val="20"/>
                <w:color w:val="auto"/>
              </w:rPr>
            </w:pPr>
            <w:r>
              <w:rPr>
                <w:rFonts w:ascii="Times New Roman" w:cs="Times New Roman" w:eastAsia="Times New Roman" w:hAnsi="Times New Roman"/>
                <w:sz w:val="20"/>
                <w:szCs w:val="20"/>
                <w:color w:val="auto"/>
              </w:rPr>
              <w:t>88,735</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ind w:right="23"/>
              <w:spacing w:after="0" w:line="219" w:lineRule="exact"/>
              <w:rPr>
                <w:sz w:val="20"/>
                <w:szCs w:val="20"/>
                <w:color w:val="auto"/>
              </w:rPr>
            </w:pPr>
            <w:r>
              <w:rPr>
                <w:rFonts w:ascii="Times New Roman" w:cs="Times New Roman" w:eastAsia="Times New Roman" w:hAnsi="Times New Roman"/>
                <w:sz w:val="20"/>
                <w:szCs w:val="20"/>
                <w:color w:val="auto"/>
              </w:rPr>
              <w:t>389,363</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tcPr>
          <w:p>
            <w:pPr>
              <w:ind w:left="900"/>
              <w:spacing w:after="0" w:line="219"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5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-1774190</wp:posOffset>
            </wp:positionV>
            <wp:extent cx="306578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3">
                      <a:extLst>
                        <a:ext uri="{28A0092B-C50C-407E-A947-70E740481C1C}"/>
                      </a:extLst>
                    </a:blip>
                    <a:srcRect/>
                    <a:stretch>
                      <a:fillRect/>
                    </a:stretch>
                  </pic:blipFill>
                  <pic:spPr bwMode="auto">
                    <a:xfrm>
                      <a:off x="0" y="0"/>
                      <a:ext cx="3065780" cy="38100"/>
                    </a:xfrm>
                    <a:prstGeom prst="rect">
                      <a:avLst/>
                    </a:prstGeom>
                    <a:noFill/>
                  </pic:spPr>
                </pic:pic>
              </a:graphicData>
            </a:graphic>
          </wp:anchor>
        </w:drawing>
      </w:r>
    </w:p>
    <w:p>
      <w:pPr>
        <w:spacing w:after="0" w:line="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fair value of the Company’s Level 1 cash equivalents, consisting of money market funds, is based on quoted market prices in active markets with no valuation adjustment. The fair value of the Company’s Level 2 cash equivalents consisting of U.S. treasury</w:t>
      </w:r>
    </w:p>
    <w:p>
      <w:pPr>
        <w:sectPr>
          <w:pgSz w:w="12240" w:h="15840" w:orient="portrait"/>
          <w:cols w:equalWidth="0" w:num="1">
            <w:col w:w="10460"/>
          </w:cols>
          <w:pgMar w:left="900" w:top="930" w:right="880" w:bottom="175"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460"/>
          </w:cols>
          <w:pgMar w:left="900" w:top="930" w:right="880" w:bottom="175" w:gutter="0" w:footer="0" w:header="0"/>
          <w:type w:val="continuous"/>
        </w:sectPr>
      </w:pPr>
    </w:p>
    <w:bookmarkStart w:id="136" w:name="page137"/>
    <w:bookmarkEnd w:id="136"/>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and corporate debt securities with original maturities of three months or less and marketable securities consisting of U.S. treasury, U.S. government agency, and corporate debt securities with original maturities 24 months or less, are determined through third-party pricing services. The amortized cost of cash equivalents approximates the fair value.</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There were no impairments of the Company’s assets measured and carried at fair value during the years ended December 31, 2025, 2024 and 2023. In addition, there were no changes in valuation techniques during the years ended December 31, 2025 and 2024. There were no transfers between Level 1, Level 2 and Level 3 financial assets during the year ended December 31, 2025. The Company transferred assets of $0.9 million from Level 2 to Level 1 during the year ended December 31, 2024. The Company did not have any non-recurring fair value measurements on any assets or liabilities during the years ended December 31, 2025 and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Other Accrued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accrued expenses consisted of the following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080" w:type="dxa"/>
            <w:vAlign w:val="bottom"/>
            <w:tcBorders>
              <w:bottom w:val="single" w:sz="8" w:color="E0E0E0"/>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08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Accrued employee-related expenses</w:t>
            </w:r>
          </w:p>
        </w:tc>
        <w:tc>
          <w:tcPr>
            <w:tcW w:w="2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E0E0E0"/>
          </w:tcPr>
          <w:p>
            <w:pPr>
              <w:jc w:val="right"/>
              <w:ind w:right="27"/>
              <w:spacing w:after="0" w:line="225" w:lineRule="exact"/>
              <w:rPr>
                <w:sz w:val="20"/>
                <w:szCs w:val="20"/>
                <w:color w:val="auto"/>
              </w:rPr>
            </w:pPr>
            <w:r>
              <w:rPr>
                <w:rFonts w:ascii="Times New Roman" w:cs="Times New Roman" w:eastAsia="Times New Roman" w:hAnsi="Times New Roman"/>
                <w:sz w:val="20"/>
                <w:szCs w:val="20"/>
                <w:color w:val="auto"/>
              </w:rPr>
              <w:t>12,642</w:t>
            </w:r>
          </w:p>
        </w:tc>
        <w:tc>
          <w:tcPr>
            <w:tcW w:w="18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7,211</w:t>
            </w: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Accrued professional fees</w:t>
            </w:r>
          </w:p>
        </w:tc>
        <w:tc>
          <w:tcPr>
            <w:tcW w:w="200" w:type="dxa"/>
            <w:vAlign w:val="bottom"/>
          </w:tcPr>
          <w:p>
            <w:pPr>
              <w:spacing w:after="0"/>
              <w:rPr>
                <w:sz w:val="20"/>
                <w:szCs w:val="20"/>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2,214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w:t>
            </w:r>
          </w:p>
        </w:tc>
      </w:tr>
      <w:tr>
        <w:trPr>
          <w:trHeight w:val="250"/>
        </w:trPr>
        <w:tc>
          <w:tcPr>
            <w:tcW w:w="70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200" w:type="dxa"/>
            <w:vAlign w:val="bottom"/>
            <w:tcBorders>
              <w:bottom w:val="single" w:sz="8" w:color="auto"/>
            </w:tcBorders>
            <w:shd w:val="clear" w:color="auto" w:fill="E0E0E0"/>
          </w:tcPr>
          <w:p>
            <w:pPr>
              <w:spacing w:after="0"/>
              <w:rPr>
                <w:sz w:val="21"/>
                <w:szCs w:val="21"/>
                <w:color w:val="auto"/>
              </w:rPr>
            </w:pPr>
          </w:p>
        </w:tc>
        <w:tc>
          <w:tcPr>
            <w:tcW w:w="1420" w:type="dxa"/>
            <w:vAlign w:val="bottom"/>
            <w:tcBorders>
              <w:bottom w:val="single" w:sz="8" w:color="auto"/>
            </w:tcBorders>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auto"/>
              </w:rPr>
              <w:t>705</w:t>
            </w:r>
          </w:p>
        </w:tc>
        <w:tc>
          <w:tcPr>
            <w:tcW w:w="180" w:type="dxa"/>
            <w:vAlign w:val="bottom"/>
            <w:tcBorders>
              <w:bottom w:val="single" w:sz="8" w:color="E0E0E0"/>
            </w:tcBorders>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spacing w:after="0"/>
              <w:rPr>
                <w:sz w:val="21"/>
                <w:szCs w:val="21"/>
                <w:color w:val="auto"/>
              </w:rPr>
            </w:pPr>
          </w:p>
        </w:tc>
        <w:tc>
          <w:tcPr>
            <w:tcW w:w="13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205"/>
        </w:trPr>
        <w:tc>
          <w:tcPr>
            <w:tcW w:w="70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Total other accrued expenses</w:t>
            </w:r>
          </w:p>
        </w:tc>
        <w:tc>
          <w:tcPr>
            <w:tcW w:w="2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tcPr>
          <w:p>
            <w:pPr>
              <w:jc w:val="right"/>
              <w:ind w:right="27"/>
              <w:spacing w:after="0" w:line="205" w:lineRule="exact"/>
              <w:rPr>
                <w:sz w:val="20"/>
                <w:szCs w:val="20"/>
                <w:color w:val="auto"/>
              </w:rPr>
            </w:pPr>
            <w:r>
              <w:rPr>
                <w:rFonts w:ascii="Times New Roman" w:cs="Times New Roman" w:eastAsia="Times New Roman" w:hAnsi="Times New Roman"/>
                <w:sz w:val="20"/>
                <w:szCs w:val="20"/>
                <w:color w:val="auto"/>
              </w:rPr>
              <w:t>15,561</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8,097</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Licensing Activities and Business Development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Stock Purchase Agreement with AbbVie Deutschland GmbH &amp; Co. KG (“AbbVie”)</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September 2019, the Company entered into an agreement with AbbVie, pursuant to which AbbVie granted the Company an exclusive license, with the right to grant sublicenses, to certain AbbVie intellectual property.</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January 2025, the Company made a milestone payment of $3.0 million upon the first administration to a patient in the Phase 2 clinical trial of DISC-0974 which was recorded within research and development in the Company’s consolidated statements of operations and comprehensive loss for the year ended December 31, 2025. As of December 31, 2025, no additional milestones were deemed probable of achievement.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F. Hoffmann-La Roche Ltd and Hoffmann-La Roche Inc. (collectively “Roche”)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obligated to make contingent payments to Roche up to an aggregate of $ 50.0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June 2025, the Company made a milestone payment of $10.0 million upon the initiation of the first Phase 3 clinical trial with a licensed product in a first indication which was recorded within research and development in the Company’s consolidated statements of operations and comprehensive loss for the year ended December 31, 2025. The next potential milestone payment is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10460"/>
          </w:cols>
          <w:pgMar w:left="900" w:top="930" w:right="880" w:bottom="175" w:gutter="0" w:footer="0" w:header="0"/>
          <w:type w:val="continuous"/>
        </w:sectPr>
      </w:pPr>
    </w:p>
    <w:bookmarkStart w:id="137" w:name="page138"/>
    <w:bookmarkEnd w:id="137"/>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$15.0 million due upon regulatory approval in the United States with a licensed product in a first indication. As of December 31, 2025, this milestone was not deemed probable of achievement.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Mabwell Therapeutics, Inc. ("Mabwell")</w:t>
      </w:r>
    </w:p>
    <w:p>
      <w:pPr>
        <w:spacing w:after="0" w:line="1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January 2023, the Company entered into an exclusive license agreement with Mabwell, pursuant to which Mabwell granted the Company an exclusive and sublicensable license to certain Mabwell intellectual property.</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October 2023, the Company made a milestone payment of $5.0 million upon the first administration to a patient in the Phase 1 clinical trial for DISC-3405. In September 2025, the Company made a milestone payment of $10.0 million upon the first administration to a patient in a Phase 2 clinical trial for DISC-3405. These payments were recorded within research and development in the Company’s consolidated statements of operations and comprehensive loss. The next potential milestone payment is $5.0 million due upon the first administration to a patient in a Phase 1b clinical trial with a licensed product in a second indication. As of December 31, 2025, this milestone was not deemed probable of achievement. Subsequent to December 31, 2025, on February 9, 2026, this milestone was achieved. See </w:t>
      </w:r>
      <w:r>
        <w:rPr>
          <w:rFonts w:ascii="Times New Roman" w:cs="Times New Roman" w:eastAsia="Times New Roman" w:hAnsi="Times New Roman"/>
          <w:sz w:val="20"/>
          <w:szCs w:val="20"/>
          <w:i w:val="1"/>
          <w:iCs w:val="1"/>
          <w:color w:val="auto"/>
        </w:rPr>
        <w:t>Note 17 - Subsequent Events</w:t>
      </w:r>
      <w:r>
        <w:rPr>
          <w:rFonts w:ascii="Times New Roman" w:cs="Times New Roman" w:eastAsia="Times New Roman" w:hAnsi="Times New Roman"/>
          <w:sz w:val="20"/>
          <w:szCs w:val="20"/>
          <w:color w:val="auto"/>
        </w:rPr>
        <w:t xml:space="preserve"> for additional details.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Oak Bay Biosciences, Inc. (“OBB”)</w:t>
      </w:r>
    </w:p>
    <w:p>
      <w:pPr>
        <w:spacing w:after="0" w:line="1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December 31, 2025, none of the milestones had been achieved, nor were they considered probable of achievement.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Merger Agreement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May 2025, the Company acquired a privately held company with a clinic-ready program for myelodysplastic syndromes and similar hematologic conditions. The transaction included no upfront cash payment and up to $50.0 million in late-stage contingent development and sales-based milestone payments (“Contingent Consideration”). The acquired entity’s primary asset was in-process research and development (“IPR&amp;D”) with no alternative future use.</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determined that the acquired entity did not meet the definition of a business under ASC Topic 805. The transaction was accounted for as the initial consolidation of a variable interest entity (“VIE”) in accordance with ASC Topic 810, as the acquired entity lacked sufficient equity at risk to fund its operations, and the Company became its sole equity holder and primary beneficiary.</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connection with the transaction, the Company recorded the acquired assets and assumed liabilities at their estimated fair values as of the acquisition date, which resulted in net acquired liabilities of $0.5 million, excluding Contingent Consideration. Total consideration transferred, including the fair value of the Contingent Consideration, was $ 0.3 million. The difference between the consideration transferred and the fair value of net liabilities assumed resulted in a $0.9 million loss upon initial consolidation, which was recorded within research and development in the Company’s consolidated statements of operations and comprehensive loss for the year ended December 31, 2025.</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fair value of the Contingent Consideration was determined using Level 3 unobservable inputs including management's estimates of milestone achievement probabilities and the application of an appropriate discount rate. Because the milestone payments were not accounted for as derivatives under ASC Topic 815, they were initially measured at fair value as of the acquisition date and are not remeasured each reporting period. The Contingent Consideration will be adjusted when it is determined that achievement of the contingent milestone is probable, which is generally upon achievement of the milestone event.</w:t>
      </w:r>
    </w:p>
    <w:p>
      <w:pPr>
        <w:spacing w:after="0" w:line="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As part of the transaction, the Company also obtained an exclusive license to certain intellectual property. Under the terms of the license, the Company is obligated to make certain development and sales-based milestone payments of up to $5.6 million and $20.0 million, respectively, for each compound. Additionally, the Company is required to pay royalties on net sales of licensed products at rates in the low single-digits. As of December 31, 2025, none of the milestones had been achieved, nor were they considered probable of achievement.</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10460"/>
          </w:cols>
          <w:pgMar w:left="900" w:top="930" w:right="880" w:bottom="175"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auto"/>
        </w:rPr>
        <w:t>8. Long-Term Debt</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 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consolidated balance sheets.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recorded debt discount and debt issuance costs of $ 1.8 million upon closing of the Hercules Loan Agreement. 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December 31, 2025 and 2024 related to the Company's right to borrow additional amounts in the future.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Interest expense related to the Term Loan Facility for the years ended December 31, 2025 and 2024 was $3.6 million and $0.6 million, respectively. As of December 31, 2025 and 2024, the carrying value of the Term Loan Facility approximates its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obligations under the Term Loan Facility as of December 31, 2025 consisted of the following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tcPr>
          <w:p>
            <w:pPr>
              <w:jc w:val="right"/>
              <w:ind w:right="80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8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0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80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Principal term loan balance</w:t>
            </w:r>
          </w:p>
        </w:tc>
        <w:tc>
          <w:tcPr>
            <w:tcW w:w="20" w:type="dxa"/>
            <w:vAlign w:val="bottom"/>
            <w:shd w:val="clear" w:color="auto" w:fill="E0E0E0"/>
          </w:tcPr>
          <w:p>
            <w:pPr>
              <w:spacing w:after="0"/>
              <w:rPr>
                <w:sz w:val="19"/>
                <w:szCs w:val="19"/>
                <w:color w:val="auto"/>
              </w:rPr>
            </w:pPr>
          </w:p>
        </w:tc>
        <w:tc>
          <w:tcPr>
            <w:tcW w:w="440" w:type="dxa"/>
            <w:vAlign w:val="bottom"/>
            <w:shd w:val="clear" w:color="auto" w:fill="E0E0E0"/>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30,000</w:t>
            </w: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Unamortized debt discount and issuance costs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w:t>
            </w:r>
          </w:p>
        </w:tc>
      </w:tr>
      <w:tr>
        <w:trPr>
          <w:trHeight w:val="230"/>
        </w:trPr>
        <w:tc>
          <w:tcPr>
            <w:tcW w:w="78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end of term fee</w:t>
            </w:r>
          </w:p>
        </w:tc>
        <w:tc>
          <w:tcPr>
            <w:tcW w:w="20" w:type="dxa"/>
            <w:vAlign w:val="bottom"/>
            <w:shd w:val="clear" w:color="auto" w:fill="E0E0E0"/>
          </w:tcPr>
          <w:p>
            <w:pPr>
              <w:spacing w:after="0"/>
              <w:rPr>
                <w:sz w:val="20"/>
                <w:szCs w:val="20"/>
                <w:color w:val="auto"/>
              </w:rPr>
            </w:pPr>
          </w:p>
        </w:tc>
        <w:tc>
          <w:tcPr>
            <w:tcW w:w="440" w:type="dxa"/>
            <w:vAlign w:val="bottom"/>
            <w:tcBorders>
              <w:bottom w:val="single" w:sz="8" w:color="auto"/>
            </w:tcBorders>
            <w:shd w:val="clear" w:color="auto" w:fill="E0E0E0"/>
          </w:tcPr>
          <w:p>
            <w:pPr>
              <w:spacing w:after="0"/>
              <w:rPr>
                <w:sz w:val="20"/>
                <w:szCs w:val="20"/>
                <w:color w:val="auto"/>
              </w:rPr>
            </w:pPr>
          </w:p>
        </w:tc>
        <w:tc>
          <w:tcPr>
            <w:tcW w:w="2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510</w:t>
            </w:r>
          </w:p>
        </w:tc>
      </w:tr>
      <w:tr>
        <w:trPr>
          <w:trHeight w:val="225"/>
        </w:trPr>
        <w:tc>
          <w:tcPr>
            <w:tcW w:w="7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Long-term debt, net</w:t>
            </w: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29,159</w:t>
            </w:r>
          </w:p>
        </w:tc>
      </w:tr>
      <w:tr>
        <w:trPr>
          <w:trHeight w:val="20"/>
        </w:trPr>
        <w:tc>
          <w:tcPr>
            <w:tcW w:w="7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annual principal payments due under the Term Loan Facility as of December 31, 2025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2026</w:t>
            </w:r>
          </w:p>
        </w:tc>
        <w:tc>
          <w:tcPr>
            <w:tcW w:w="4740" w:type="dxa"/>
            <w:vAlign w:val="bottom"/>
            <w:gridSpan w:val="2"/>
            <w:shd w:val="clear" w:color="auto" w:fill="E0E0E0"/>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2028</w:t>
            </w:r>
          </w:p>
        </w:tc>
        <w:tc>
          <w:tcPr>
            <w:tcW w:w="372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2,211</w:t>
            </w:r>
          </w:p>
        </w:tc>
      </w:tr>
      <w:tr>
        <w:trPr>
          <w:trHeight w:val="244"/>
        </w:trPr>
        <w:tc>
          <w:tcPr>
            <w:tcW w:w="41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2029</w:t>
            </w:r>
          </w:p>
        </w:tc>
        <w:tc>
          <w:tcPr>
            <w:tcW w:w="3720" w:type="dxa"/>
            <w:vAlign w:val="bottom"/>
            <w:tcBorders>
              <w:bottom w:val="single" w:sz="8" w:color="E0E0E0"/>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27,789</w:t>
            </w:r>
          </w:p>
        </w:tc>
      </w:tr>
      <w:tr>
        <w:trPr>
          <w:trHeight w:val="239"/>
        </w:trPr>
        <w:tc>
          <w:tcPr>
            <w:tcW w:w="4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w:t>
            </w:r>
          </w:p>
        </w:tc>
        <w:tc>
          <w:tcPr>
            <w:tcW w:w="3720" w:type="dxa"/>
            <w:vAlign w:val="bottom"/>
            <w:shd w:val="clear" w:color="auto" w:fill="E0E0E0"/>
          </w:tcPr>
          <w:p>
            <w:pPr>
              <w:spacing w:after="0"/>
              <w:rPr>
                <w:sz w:val="20"/>
                <w:szCs w:val="20"/>
                <w:color w:val="auto"/>
              </w:rPr>
            </w:pPr>
          </w:p>
        </w:tc>
        <w:tc>
          <w:tcPr>
            <w:tcW w:w="1020" w:type="dxa"/>
            <w:vAlign w:val="bottom"/>
            <w:tcBorders>
              <w:bottom w:val="single" w:sz="8" w:color="auto"/>
            </w:tcBorders>
            <w:shd w:val="clear" w:color="auto" w:fill="E0E0E0"/>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30,000</w:t>
            </w:r>
          </w:p>
        </w:tc>
      </w:tr>
      <w:tr>
        <w:trPr>
          <w:trHeight w:val="20"/>
        </w:trPr>
        <w:tc>
          <w:tcPr>
            <w:tcW w:w="4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60"/>
          </w:cols>
          <w:pgMar w:left="900" w:top="926" w:right="880" w:bottom="175"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10460"/>
          </w:cols>
          <w:pgMar w:left="900" w:top="926" w:right="880" w:bottom="175" w:gutter="0" w:footer="0" w:header="0"/>
          <w:type w:val="continuous"/>
        </w:sectPr>
      </w:pPr>
    </w:p>
    <w:bookmarkStart w:id="139" w:name="page140"/>
    <w:bookmarkEnd w:id="139"/>
    <w:p>
      <w:pPr>
        <w:ind w:left="7"/>
        <w:spacing w:after="0" w:line="277" w:lineRule="auto"/>
        <w:rPr>
          <w:sz w:val="20"/>
          <w:szCs w:val="20"/>
          <w:color w:val="auto"/>
        </w:rPr>
      </w:pPr>
      <w:r>
        <w:rPr>
          <w:rFonts w:ascii="Times New Roman" w:cs="Times New Roman" w:eastAsia="Times New Roman" w:hAnsi="Times New Roman"/>
          <w:sz w:val="20"/>
          <w:szCs w:val="20"/>
          <w:color w:val="auto"/>
        </w:rPr>
        <w:t>The table of future principal payments excludes the End of Term Charge of $2.0 million, which is due upon the maturity of the loan.</w:t>
      </w:r>
    </w:p>
    <w:p>
      <w:pPr>
        <w:spacing w:after="0" w:line="165" w:lineRule="exact"/>
        <w:rPr>
          <w:sz w:val="20"/>
          <w:szCs w:val="20"/>
          <w:color w:val="auto"/>
        </w:rPr>
      </w:pPr>
    </w:p>
    <w:p>
      <w:pPr>
        <w:ind w:left="7" w:right="8480" w:hanging="7"/>
        <w:spacing w:after="0" w:line="367" w:lineRule="auto"/>
        <w:tabs>
          <w:tab w:leader="none" w:pos="207"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Stockholders' Equity </w:t>
      </w:r>
      <w:r>
        <w:rPr>
          <w:rFonts w:ascii="Times New Roman" w:cs="Times New Roman" w:eastAsia="Times New Roman" w:hAnsi="Times New Roman"/>
          <w:sz w:val="20"/>
          <w:szCs w:val="20"/>
          <w:b w:val="1"/>
          <w:bCs w:val="1"/>
          <w:i w:val="1"/>
          <w:iCs w:val="1"/>
          <w:color w:val="auto"/>
        </w:rPr>
        <w:t>Preferred Stock</w:t>
      </w:r>
    </w:p>
    <w:p>
      <w:pPr>
        <w:spacing w:after="0" w:line="1"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20"/>
          <w:szCs w:val="20"/>
          <w:color w:val="auto"/>
        </w:rPr>
        <w:t>The Company is authorized to issue up to 10,000,000 shares of preferred stock, $0.0001 par value per share. As of December 31, 2025 no shares of preferred stock were issued or outstanding.</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20"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20"/>
          <w:szCs w:val="20"/>
          <w:color w:val="auto"/>
        </w:rPr>
        <w:t>The Company is authorized to issue up to 100,000,000 shares of common stock, $0.0001 par value per share. As of December 31, 2025, 37,890,616 shares of common stock were issued and outstanding.</w:t>
      </w:r>
    </w:p>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Underwritten Offerings</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October 2025 Offering</w:t>
      </w:r>
    </w:p>
    <w:p>
      <w:pPr>
        <w:spacing w:after="0" w:line="118"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20"/>
          <w:szCs w:val="20"/>
          <w:color w:val="auto"/>
        </w:rPr>
        <w:t>In October 2025, in connection with an underwriting agreement with Jefferies LLC, Leerink Partners LLC, Morgan Stanley &amp; Co. LLC, and Cantor Fitzgerald &amp; Co., the Company sold 2,619,049 shares of its common stock, at a public offering price of $84.00 per share. The Company also sold pre-funded warrants to purchase an aggregate of 59,523 shares of common stock at a price of $83.9999 per pre-funded warrant. The Company received aggregate net proceeds of $211.0 million, after deducting offering expenses of $14.0 million. As of December 31, 2025, none of the 59,523 pre-funded warrants had been exercised.</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January 2025 Offering</w:t>
      </w:r>
    </w:p>
    <w:p>
      <w:pPr>
        <w:spacing w:after="0" w:line="118"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20"/>
          <w:szCs w:val="20"/>
          <w:color w:val="auto"/>
        </w:rPr>
        <w:t>In January 2025, in connection with an underwriting agreement with Jefferies LLC, Leerink Partners LLC, Stifel, Nicolaus &amp; Company, Incorporated and Cantor Fitzgerald &amp; Co., the Company sold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 after deducting offering expenses of $15.9 million. As of December 31, 2025, none of the 181,818 pre-funded warrants had been exercised.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June 2024 Offerin</w:t>
      </w:r>
      <w:r>
        <w:rPr>
          <w:rFonts w:ascii="Times New Roman" w:cs="Times New Roman" w:eastAsia="Times New Roman" w:hAnsi="Times New Roman"/>
          <w:sz w:val="19"/>
          <w:szCs w:val="19"/>
          <w:i w:val="1"/>
          <w:iCs w:val="1"/>
          <w:color w:val="auto"/>
        </w:rPr>
        <w:t>g</w:t>
      </w:r>
    </w:p>
    <w:p>
      <w:pPr>
        <w:spacing w:after="0" w:line="118"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20"/>
          <w:szCs w:val="20"/>
          <w:color w:val="auto"/>
        </w:rPr>
        <w:t>In June 2024, the Company entered into an underwriting agreement with Leerink Partners LLC related to an underwritten offering. Pursuant to the agreement, the Company sold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June 2023 Offering</w:t>
      </w:r>
    </w:p>
    <w:p>
      <w:pPr>
        <w:spacing w:after="0" w:line="118"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20"/>
          <w:szCs w:val="20"/>
          <w:color w:val="auto"/>
        </w:rPr>
        <w:t>In June 2023, the Company sold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December 31, 2025, none of the 204,081 pre-funded warrants had been exercised.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February 2023 Offering</w:t>
      </w:r>
    </w:p>
    <w:p>
      <w:pPr>
        <w:spacing w:after="0" w:line="118" w:lineRule="exact"/>
        <w:rPr>
          <w:sz w:val="20"/>
          <w:szCs w:val="20"/>
          <w:color w:val="auto"/>
        </w:rPr>
      </w:pPr>
    </w:p>
    <w:p>
      <w:pPr>
        <w:jc w:val="both"/>
        <w:ind w:left="7"/>
        <w:spacing w:after="0" w:line="246" w:lineRule="auto"/>
        <w:rPr>
          <w:sz w:val="20"/>
          <w:szCs w:val="20"/>
          <w:color w:val="auto"/>
        </w:rPr>
      </w:pPr>
      <w:r>
        <w:rPr>
          <w:rFonts w:ascii="Times New Roman" w:cs="Times New Roman" w:eastAsia="Times New Roman" w:hAnsi="Times New Roman"/>
          <w:sz w:val="20"/>
          <w:szCs w:val="20"/>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In September 2023, all of the pre-funded warrants were exercised in a cashless transaction which resulted in 1,229,221 shares of common stock being issued to the investor.</w:t>
      </w:r>
    </w:p>
    <w:p>
      <w:pPr>
        <w:spacing w:after="0" w:line="8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At-The-Market ("ATM") Programs</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Cantor Fitzgerald &amp; Co. (“Cantor”)</w:t>
      </w:r>
    </w:p>
    <w:p>
      <w:pPr>
        <w:spacing w:after="0" w:line="118"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w:t>
      </w:r>
    </w:p>
    <w:p>
      <w:pPr>
        <w:sectPr>
          <w:pgSz w:w="12240" w:h="15840" w:orient="portrait"/>
          <w:cols w:equalWidth="0" w:num="1">
            <w:col w:w="10467"/>
          </w:cols>
          <w:pgMar w:left="893" w:top="930" w:right="880" w:bottom="175" w:gutter="0" w:footer="0" w:header="0"/>
        </w:sectPr>
      </w:pPr>
    </w:p>
    <w:p>
      <w:pPr>
        <w:spacing w:after="0" w:line="2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10467"/>
          </w:cols>
          <w:pgMar w:left="893" w:top="930" w:right="880" w:bottom="175" w:gutter="0" w:footer="0" w:header="0"/>
          <w:type w:val="continuous"/>
        </w:sectPr>
      </w:pPr>
    </w:p>
    <w:bookmarkStart w:id="140" w:name="page141"/>
    <w:bookmarkEnd w:id="140"/>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offering price of up to $200.0 million. This offering was made pursuant to the Company's effective registration statement on Form S-3 filed in August 2024 (the "August 2024 Shelf").</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the Company sold an aggregate of 162,457 shares of common stock in Cantor ATM offerings under the August 2024 Shelf and pursuant to the Cantor ATM Agreement. Aggregate gross proceeds from the transaction were $10.1 million and the Company received $9.8 million in net proceeds, after deducting placement agent fees and offering expenses.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Jefferies LLC ("Jefferies")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October 2023, the Company entered into an Open Market Sale Agreement with Jefferies as sales agent (the “Jefferies ATM Agreement”) to provide for the offering, issuance and sale by the Company of up to $59.7 million of the Company’s common stock from time to time in ATM offerings under the Company's registration statement on Form S-3 filed in January 2023. 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entered into an amendment to the Jefferies ATM Agreement to increase the aggregate offering price of the shares of common stock that the Company may offer under the Jefferies ATM Agreement from $59.7 million to $200.0 million. The material terms and conditions of the Jefferies ATM Agreement otherwise remained unchanged. On November 15, 2024, the Company terminated the Jefferies ATM Agreement. In connection with the termination, the Company recognized the remaining capitalized issuance costs of $ 0.6 million as selling, general and administrative expense in the consolidated statements of operations and comprehensive loss for the year ended December 31, 2024.</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sold an aggregate of 234,449 and 141,914 shares of common stock in Jefferies ATM offerings under the November 2023 Shelf and pursuant to the Jefferies ATM Agreement, respectively. During the years ended December 31, 2024 and 2023, aggregate gross proceeds from the transactions were $15.3 million and $7.2 million, respectively, and the Company received $14.8 million and $7.0 million in net proceeds, after deducting placement agent fees and offering expenses, respectively. In total, the Company sold an aggregate of 376,363 shares of common stock in ATM offerings under the November 2023 Shelf and pursuant to the Jefferies ATM Agreement for aggregate gross proceeds of $22.5 million and aggregate net proceeds received of $21.8 million, after deducting placement agent fees and offering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SVB Securities LLC</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$ 0.3 million as selling, general and administrative expense in the consolidated statements of operations and comprehensive loss for the year ended December 31, 2023.</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2023, the Company sold an aggregate of 825,350 shares of common stock in ATM offerings under the January 2023 Shelf and pursuant to the Sales Agreement. During the year ended December 31, 2023, aggregate gross proceeds from the transactions were $20.0 million and the Company received $19.5 million in net proceeds, after deducting placement agent fees and offering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Registration Statements Resulting from the Merger</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Employee Stock Purchase Plan (the “2021 ESPP”).</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10460"/>
          </w:cols>
          <w:pgMar w:left="900" w:top="930" w:right="880" w:bottom="175"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10. Stock-Based Compensation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Stock Option and Incentive Plan</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February 2021,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(the "2017 Gemini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 with awards generally vesting over a four-year period.</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As of December 31, 2025, 1,158,171 shares remained available for future issuance under the 2021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Employee Stock Purchase Plan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July 2021, Gemini’s board of directors approved the 2021 Employee Stock Purchase Plan (the "2021 ESPP"). The first offering period under the 2021 ESPP began on December 1, 2021.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Company’s board of directors. As of December 31, 2025, 283,866 shares remained available for future issuance under the 2021 ESPP.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Inducement Plan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From the completion of the merger through December 31, 2025, the Company had not granted awards under the 2021 Inducement Plan. As of December 31, 2025, 161,689 shares remained available for future issuance under the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2017 Stock Option and Grant Plan (the "Private Disc Plan")</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Private Disc adopted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 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 Upon completion of the merger in December 2022, the Company ceased granting awards under the Private Disc Plan.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Out-of-Plan Inducement Grants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From time to time, the Company grants equity awards to newly hired executives as a material inducement to enter into employment with the Company. These grants are made in accordance with Rule 5635(c)(4) of the Nasdaq Listing Rules and are</w:t>
      </w:r>
    </w:p>
    <w:p>
      <w:pPr>
        <w:sectPr>
          <w:pgSz w:w="12240" w:h="15840" w:orient="portrait"/>
          <w:cols w:equalWidth="0" w:num="1">
            <w:col w:w="10460"/>
          </w:cols>
          <w:pgMar w:left="900" w:top="926" w:right="880" w:bottom="175"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10460"/>
          </w:cols>
          <w:pgMar w:left="900" w:top="926" w:right="880" w:bottom="175" w:gutter="0" w:footer="0" w:header="0"/>
          <w:type w:val="continuous"/>
        </w:sectPr>
      </w:pPr>
    </w:p>
    <w:bookmarkStart w:id="142" w:name="page143"/>
    <w:bookmarkEnd w:id="142"/>
    <w:p>
      <w:pPr>
        <w:jc w:val="both"/>
        <w:spacing w:after="0" w:line="246" w:lineRule="auto"/>
        <w:rPr>
          <w:sz w:val="20"/>
          <w:szCs w:val="20"/>
          <w:color w:val="auto"/>
        </w:rPr>
      </w:pPr>
      <w:r>
        <w:rPr>
          <w:rFonts w:ascii="Times New Roman" w:cs="Times New Roman" w:eastAsia="Times New Roman" w:hAnsi="Times New Roman"/>
          <w:sz w:val="20"/>
          <w:szCs w:val="20"/>
          <w:color w:val="auto"/>
        </w:rPr>
        <w:t>issued outside the 2021 Plan, the 2021 Inducement Plan and each of the other stock incentive plans described above. The inducement grants typically include nonqualified stock options to purchase shares of the Company's common stock, as well as restricted stock unit grants representing shares of the Company's common stock. The option awards have a ten-year term, with 25% of the underlying shares vesting and becoming exercisable on the one-year anniversary of the date of grant, and the balance of each option award vesting in equal monthly installments over 36 months thereafter. The restricted stock unit awards vest with respect to 25% of the underlying shares on each of the first, second, third and fourth anniversaries of the vesting date as set by the Company policy. The inducement grants are included in the stock option and restricted stock unit tables below.</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the Company granted 35,000 nonqualified stock options and 23,333 restricted stock units under employment inducement grants. During the year ended December 31, 2024, the Company granted 220,000 nonqualified stock options and 146,664 restricted stock units under employment inducement grants. The Company made no employment inducement grants during the year ended December 31,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does not yet have sufficient company-specific historical or implied volatility information. Therefore, the Company estimated its expected stock volatility based on the historical volatility of a publicly traded set of peer public companies and the Company will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weighted-average assumptions used to estimate the fair value of stock options granted were as follows:</w:t>
      </w:r>
    </w:p>
    <w:p>
      <w:pPr>
        <w:spacing w:after="0" w:line="13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-17780</wp:posOffset>
            </wp:positionV>
            <wp:extent cx="34677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4">
                      <a:extLst>
                        <a:ext uri="{28A0092B-C50C-407E-A947-70E740481C1C}"/>
                      </a:extLst>
                    </a:blip>
                    <a:srcRect/>
                    <a:stretch>
                      <a:fillRect/>
                    </a:stretch>
                  </pic:blipFill>
                  <pic:spPr bwMode="auto">
                    <a:xfrm>
                      <a:off x="0" y="0"/>
                      <a:ext cx="34677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40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000" w:type="dxa"/>
            <w:vAlign w:val="bottom"/>
            <w:tcBorders>
              <w:top w:val="single" w:sz="8" w:color="E0E0E0"/>
            </w:tcBorders>
            <w:shd w:val="clear" w:color="auto" w:fill="E0E0E0"/>
          </w:tcPr>
          <w:p>
            <w:pPr>
              <w:spacing w:after="0"/>
              <w:rPr>
                <w:sz w:val="20"/>
                <w:szCs w:val="20"/>
                <w:color w:val="auto"/>
              </w:rPr>
            </w:pPr>
          </w:p>
        </w:tc>
        <w:tc>
          <w:tcPr>
            <w:tcW w:w="960" w:type="dxa"/>
            <w:vAlign w:val="bottom"/>
            <w:tcBorders>
              <w:top w:val="single" w:sz="8" w:color="auto"/>
            </w:tcBorders>
            <w:shd w:val="clear" w:color="auto" w:fill="E0E0E0"/>
          </w:tcPr>
          <w:p>
            <w:pPr>
              <w:spacing w:after="0"/>
              <w:rPr>
                <w:sz w:val="20"/>
                <w:szCs w:val="20"/>
                <w:color w:val="auto"/>
              </w:rPr>
            </w:pPr>
          </w:p>
        </w:tc>
        <w:tc>
          <w:tcPr>
            <w:tcW w:w="7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200" w:type="dxa"/>
            <w:vAlign w:val="bottom"/>
            <w:tcBorders>
              <w:top w:val="single" w:sz="8" w:color="E0E0E0"/>
            </w:tcBorders>
            <w:shd w:val="clear" w:color="auto" w:fill="E0E0E0"/>
          </w:tcPr>
          <w:p>
            <w:pPr>
              <w:spacing w:after="0"/>
              <w:rPr>
                <w:sz w:val="20"/>
                <w:szCs w:val="20"/>
                <w:color w:val="auto"/>
              </w:rPr>
            </w:pPr>
          </w:p>
        </w:tc>
        <w:tc>
          <w:tcPr>
            <w:tcW w:w="960" w:type="dxa"/>
            <w:vAlign w:val="bottom"/>
            <w:tcBorders>
              <w:top w:val="single" w:sz="8" w:color="auto"/>
            </w:tcBorders>
            <w:shd w:val="clear" w:color="auto" w:fill="E0E0E0"/>
          </w:tcPr>
          <w:p>
            <w:pPr>
              <w:spacing w:after="0"/>
              <w:rPr>
                <w:sz w:val="20"/>
                <w:szCs w:val="20"/>
                <w:color w:val="auto"/>
              </w:rPr>
            </w:pPr>
          </w:p>
        </w:tc>
        <w:tc>
          <w:tcPr>
            <w:tcW w:w="7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20" w:type="dxa"/>
            <w:vAlign w:val="bottom"/>
            <w:tcBorders>
              <w:top w:val="single" w:sz="8" w:color="E0E0E0"/>
            </w:tcBorders>
            <w:shd w:val="clear" w:color="auto" w:fill="E0E0E0"/>
          </w:tcPr>
          <w:p>
            <w:pPr>
              <w:spacing w:after="0"/>
              <w:rPr>
                <w:sz w:val="20"/>
                <w:szCs w:val="20"/>
                <w:color w:val="auto"/>
              </w:rPr>
            </w:pPr>
          </w:p>
        </w:tc>
        <w:tc>
          <w:tcPr>
            <w:tcW w:w="320" w:type="dxa"/>
            <w:vAlign w:val="bottom"/>
            <w:tcBorders>
              <w:top w:val="single" w:sz="8" w:color="auto"/>
            </w:tcBorders>
            <w:shd w:val="clear" w:color="auto" w:fill="E0E0E0"/>
          </w:tcPr>
          <w:p>
            <w:pPr>
              <w:spacing w:after="0"/>
              <w:rPr>
                <w:sz w:val="20"/>
                <w:szCs w:val="20"/>
                <w:color w:val="auto"/>
              </w:rPr>
            </w:pPr>
          </w:p>
        </w:tc>
        <w:tc>
          <w:tcPr>
            <w:tcW w:w="12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4.03%</w:t>
            </w: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6.43</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6.35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6.88</w:t>
            </w:r>
          </w:p>
        </w:tc>
      </w:tr>
      <w:tr>
        <w:trPr>
          <w:trHeight w:val="244"/>
        </w:trPr>
        <w:tc>
          <w:tcPr>
            <w:tcW w:w="40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00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44"/>
        </w:trPr>
        <w:tc>
          <w:tcPr>
            <w:tcW w:w="40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Fair value per share of common stock</w:t>
            </w:r>
          </w:p>
        </w:tc>
        <w:tc>
          <w:tcPr>
            <w:tcW w:w="1960" w:type="dxa"/>
            <w:vAlign w:val="bottom"/>
            <w:gridSpan w:val="2"/>
            <w:shd w:val="clear" w:color="auto" w:fill="E0E0E0"/>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56.05</w:t>
            </w:r>
          </w:p>
        </w:tc>
        <w:tc>
          <w:tcPr>
            <w:tcW w:w="1160" w:type="dxa"/>
            <w:vAlign w:val="bottom"/>
            <w:gridSpan w:val="2"/>
            <w:shd w:val="clear" w:color="auto" w:fill="E0E0E0"/>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58.99</w:t>
            </w:r>
          </w:p>
        </w:tc>
        <w:tc>
          <w:tcPr>
            <w:tcW w:w="54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E0E0E0"/>
          </w:tcPr>
          <w:p>
            <w:pPr>
              <w:jc w:val="right"/>
              <w:ind w:right="123"/>
              <w:spacing w:after="0"/>
              <w:rPr>
                <w:sz w:val="20"/>
                <w:szCs w:val="20"/>
                <w:color w:val="auto"/>
              </w:rPr>
            </w:pPr>
            <w:r>
              <w:rPr>
                <w:rFonts w:ascii="Times New Roman" w:cs="Times New Roman" w:eastAsia="Times New Roman" w:hAnsi="Times New Roman"/>
                <w:sz w:val="20"/>
                <w:szCs w:val="20"/>
                <w:color w:val="auto"/>
              </w:rPr>
              <w:t>43.42</w:t>
            </w:r>
          </w:p>
        </w:tc>
      </w:tr>
    </w:tbl>
    <w:p>
      <w:pPr>
        <w:spacing w:after="0" w:line="1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weighted-average grant date fair value of options granted in the years ended December 31, 2025, 2024 and 2023 was $39.53, $35.36 and $26.54 per share,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stock option activity for the year ended December 31,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4"/>
        </w:trPr>
        <w:tc>
          <w:tcPr>
            <w:tcW w:w="4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22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4"/>
        </w:trPr>
        <w:tc>
          <w:tcPr>
            <w:tcW w:w="4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227"/>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84"/>
        </w:trPr>
        <w:tc>
          <w:tcPr>
            <w:tcW w:w="4100" w:type="dxa"/>
            <w:vAlign w:val="bottom"/>
          </w:tcPr>
          <w:p>
            <w:pPr>
              <w:spacing w:after="0"/>
              <w:rPr>
                <w:sz w:val="16"/>
                <w:szCs w:val="16"/>
                <w:color w:val="auto"/>
              </w:rPr>
            </w:pPr>
          </w:p>
        </w:tc>
        <w:tc>
          <w:tcPr>
            <w:tcW w:w="15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22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3"/>
        </w:trPr>
        <w:tc>
          <w:tcPr>
            <w:tcW w:w="4100" w:type="dxa"/>
            <w:vAlign w:val="bottom"/>
            <w:tcBorders>
              <w:bottom w:val="single" w:sz="8" w:color="E0E0E0"/>
            </w:tcBorders>
          </w:tcPr>
          <w:p>
            <w:pPr>
              <w:spacing w:after="0"/>
              <w:rPr>
                <w:sz w:val="17"/>
                <w:szCs w:val="17"/>
                <w:color w:val="auto"/>
              </w:rPr>
            </w:pPr>
          </w:p>
        </w:tc>
        <w:tc>
          <w:tcPr>
            <w:tcW w:w="15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2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Borders>
              <w:bottom w:val="single" w:sz="8" w:color="E0E0E0"/>
            </w:tcBorders>
          </w:tcPr>
          <w:p>
            <w:pPr>
              <w:spacing w:after="0"/>
              <w:rPr>
                <w:sz w:val="17"/>
                <w:szCs w:val="17"/>
                <w:color w:val="auto"/>
              </w:rPr>
            </w:pPr>
          </w:p>
        </w:tc>
        <w:tc>
          <w:tcPr>
            <w:tcW w:w="1400" w:type="dxa"/>
            <w:vAlign w:val="bottom"/>
            <w:tcBorders>
              <w:bottom w:val="single" w:sz="8" w:color="auto"/>
            </w:tcBorders>
            <w:gridSpan w:val="2"/>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180" w:type="dxa"/>
            <w:vAlign w:val="bottom"/>
            <w:tcBorders>
              <w:bottom w:val="single" w:sz="8" w:color="E0E0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5"/>
        </w:trPr>
        <w:tc>
          <w:tcPr>
            <w:tcW w:w="410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Outstanding at December 31, 2024</w:t>
            </w:r>
          </w:p>
        </w:tc>
        <w:tc>
          <w:tcPr>
            <w:tcW w:w="1500" w:type="dxa"/>
            <w:vAlign w:val="bottom"/>
            <w:shd w:val="clear" w:color="auto" w:fill="E0E0E0"/>
          </w:tcPr>
          <w:p>
            <w:pPr>
              <w:jc w:val="right"/>
              <w:ind w:right="4"/>
              <w:spacing w:after="0" w:line="225" w:lineRule="exact"/>
              <w:rPr>
                <w:sz w:val="20"/>
                <w:szCs w:val="20"/>
                <w:color w:val="auto"/>
              </w:rPr>
            </w:pPr>
            <w:r>
              <w:rPr>
                <w:rFonts w:ascii="Times New Roman" w:cs="Times New Roman" w:eastAsia="Times New Roman" w:hAnsi="Times New Roman"/>
                <w:sz w:val="20"/>
                <w:szCs w:val="20"/>
                <w:color w:val="auto"/>
              </w:rPr>
              <w:t>2,870,364</w:t>
            </w: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0E0E0"/>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26.52</w:t>
            </w:r>
          </w:p>
        </w:tc>
        <w:tc>
          <w:tcPr>
            <w:tcW w:w="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40" w:type="dxa"/>
            <w:vAlign w:val="bottom"/>
            <w:shd w:val="clear" w:color="auto" w:fill="E0E0E0"/>
          </w:tcPr>
          <w:p>
            <w:pPr>
              <w:jc w:val="right"/>
              <w:ind w:right="11"/>
              <w:spacing w:after="0" w:line="225" w:lineRule="exact"/>
              <w:rPr>
                <w:sz w:val="20"/>
                <w:szCs w:val="20"/>
                <w:color w:val="auto"/>
              </w:rPr>
            </w:pPr>
            <w:r>
              <w:rPr>
                <w:rFonts w:ascii="Times New Roman" w:cs="Times New Roman" w:eastAsia="Times New Roman" w:hAnsi="Times New Roman"/>
                <w:sz w:val="20"/>
                <w:szCs w:val="20"/>
                <w:color w:val="auto"/>
              </w:rPr>
              <w:t>7.44</w:t>
            </w: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106,766</w:t>
            </w:r>
          </w:p>
        </w:tc>
      </w:tr>
      <w:tr>
        <w:trPr>
          <w:trHeight w:val="230"/>
        </w:trPr>
        <w:tc>
          <w:tcPr>
            <w:tcW w:w="4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1,060,514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55.89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410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Exercised</w:t>
            </w: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(578,872)</w:t>
            </w:r>
          </w:p>
        </w:tc>
        <w:tc>
          <w:tcPr>
            <w:tcW w:w="16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28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auto"/>
              </w:rPr>
              <w:t>14.91</w:t>
            </w:r>
          </w:p>
        </w:tc>
        <w:tc>
          <w:tcPr>
            <w:tcW w:w="16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24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320" w:type="dxa"/>
            <w:vAlign w:val="bottom"/>
            <w:shd w:val="clear" w:color="auto" w:fill="E0E0E0"/>
          </w:tcPr>
          <w:p>
            <w:pPr>
              <w:spacing w:after="0"/>
              <w:rPr>
                <w:sz w:val="20"/>
                <w:szCs w:val="20"/>
                <w:color w:val="auto"/>
              </w:rPr>
            </w:pPr>
          </w:p>
        </w:tc>
      </w:tr>
      <w:tr>
        <w:trPr>
          <w:trHeight w:val="230"/>
        </w:trPr>
        <w:tc>
          <w:tcPr>
            <w:tcW w:w="4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(74,539)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43.65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410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Expired</w:t>
            </w:r>
          </w:p>
        </w:tc>
        <w:tc>
          <w:tcPr>
            <w:tcW w:w="15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(8,177)</w:t>
            </w:r>
          </w:p>
        </w:tc>
        <w:tc>
          <w:tcPr>
            <w:tcW w:w="16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28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auto"/>
              </w:rPr>
              <w:t>53.87</w:t>
            </w:r>
          </w:p>
        </w:tc>
        <w:tc>
          <w:tcPr>
            <w:tcW w:w="16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24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320" w:type="dxa"/>
            <w:vAlign w:val="bottom"/>
            <w:shd w:val="clear" w:color="auto" w:fill="E0E0E0"/>
          </w:tcPr>
          <w:p>
            <w:pPr>
              <w:spacing w:after="0"/>
              <w:rPr>
                <w:sz w:val="20"/>
                <w:szCs w:val="20"/>
                <w:color w:val="auto"/>
              </w:rPr>
            </w:pPr>
          </w:p>
        </w:tc>
      </w:tr>
      <w:tr>
        <w:trPr>
          <w:trHeight w:val="265"/>
        </w:trPr>
        <w:tc>
          <w:tcPr>
            <w:tcW w:w="41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Outstanding at December 31, 2025</w:t>
            </w:r>
          </w:p>
        </w:tc>
        <w:tc>
          <w:tcPr>
            <w:tcW w:w="1500" w:type="dxa"/>
            <w:vAlign w:val="bottom"/>
          </w:tcPr>
          <w:p>
            <w:pPr>
              <w:jc w:val="right"/>
              <w:ind w:right="4"/>
              <w:spacing w:after="0" w:line="225" w:lineRule="exact"/>
              <w:rPr>
                <w:sz w:val="20"/>
                <w:szCs w:val="20"/>
                <w:color w:val="auto"/>
              </w:rPr>
            </w:pPr>
            <w:r>
              <w:rPr>
                <w:rFonts w:ascii="Times New Roman" w:cs="Times New Roman" w:eastAsia="Times New Roman" w:hAnsi="Times New Roman"/>
                <w:sz w:val="20"/>
                <w:szCs w:val="20"/>
                <w:color w:val="auto"/>
              </w:rPr>
              <w:t>3,269,290</w:t>
            </w:r>
          </w:p>
        </w:tc>
        <w:tc>
          <w:tcPr>
            <w:tcW w:w="3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7"/>
              <w:spacing w:after="0" w:line="225" w:lineRule="exact"/>
              <w:rPr>
                <w:sz w:val="20"/>
                <w:szCs w:val="20"/>
                <w:color w:val="auto"/>
              </w:rPr>
            </w:pPr>
            <w:r>
              <w:rPr>
                <w:rFonts w:ascii="Times New Roman" w:cs="Times New Roman" w:eastAsia="Times New Roman" w:hAnsi="Times New Roman"/>
                <w:sz w:val="20"/>
                <w:szCs w:val="20"/>
                <w:color w:val="auto"/>
              </w:rPr>
              <w:t>37.64</w:t>
            </w:r>
          </w:p>
        </w:tc>
        <w:tc>
          <w:tcPr>
            <w:tcW w:w="3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1"/>
              <w:spacing w:after="0" w:line="225" w:lineRule="exact"/>
              <w:rPr>
                <w:sz w:val="20"/>
                <w:szCs w:val="20"/>
                <w:color w:val="auto"/>
              </w:rPr>
            </w:pPr>
            <w:r>
              <w:rPr>
                <w:rFonts w:ascii="Times New Roman" w:cs="Times New Roman" w:eastAsia="Times New Roman" w:hAnsi="Times New Roman"/>
                <w:sz w:val="20"/>
                <w:szCs w:val="20"/>
                <w:color w:val="auto"/>
              </w:rPr>
              <w:t>7.48</w:t>
            </w:r>
          </w:p>
        </w:tc>
        <w:tc>
          <w:tcPr>
            <w:tcW w:w="3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137,014</w:t>
            </w:r>
          </w:p>
        </w:tc>
      </w:tr>
      <w:tr>
        <w:trPr>
          <w:trHeight w:val="215"/>
        </w:trPr>
        <w:tc>
          <w:tcPr>
            <w:tcW w:w="410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Exercisable at December 31, 2025</w:t>
            </w:r>
          </w:p>
        </w:tc>
        <w:tc>
          <w:tcPr>
            <w:tcW w:w="1500" w:type="dxa"/>
            <w:vAlign w:val="bottom"/>
            <w:tcBorders>
              <w:top w:val="single" w:sz="8" w:color="auto"/>
              <w:bottom w:val="single" w:sz="8" w:color="auto"/>
            </w:tcBorders>
            <w:shd w:val="clear" w:color="auto" w:fill="E0E0E0"/>
          </w:tcPr>
          <w:p>
            <w:pPr>
              <w:jc w:val="right"/>
              <w:ind w:right="4"/>
              <w:spacing w:after="0" w:line="215" w:lineRule="exact"/>
              <w:rPr>
                <w:sz w:val="20"/>
                <w:szCs w:val="20"/>
                <w:color w:val="auto"/>
              </w:rPr>
            </w:pPr>
            <w:r>
              <w:rPr>
                <w:rFonts w:ascii="Times New Roman" w:cs="Times New Roman" w:eastAsia="Times New Roman" w:hAnsi="Times New Roman"/>
                <w:sz w:val="20"/>
                <w:szCs w:val="20"/>
                <w:color w:val="auto"/>
              </w:rPr>
              <w:t>1,741,466</w:t>
            </w:r>
          </w:p>
        </w:tc>
        <w:tc>
          <w:tcPr>
            <w:tcW w:w="160" w:type="dxa"/>
            <w:vAlign w:val="bottom"/>
            <w:tcBorders>
              <w:top w:val="single" w:sz="8" w:color="E0E0E0"/>
            </w:tcBorders>
            <w:shd w:val="clear" w:color="auto" w:fill="E0E0E0"/>
          </w:tcPr>
          <w:p>
            <w:pPr>
              <w:spacing w:after="0"/>
              <w:rPr>
                <w:sz w:val="18"/>
                <w:szCs w:val="18"/>
                <w:color w:val="auto"/>
              </w:rPr>
            </w:pPr>
          </w:p>
        </w:tc>
        <w:tc>
          <w:tcPr>
            <w:tcW w:w="220" w:type="dxa"/>
            <w:vAlign w:val="bottom"/>
            <w:tcBorders>
              <w:top w:val="single" w:sz="8" w:color="auto"/>
              <w:bottom w:val="single" w:sz="8" w:color="auto"/>
            </w:tcBorders>
            <w:shd w:val="clear" w:color="auto" w:fill="E0E0E0"/>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E0E0E0"/>
          </w:tcPr>
          <w:p>
            <w:pPr>
              <w:jc w:val="right"/>
              <w:ind w:right="7"/>
              <w:spacing w:after="0" w:line="215" w:lineRule="exact"/>
              <w:rPr>
                <w:sz w:val="20"/>
                <w:szCs w:val="20"/>
                <w:color w:val="auto"/>
              </w:rPr>
            </w:pPr>
            <w:r>
              <w:rPr>
                <w:rFonts w:ascii="Times New Roman" w:cs="Times New Roman" w:eastAsia="Times New Roman" w:hAnsi="Times New Roman"/>
                <w:sz w:val="20"/>
                <w:szCs w:val="20"/>
                <w:color w:val="auto"/>
              </w:rPr>
              <w:t>24.52</w:t>
            </w:r>
          </w:p>
        </w:tc>
        <w:tc>
          <w:tcPr>
            <w:tcW w:w="160" w:type="dxa"/>
            <w:vAlign w:val="bottom"/>
            <w:tcBorders>
              <w:top w:val="single" w:sz="8" w:color="E0E0E0"/>
            </w:tcBorders>
            <w:shd w:val="clear" w:color="auto" w:fill="E0E0E0"/>
          </w:tcPr>
          <w:p>
            <w:pPr>
              <w:spacing w:after="0"/>
              <w:rPr>
                <w:sz w:val="18"/>
                <w:szCs w:val="18"/>
                <w:color w:val="auto"/>
              </w:rPr>
            </w:pPr>
          </w:p>
        </w:tc>
        <w:tc>
          <w:tcPr>
            <w:tcW w:w="16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shd w:val="clear" w:color="auto" w:fill="E0E0E0"/>
          </w:tcPr>
          <w:p>
            <w:pPr>
              <w:jc w:val="right"/>
              <w:ind w:right="11"/>
              <w:spacing w:after="0" w:line="215" w:lineRule="exact"/>
              <w:rPr>
                <w:sz w:val="20"/>
                <w:szCs w:val="20"/>
                <w:color w:val="auto"/>
              </w:rPr>
            </w:pPr>
            <w:r>
              <w:rPr>
                <w:rFonts w:ascii="Times New Roman" w:cs="Times New Roman" w:eastAsia="Times New Roman" w:hAnsi="Times New Roman"/>
                <w:sz w:val="20"/>
                <w:szCs w:val="20"/>
                <w:color w:val="auto"/>
              </w:rPr>
              <w:t>6.36</w:t>
            </w:r>
          </w:p>
        </w:tc>
        <w:tc>
          <w:tcPr>
            <w:tcW w:w="18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95,764</w:t>
            </w:r>
          </w:p>
        </w:tc>
      </w:tr>
      <w:tr>
        <w:trPr>
          <w:trHeight w:val="20"/>
        </w:trPr>
        <w:tc>
          <w:tcPr>
            <w:tcW w:w="4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2025, 2024 and 2023 was $ 30.2 million, $14.5 million and $8.3 million, respectively. The total fair value of options vested during the years ended December 31, 2025, 2024 and 2023 was $17.7 million, $10.0 million and $3.7 million, respectively. The tax benefit from the exercise of options eligible for a tax deduction realized during the years ended December 31, 2025, 2024 and 2023 was $21.8 million, $11.0 million and $7.2 million, respectively.</w:t>
      </w:r>
    </w:p>
    <w:p>
      <w:pPr>
        <w:sectPr>
          <w:pgSz w:w="12240" w:h="15840" w:orient="portrait"/>
          <w:cols w:equalWidth="0" w:num="1">
            <w:col w:w="10460"/>
          </w:cols>
          <w:pgMar w:left="900" w:top="930" w:right="880" w:bottom="175"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10460"/>
          </w:cols>
          <w:pgMar w:left="900" w:top="930" w:right="880" w:bottom="175"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purposes of calculating stock-based compensation, the Company determines the fair value of the restricted stock units based on the fair value of the Company’s common stock at the time of grant. The following table summarizes restricted stock unit activity for the year ended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4"/>
        </w:trPr>
        <w:tc>
          <w:tcPr>
            <w:tcW w:w="6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03"/>
        </w:trPr>
        <w:tc>
          <w:tcPr>
            <w:tcW w:w="6080" w:type="dxa"/>
            <w:vAlign w:val="bottom"/>
            <w:tcBorders>
              <w:bottom w:val="single" w:sz="8" w:color="E0E0E0"/>
            </w:tcBorders>
          </w:tcPr>
          <w:p>
            <w:pPr>
              <w:spacing w:after="0"/>
              <w:rPr>
                <w:sz w:val="17"/>
                <w:szCs w:val="17"/>
                <w:color w:val="auto"/>
              </w:rPr>
            </w:pPr>
          </w:p>
        </w:tc>
        <w:tc>
          <w:tcPr>
            <w:tcW w:w="2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260" w:type="dxa"/>
            <w:vAlign w:val="bottom"/>
            <w:tcBorders>
              <w:bottom w:val="single" w:sz="8" w:color="E0E0E0"/>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39"/>
        </w:trPr>
        <w:tc>
          <w:tcPr>
            <w:tcW w:w="6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Restricted stock units as of December 31, 2024</w:t>
            </w:r>
          </w:p>
        </w:tc>
        <w:tc>
          <w:tcPr>
            <w:tcW w:w="208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475,140</w:t>
            </w:r>
          </w:p>
        </w:tc>
        <w:tc>
          <w:tcPr>
            <w:tcW w:w="260" w:type="dxa"/>
            <w:vAlign w:val="bottom"/>
            <w:shd w:val="clear" w:color="auto" w:fill="E0E0E0"/>
          </w:tcPr>
          <w:p>
            <w:pPr>
              <w:spacing w:after="0"/>
              <w:rPr>
                <w:sz w:val="20"/>
                <w:szCs w:val="20"/>
                <w:color w:val="auto"/>
              </w:rPr>
            </w:pPr>
          </w:p>
        </w:tc>
        <w:tc>
          <w:tcPr>
            <w:tcW w:w="26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60.01</w:t>
            </w:r>
          </w:p>
        </w:tc>
      </w:tr>
      <w:tr>
        <w:trPr>
          <w:trHeight w:val="244"/>
        </w:trPr>
        <w:tc>
          <w:tcPr>
            <w:tcW w:w="6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20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827,402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56.44</w:t>
            </w:r>
          </w:p>
        </w:tc>
      </w:tr>
      <w:tr>
        <w:trPr>
          <w:trHeight w:val="244"/>
        </w:trPr>
        <w:tc>
          <w:tcPr>
            <w:tcW w:w="60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Vested</w:t>
            </w:r>
          </w:p>
        </w:tc>
        <w:tc>
          <w:tcPr>
            <w:tcW w:w="2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(117,911)</w:t>
            </w:r>
          </w:p>
        </w:tc>
        <w:tc>
          <w:tcPr>
            <w:tcW w:w="2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60.15</w:t>
            </w:r>
          </w:p>
        </w:tc>
      </w:tr>
      <w:tr>
        <w:trPr>
          <w:trHeight w:val="244"/>
        </w:trPr>
        <w:tc>
          <w:tcPr>
            <w:tcW w:w="608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Forfeited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(42,186)</w:t>
            </w:r>
          </w:p>
        </w:tc>
        <w:tc>
          <w:tcPr>
            <w:tcW w:w="26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7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56.78</w:t>
            </w:r>
          </w:p>
        </w:tc>
      </w:tr>
      <w:tr>
        <w:trPr>
          <w:trHeight w:val="259"/>
        </w:trPr>
        <w:tc>
          <w:tcPr>
            <w:tcW w:w="60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Restricted stock units as of December 31, 2025</w:t>
            </w:r>
          </w:p>
        </w:tc>
        <w:tc>
          <w:tcPr>
            <w:tcW w:w="2080" w:type="dxa"/>
            <w:vAlign w:val="bottom"/>
            <w:tcBorders>
              <w:bottom w:val="single" w:sz="8" w:color="auto"/>
            </w:tcBorders>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1,142,445</w:t>
            </w:r>
          </w:p>
        </w:tc>
        <w:tc>
          <w:tcPr>
            <w:tcW w:w="520" w:type="dxa"/>
            <w:vAlign w:val="bottom"/>
            <w:tcBorders>
              <w:bottom w:val="single" w:sz="8" w:color="E0E0E0"/>
            </w:tcBorders>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57.29</w:t>
            </w:r>
          </w:p>
        </w:tc>
      </w:tr>
      <w:tr>
        <w:trPr>
          <w:trHeight w:val="20"/>
        </w:trPr>
        <w:tc>
          <w:tcPr>
            <w:tcW w:w="60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total fair value of restricted stock units vested during the year ended December 31, 2025 was $7.1 million. There were no restricted stock units which vested during the years ended December 31, 2024 or December 31,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Shares of Restricted Common Stock</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issued a total of 63,061 shares of restricted common stock pursuant to the Private Disc Plan at $0.0001 per share. The stock restrictions related to the sale and transferability of the stock and lapsed over the defined vesting period in the restricted stock agreement. The vesting period was generally contingent upon continued employment or consulting services being provided to the Company. In the event of termination, the Company had the right, but not the obligation to repurchase the unvested shares at the original purchase price. During the year ended December 31, 2023, 1,916 shares of restricted common stock vested. As of December 31, 2023, all awards of restricted common stock were fully vested.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Total stock-based compensation expense recorded as research and development and selling, general and administrative expenses, respectively, for employees, directors and non-employees was as follows (in thousands):</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-17780</wp:posOffset>
            </wp:positionV>
            <wp:extent cx="347472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5">
                      <a:extLst>
                        <a:ext uri="{28A0092B-C50C-407E-A947-70E740481C1C}"/>
                      </a:extLst>
                    </a:blip>
                    <a:srcRect/>
                    <a:stretch>
                      <a:fillRect/>
                    </a:stretch>
                  </pic:blipFill>
                  <pic:spPr bwMode="auto">
                    <a:xfrm>
                      <a:off x="0" y="0"/>
                      <a:ext cx="347472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50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0" w:type="dxa"/>
            <w:vAlign w:val="bottom"/>
            <w:tcBorders>
              <w:top w:val="single" w:sz="8" w:color="auto"/>
            </w:tcBorders>
            <w:shd w:val="clear" w:color="auto" w:fill="E0E0E0"/>
          </w:tcPr>
          <w:p>
            <w:pPr>
              <w:jc w:val="right"/>
              <w:ind w:right="807"/>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15,989</w:t>
            </w:r>
          </w:p>
        </w:tc>
        <w:tc>
          <w:tcPr>
            <w:tcW w:w="220" w:type="dxa"/>
            <w:vAlign w:val="bottom"/>
            <w:tcBorders>
              <w:top w:val="single" w:sz="8" w:color="E0E0E0"/>
            </w:tcBorders>
            <w:shd w:val="clear" w:color="auto" w:fill="E0E0E0"/>
          </w:tcPr>
          <w:p>
            <w:pPr>
              <w:spacing w:after="0"/>
              <w:rPr>
                <w:sz w:val="20"/>
                <w:szCs w:val="20"/>
                <w:color w:val="auto"/>
              </w:rPr>
            </w:pPr>
          </w:p>
        </w:tc>
        <w:tc>
          <w:tcPr>
            <w:tcW w:w="1000" w:type="dxa"/>
            <w:vAlign w:val="bottom"/>
            <w:tcBorders>
              <w:top w:val="single" w:sz="8" w:color="auto"/>
            </w:tcBorders>
            <w:shd w:val="clear" w:color="auto" w:fill="E0E0E0"/>
          </w:tcPr>
          <w:p>
            <w:pPr>
              <w:jc w:val="right"/>
              <w:ind w:right="80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7,028</w:t>
            </w:r>
          </w:p>
        </w:tc>
        <w:tc>
          <w:tcPr>
            <w:tcW w:w="220" w:type="dxa"/>
            <w:vAlign w:val="bottom"/>
            <w:tcBorders>
              <w:top w:val="single" w:sz="8" w:color="E0E0E0"/>
            </w:tcBorders>
            <w:shd w:val="clear" w:color="auto" w:fill="E0E0E0"/>
          </w:tcPr>
          <w:p>
            <w:pPr>
              <w:spacing w:after="0"/>
              <w:rPr>
                <w:sz w:val="20"/>
                <w:szCs w:val="20"/>
                <w:color w:val="auto"/>
              </w:rPr>
            </w:pPr>
          </w:p>
        </w:tc>
        <w:tc>
          <w:tcPr>
            <w:tcW w:w="340" w:type="dxa"/>
            <w:vAlign w:val="bottom"/>
            <w:tcBorders>
              <w:top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1,767</w:t>
            </w:r>
          </w:p>
        </w:tc>
      </w:tr>
      <w:tr>
        <w:trPr>
          <w:trHeight w:val="244"/>
        </w:trPr>
        <w:tc>
          <w:tcPr>
            <w:tcW w:w="50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0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18,351</w:t>
            </w:r>
          </w:p>
        </w:tc>
        <w:tc>
          <w:tcPr>
            <w:tcW w:w="220" w:type="dxa"/>
            <w:vAlign w:val="bottom"/>
            <w:tcBorders>
              <w:bottom w:val="single" w:sz="8" w:color="E0E0E0"/>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9,787</w:t>
            </w:r>
          </w:p>
        </w:tc>
        <w:tc>
          <w:tcPr>
            <w:tcW w:w="22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3,763</w:t>
            </w:r>
          </w:p>
        </w:tc>
      </w:tr>
      <w:tr>
        <w:trPr>
          <w:trHeight w:val="259"/>
        </w:trPr>
        <w:tc>
          <w:tcPr>
            <w:tcW w:w="50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1000" w:type="dxa"/>
            <w:vAlign w:val="bottom"/>
            <w:tcBorders>
              <w:bottom w:val="single" w:sz="8" w:color="auto"/>
            </w:tcBorders>
            <w:shd w:val="clear" w:color="auto" w:fill="E0E0E0"/>
          </w:tcPr>
          <w:p>
            <w:pPr>
              <w:jc w:val="right"/>
              <w:ind w:right="807"/>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34,340</w:t>
            </w:r>
          </w:p>
        </w:tc>
        <w:tc>
          <w:tcPr>
            <w:tcW w:w="220" w:type="dxa"/>
            <w:vAlign w:val="bottom"/>
            <w:tcBorders>
              <w:bottom w:val="single" w:sz="8" w:color="E0E0E0"/>
            </w:tcBorders>
            <w:shd w:val="clear" w:color="auto" w:fill="E0E0E0"/>
          </w:tcPr>
          <w:p>
            <w:pPr>
              <w:spacing w:after="0"/>
              <w:rPr>
                <w:sz w:val="22"/>
                <w:szCs w:val="22"/>
                <w:color w:val="auto"/>
              </w:rPr>
            </w:pPr>
          </w:p>
        </w:tc>
        <w:tc>
          <w:tcPr>
            <w:tcW w:w="1000" w:type="dxa"/>
            <w:vAlign w:val="bottom"/>
            <w:tcBorders>
              <w:bottom w:val="single" w:sz="8" w:color="auto"/>
            </w:tcBorders>
            <w:shd w:val="clear" w:color="auto" w:fill="E0E0E0"/>
          </w:tcPr>
          <w:p>
            <w:pPr>
              <w:jc w:val="right"/>
              <w:ind w:right="80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16,815</w:t>
            </w:r>
          </w:p>
        </w:tc>
        <w:tc>
          <w:tcPr>
            <w:tcW w:w="22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5,530</w:t>
            </w: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unrecognized stock-based compensation expense as of December 31,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vMerge w:val="restart"/>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Unrecognized Expense</w:t>
            </w:r>
          </w:p>
        </w:tc>
        <w:tc>
          <w:tcPr>
            <w:tcW w:w="2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of Recognition</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E0E0E0"/>
            </w:tcBorders>
          </w:tcPr>
          <w:p>
            <w:pPr>
              <w:spacing w:after="0"/>
              <w:rPr>
                <w:sz w:val="17"/>
                <w:szCs w:val="17"/>
                <w:color w:val="auto"/>
              </w:rPr>
            </w:pPr>
          </w:p>
        </w:tc>
        <w:tc>
          <w:tcPr>
            <w:tcW w:w="740" w:type="dxa"/>
            <w:vAlign w:val="bottom"/>
            <w:tcBorders>
              <w:bottom w:val="single" w:sz="8" w:color="E0E0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E0E0E0"/>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25"/>
        </w:trPr>
        <w:tc>
          <w:tcPr>
            <w:tcW w:w="520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Restricted stock units</w:t>
            </w:r>
          </w:p>
        </w:tc>
        <w:tc>
          <w:tcPr>
            <w:tcW w:w="74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shd w:val="clear" w:color="auto" w:fill="E0E0E0"/>
          </w:tcPr>
          <w:p>
            <w:pPr>
              <w:jc w:val="right"/>
              <w:ind w:right="8"/>
              <w:spacing w:after="0" w:line="225" w:lineRule="exact"/>
              <w:rPr>
                <w:sz w:val="20"/>
                <w:szCs w:val="20"/>
                <w:color w:val="auto"/>
              </w:rPr>
            </w:pPr>
            <w:r>
              <w:rPr>
                <w:rFonts w:ascii="Times New Roman" w:cs="Times New Roman" w:eastAsia="Times New Roman" w:hAnsi="Times New Roman"/>
                <w:sz w:val="20"/>
                <w:szCs w:val="20"/>
                <w:color w:val="auto"/>
              </w:rPr>
              <w:t>52,672</w:t>
            </w:r>
          </w:p>
        </w:tc>
        <w:tc>
          <w:tcPr>
            <w:tcW w:w="220" w:type="dxa"/>
            <w:vAlign w:val="bottom"/>
            <w:shd w:val="clear" w:color="auto" w:fill="E0E0E0"/>
          </w:tcPr>
          <w:p>
            <w:pPr>
              <w:spacing w:after="0"/>
              <w:rPr>
                <w:sz w:val="19"/>
                <w:szCs w:val="19"/>
                <w:color w:val="auto"/>
              </w:rPr>
            </w:pPr>
          </w:p>
        </w:tc>
        <w:tc>
          <w:tcPr>
            <w:tcW w:w="21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740" w:type="dxa"/>
            <w:vAlign w:val="bottom"/>
            <w:tcBorders>
              <w:bottom w:val="single" w:sz="8" w:color="E0E0E0"/>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49,093</w:t>
            </w:r>
          </w:p>
        </w:tc>
        <w:tc>
          <w:tcPr>
            <w:tcW w:w="220" w:type="dxa"/>
            <w:vAlign w:val="bottom"/>
            <w:tcBorders>
              <w:bottom w:val="single" w:sz="8" w:color="E0E0E0"/>
            </w:tcBorders>
          </w:tcPr>
          <w:p>
            <w:pPr>
              <w:spacing w:after="0"/>
              <w:rPr>
                <w:sz w:val="19"/>
                <w:szCs w:val="19"/>
                <w:color w:val="auto"/>
              </w:rPr>
            </w:pPr>
          </w:p>
        </w:tc>
        <w:tc>
          <w:tcPr>
            <w:tcW w:w="2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0" w:type="dxa"/>
            <w:vAlign w:val="bottom"/>
          </w:tcPr>
          <w:p>
            <w:pPr>
              <w:spacing w:after="0"/>
              <w:rPr>
                <w:sz w:val="1"/>
                <w:szCs w:val="1"/>
                <w:color w:val="auto"/>
              </w:rPr>
            </w:pPr>
          </w:p>
        </w:tc>
      </w:tr>
      <w:tr>
        <w:trPr>
          <w:trHeight w:val="245"/>
        </w:trPr>
        <w:tc>
          <w:tcPr>
            <w:tcW w:w="5200" w:type="dxa"/>
            <w:vAlign w:val="bottom"/>
            <w:tcBorders>
              <w:bottom w:val="single" w:sz="8" w:color="E0E0E0"/>
            </w:tcBorders>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Total unrecognized equity-based compensation expense</w:t>
            </w:r>
          </w:p>
        </w:tc>
        <w:tc>
          <w:tcPr>
            <w:tcW w:w="740" w:type="dxa"/>
            <w:vAlign w:val="bottom"/>
            <w:tcBorders>
              <w:bottom w:val="single" w:sz="8" w:color="E0E0E0"/>
            </w:tcBorders>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tcBorders>
              <w:bottom w:val="single" w:sz="8" w:color="auto"/>
            </w:tcBorders>
            <w:shd w:val="clear" w:color="auto" w:fill="E0E0E0"/>
          </w:tcPr>
          <w:p>
            <w:pPr>
              <w:jc w:val="right"/>
              <w:ind w:right="8"/>
              <w:spacing w:after="0" w:line="225" w:lineRule="exact"/>
              <w:rPr>
                <w:sz w:val="20"/>
                <w:szCs w:val="20"/>
                <w:color w:val="auto"/>
              </w:rPr>
            </w:pPr>
            <w:r>
              <w:rPr>
                <w:rFonts w:ascii="Times New Roman" w:cs="Times New Roman" w:eastAsia="Times New Roman" w:hAnsi="Times New Roman"/>
                <w:sz w:val="20"/>
                <w:szCs w:val="20"/>
                <w:color w:val="auto"/>
              </w:rPr>
              <w:t>101,765</w:t>
            </w:r>
          </w:p>
        </w:tc>
        <w:tc>
          <w:tcPr>
            <w:tcW w:w="220" w:type="dxa"/>
            <w:vAlign w:val="bottom"/>
            <w:tcBorders>
              <w:bottom w:val="single" w:sz="8" w:color="E0E0E0"/>
            </w:tcBorders>
            <w:shd w:val="clear" w:color="auto" w:fill="E0E0E0"/>
          </w:tcPr>
          <w:p>
            <w:pPr>
              <w:spacing w:after="0"/>
              <w:rPr>
                <w:sz w:val="21"/>
                <w:szCs w:val="21"/>
                <w:color w:val="auto"/>
              </w:rPr>
            </w:pPr>
          </w:p>
        </w:tc>
        <w:tc>
          <w:tcPr>
            <w:tcW w:w="2140" w:type="dxa"/>
            <w:vAlign w:val="bottom"/>
            <w:tcBorders>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The Company adopted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effective January 1, 2025, on a prospective basis. The disclosures required by the standard are included below for the year ended December 31, 2025. Comparative prior-period disclosures have not been revised.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loss before income taxes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jc w:val="center"/>
              <w:ind w:right="31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56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3"/>
        </w:trPr>
        <w:tc>
          <w:tcPr>
            <w:tcW w:w="5640" w:type="dxa"/>
            <w:vAlign w:val="bottom"/>
            <w:tcBorders>
              <w:bottom w:val="single" w:sz="8" w:color="E0E0E0"/>
            </w:tcBorders>
          </w:tcPr>
          <w:p>
            <w:pPr>
              <w:spacing w:after="0"/>
              <w:rPr>
                <w:sz w:val="16"/>
                <w:szCs w:val="16"/>
                <w:color w:val="auto"/>
              </w:rPr>
            </w:pPr>
          </w:p>
        </w:tc>
        <w:tc>
          <w:tcPr>
            <w:tcW w:w="2660" w:type="dxa"/>
            <w:vAlign w:val="bottom"/>
            <w:tcBorders>
              <w:bottom w:val="single" w:sz="8" w:color="E0E0E0"/>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39"/>
        </w:trPr>
        <w:tc>
          <w:tcPr>
            <w:tcW w:w="56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Domestic</w:t>
            </w:r>
          </w:p>
        </w:tc>
        <w:tc>
          <w:tcPr>
            <w:tcW w:w="2660" w:type="dxa"/>
            <w:vAlign w:val="bottom"/>
            <w:shd w:val="clear" w:color="auto" w:fill="E0E0E0"/>
          </w:tcPr>
          <w:p>
            <w:pPr>
              <w:spacing w:after="0"/>
              <w:rPr>
                <w:sz w:val="20"/>
                <w:szCs w:val="20"/>
                <w:color w:val="auto"/>
              </w:rPr>
            </w:pP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(212,152)</w:t>
            </w:r>
          </w:p>
        </w:tc>
      </w:tr>
      <w:tr>
        <w:trPr>
          <w:trHeight w:val="244"/>
        </w:trPr>
        <w:tc>
          <w:tcPr>
            <w:tcW w:w="56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266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329</w:t>
            </w:r>
          </w:p>
        </w:tc>
      </w:tr>
      <w:tr>
        <w:trPr>
          <w:trHeight w:val="259"/>
        </w:trPr>
        <w:tc>
          <w:tcPr>
            <w:tcW w:w="56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gain (loss) before income taxes</w:t>
            </w:r>
          </w:p>
        </w:tc>
        <w:tc>
          <w:tcPr>
            <w:tcW w:w="2660" w:type="dxa"/>
            <w:vAlign w:val="bottom"/>
            <w:tcBorders>
              <w:bottom w:val="single" w:sz="8" w:color="E0E0E0"/>
            </w:tcBorders>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(211,823)</w:t>
            </w:r>
          </w:p>
        </w:tc>
      </w:tr>
      <w:tr>
        <w:trPr>
          <w:trHeight w:val="20"/>
        </w:trPr>
        <w:tc>
          <w:tcPr>
            <w:tcW w:w="5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10460"/>
          </w:cols>
          <w:pgMar w:left="900" w:top="930" w:right="880" w:bottom="175"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color w:val="auto"/>
        </w:rPr>
        <w:t>The components of income tax expense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5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36"/>
        </w:trPr>
        <w:tc>
          <w:tcPr>
            <w:tcW w:w="5180" w:type="dxa"/>
            <w:vAlign w:val="bottom"/>
            <w:tcBorders>
              <w:bottom w:val="single" w:sz="8" w:color="E0E0E0"/>
            </w:tcBorders>
          </w:tcPr>
          <w:p>
            <w:pPr>
              <w:spacing w:after="0"/>
              <w:rPr>
                <w:sz w:val="20"/>
                <w:szCs w:val="20"/>
                <w:color w:val="auto"/>
              </w:rPr>
            </w:pPr>
          </w:p>
        </w:tc>
        <w:tc>
          <w:tcPr>
            <w:tcW w:w="3140" w:type="dxa"/>
            <w:vAlign w:val="bottom"/>
            <w:tcBorders>
              <w:bottom w:val="single" w:sz="8" w:color="E0E0E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42"/>
        </w:trPr>
        <w:tc>
          <w:tcPr>
            <w:tcW w:w="5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Current:</w:t>
            </w:r>
          </w:p>
        </w:tc>
        <w:tc>
          <w:tcPr>
            <w:tcW w:w="3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800" w:type="dxa"/>
            <w:vAlign w:val="bottom"/>
            <w:shd w:val="clear" w:color="auto" w:fill="E0E0E0"/>
          </w:tcPr>
          <w:p>
            <w:pPr>
              <w:spacing w:after="0"/>
              <w:rPr>
                <w:sz w:val="21"/>
                <w:szCs w:val="21"/>
                <w:color w:val="auto"/>
              </w:rPr>
            </w:pPr>
          </w:p>
        </w:tc>
      </w:tr>
      <w:tr>
        <w:trPr>
          <w:trHeight w:val="244"/>
        </w:trPr>
        <w:tc>
          <w:tcPr>
            <w:tcW w:w="5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314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1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3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361</w:t>
            </w:r>
          </w:p>
        </w:tc>
      </w:tr>
      <w:tr>
        <w:trPr>
          <w:trHeight w:val="244"/>
        </w:trPr>
        <w:tc>
          <w:tcPr>
            <w:tcW w:w="518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314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51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3140" w:type="dxa"/>
            <w:vAlign w:val="bottom"/>
            <w:tcBorders>
              <w:bottom w:val="single" w:sz="8" w:color="E0E0E0"/>
            </w:tcBorders>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361</w:t>
            </w:r>
          </w:p>
        </w:tc>
      </w:tr>
      <w:tr>
        <w:trPr>
          <w:trHeight w:val="20"/>
        </w:trPr>
        <w:tc>
          <w:tcPr>
            <w:tcW w:w="5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the Company did not recognize any deferred income tax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 paid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8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3"/>
        </w:trPr>
        <w:tc>
          <w:tcPr>
            <w:tcW w:w="83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0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39"/>
        </w:trPr>
        <w:tc>
          <w:tcPr>
            <w:tcW w:w="83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Federal</w:t>
            </w: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r>
      <w:tr>
        <w:trPr>
          <w:trHeight w:val="264"/>
        </w:trPr>
        <w:tc>
          <w:tcPr>
            <w:tcW w:w="83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8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19"/>
        </w:trPr>
        <w:tc>
          <w:tcPr>
            <w:tcW w:w="83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cash paid during the period for income taxes</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349</w:t>
            </w:r>
          </w:p>
        </w:tc>
      </w:tr>
      <w:tr>
        <w:trPr>
          <w:trHeight w:val="20"/>
        </w:trPr>
        <w:tc>
          <w:tcPr>
            <w:tcW w:w="8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Total state and foreign income taxes paid (net of refunds) for the year ended December 31, 2025 were related to Massachusetts and the Netherlands, respectively. During the years ended December 31, 2024 and 2023, the Company made cash payments for income taxes of $0.3 million and $0.1 million, respectively.</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reconciles the U.S. federal statutory income tax rate to the Company’s effective income tax rate for the year ended December 31,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54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4"/>
          </w:tcPr>
          <w:p>
            <w:pPr>
              <w:jc w:val="right"/>
              <w:ind w:right="130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74"/>
        </w:trPr>
        <w:tc>
          <w:tcPr>
            <w:tcW w:w="5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3"/>
          </w:tcPr>
          <w:p>
            <w:pPr>
              <w:jc w:val="center"/>
              <w:ind w:right="8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540" w:type="dxa"/>
            <w:vAlign w:val="bottom"/>
          </w:tcPr>
          <w:p>
            <w:pPr>
              <w:spacing w:after="0"/>
              <w:rPr>
                <w:sz w:val="15"/>
                <w:szCs w:val="15"/>
                <w:color w:val="auto"/>
              </w:rPr>
            </w:pPr>
          </w:p>
        </w:tc>
      </w:tr>
      <w:tr>
        <w:trPr>
          <w:trHeight w:val="203"/>
        </w:trPr>
        <w:tc>
          <w:tcPr>
            <w:tcW w:w="5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54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39"/>
        </w:trPr>
        <w:tc>
          <w:tcPr>
            <w:tcW w:w="58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82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(44,483)</w:t>
            </w:r>
          </w:p>
        </w:tc>
        <w:tc>
          <w:tcPr>
            <w:tcW w:w="220" w:type="dxa"/>
            <w:vAlign w:val="bottom"/>
            <w:tcBorders>
              <w:top w:val="single" w:sz="8" w:color="E0E0E0"/>
            </w:tcBorders>
            <w:shd w:val="clear" w:color="auto" w:fill="E0E0E0"/>
          </w:tcPr>
          <w:p>
            <w:pPr>
              <w:spacing w:after="0"/>
              <w:rPr>
                <w:sz w:val="20"/>
                <w:szCs w:val="20"/>
                <w:color w:val="auto"/>
              </w:rPr>
            </w:pPr>
          </w:p>
        </w:tc>
        <w:tc>
          <w:tcPr>
            <w:tcW w:w="300" w:type="dxa"/>
            <w:vAlign w:val="bottom"/>
            <w:tcBorders>
              <w:top w:val="single" w:sz="8" w:color="auto"/>
            </w:tcBorders>
            <w:shd w:val="clear" w:color="auto" w:fill="E0E0E0"/>
          </w:tcPr>
          <w:p>
            <w:pPr>
              <w:spacing w:after="0"/>
              <w:rPr>
                <w:sz w:val="20"/>
                <w:szCs w:val="20"/>
                <w:color w:val="auto"/>
              </w:rPr>
            </w:pPr>
          </w:p>
        </w:tc>
        <w:tc>
          <w:tcPr>
            <w:tcW w:w="1540" w:type="dxa"/>
            <w:vAlign w:val="bottom"/>
            <w:tcBorders>
              <w:top w:val="single" w:sz="8" w:color="auto"/>
            </w:tcBorders>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21.0%</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286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44"/>
        </w:trPr>
        <w:tc>
          <w:tcPr>
            <w:tcW w:w="5820" w:type="dxa"/>
            <w:vAlign w:val="bottom"/>
            <w:shd w:val="clear" w:color="auto" w:fill="E0E0E0"/>
          </w:tcPr>
          <w:p>
            <w:pPr>
              <w:spacing w:after="0"/>
              <w:rPr>
                <w:sz w:val="21"/>
                <w:szCs w:val="21"/>
                <w:color w:val="auto"/>
              </w:rPr>
            </w:pPr>
          </w:p>
        </w:tc>
        <w:tc>
          <w:tcPr>
            <w:tcW w:w="8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4"/>
        </w:trPr>
        <w:tc>
          <w:tcPr>
            <w:tcW w:w="5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8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540" w:type="dxa"/>
            <w:vAlign w:val="bottom"/>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0.0%</w:t>
            </w:r>
          </w:p>
        </w:tc>
      </w:tr>
      <w:tr>
        <w:trPr>
          <w:trHeight w:val="244"/>
        </w:trPr>
        <w:tc>
          <w:tcPr>
            <w:tcW w:w="5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4"/>
        </w:trPr>
        <w:tc>
          <w:tcPr>
            <w:tcW w:w="5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Tax credits:</w:t>
            </w:r>
          </w:p>
        </w:tc>
        <w:tc>
          <w:tcPr>
            <w:tcW w:w="8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r>
      <w:tr>
        <w:trPr>
          <w:trHeight w:val="244"/>
        </w:trPr>
        <w:tc>
          <w:tcPr>
            <w:tcW w:w="5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6.1%</w:t>
            </w:r>
          </w:p>
        </w:tc>
      </w:tr>
      <w:tr>
        <w:trPr>
          <w:trHeight w:val="244"/>
        </w:trPr>
        <w:tc>
          <w:tcPr>
            <w:tcW w:w="5820" w:type="dxa"/>
            <w:vAlign w:val="bottom"/>
            <w:shd w:val="clear" w:color="auto" w:fill="E0E0E0"/>
          </w:tcPr>
          <w:p>
            <w:pPr>
              <w:spacing w:after="0"/>
              <w:rPr>
                <w:sz w:val="21"/>
                <w:szCs w:val="21"/>
                <w:color w:val="auto"/>
              </w:rPr>
            </w:pPr>
          </w:p>
        </w:tc>
        <w:tc>
          <w:tcPr>
            <w:tcW w:w="8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54,693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r>
      <w:tr>
        <w:trPr>
          <w:trHeight w:val="244"/>
        </w:trPr>
        <w:tc>
          <w:tcPr>
            <w:tcW w:w="5820" w:type="dxa"/>
            <w:vAlign w:val="bottom"/>
            <w:shd w:val="clear" w:color="auto" w:fill="E0E0E0"/>
          </w:tcPr>
          <w:p>
            <w:pPr>
              <w:spacing w:after="0"/>
              <w:rPr>
                <w:sz w:val="21"/>
                <w:szCs w:val="21"/>
                <w:color w:val="auto"/>
              </w:rPr>
            </w:pPr>
          </w:p>
        </w:tc>
        <w:tc>
          <w:tcPr>
            <w:tcW w:w="8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540" w:type="dxa"/>
            <w:vAlign w:val="bottom"/>
            <w:shd w:val="clear" w:color="auto" w:fill="E0E0E0"/>
          </w:tcPr>
          <w:p>
            <w:pPr>
              <w:spacing w:after="0"/>
              <w:rPr>
                <w:sz w:val="21"/>
                <w:szCs w:val="21"/>
                <w:color w:val="auto"/>
              </w:rPr>
            </w:pP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4"/>
        </w:trPr>
        <w:tc>
          <w:tcPr>
            <w:tcW w:w="58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Section 162(m) limitation</w:t>
            </w:r>
          </w:p>
        </w:tc>
        <w:tc>
          <w:tcPr>
            <w:tcW w:w="8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540" w:type="dxa"/>
            <w:vAlign w:val="bottom"/>
            <w:shd w:val="clear" w:color="auto" w:fill="E0E0E0"/>
          </w:tcPr>
          <w:p>
            <w:pPr>
              <w:jc w:val="right"/>
              <w:ind w:right="26"/>
              <w:spacing w:after="0"/>
              <w:rPr>
                <w:sz w:val="20"/>
                <w:szCs w:val="20"/>
                <w:color w:val="auto"/>
              </w:rPr>
            </w:pPr>
            <w:r>
              <w:rPr>
                <w:rFonts w:ascii="Times New Roman" w:cs="Times New Roman" w:eastAsia="Times New Roman" w:hAnsi="Times New Roman"/>
                <w:sz w:val="20"/>
                <w:szCs w:val="20"/>
                <w:color w:val="auto"/>
              </w:rPr>
              <w:t>5,222</w:t>
            </w:r>
          </w:p>
        </w:tc>
        <w:tc>
          <w:tcPr>
            <w:tcW w:w="2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44"/>
        </w:trPr>
        <w:tc>
          <w:tcPr>
            <w:tcW w:w="5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Stock-based compensation</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1.3%</w:t>
            </w:r>
          </w:p>
        </w:tc>
      </w:tr>
      <w:tr>
        <w:trPr>
          <w:trHeight w:val="244"/>
        </w:trPr>
        <w:tc>
          <w:tcPr>
            <w:tcW w:w="58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Other</w:t>
            </w:r>
          </w:p>
        </w:tc>
        <w:tc>
          <w:tcPr>
            <w:tcW w:w="8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540" w:type="dxa"/>
            <w:vAlign w:val="bottom"/>
            <w:shd w:val="clear" w:color="auto" w:fill="E0E0E0"/>
          </w:tcPr>
          <w:p>
            <w:pPr>
              <w:jc w:val="right"/>
              <w:ind w:right="26"/>
              <w:spacing w:after="0"/>
              <w:rPr>
                <w:sz w:val="20"/>
                <w:szCs w:val="20"/>
                <w:color w:val="auto"/>
              </w:rPr>
            </w:pPr>
            <w:r>
              <w:rPr>
                <w:rFonts w:ascii="Times New Roman" w:cs="Times New Roman" w:eastAsia="Times New Roman" w:hAnsi="Times New Roman"/>
                <w:sz w:val="20"/>
                <w:szCs w:val="20"/>
                <w:color w:val="auto"/>
              </w:rPr>
              <w:t>417</w:t>
            </w:r>
          </w:p>
        </w:tc>
        <w:tc>
          <w:tcPr>
            <w:tcW w:w="2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44"/>
        </w:trPr>
        <w:tc>
          <w:tcPr>
            <w:tcW w:w="582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9"/>
        </w:trPr>
        <w:tc>
          <w:tcPr>
            <w:tcW w:w="582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820" w:type="dxa"/>
            <w:vAlign w:val="bottom"/>
            <w:tcBorders>
              <w:top w:val="single" w:sz="8" w:color="E0E0E0"/>
              <w:bottom w:val="single" w:sz="8" w:color="E0E0E0"/>
            </w:tcBorders>
            <w:shd w:val="clear" w:color="auto" w:fill="E0E0E0"/>
          </w:tcPr>
          <w:p>
            <w:pPr>
              <w:spacing w:after="0"/>
              <w:rPr>
                <w:sz w:val="22"/>
                <w:szCs w:val="22"/>
                <w:color w:val="auto"/>
              </w:rPr>
            </w:pPr>
          </w:p>
        </w:tc>
        <w:tc>
          <w:tcPr>
            <w:tcW w:w="2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top w:val="single" w:sz="8" w:color="auto"/>
              <w:bottom w:val="single" w:sz="8" w:color="auto"/>
            </w:tcBorders>
            <w:shd w:val="clear" w:color="auto" w:fill="E0E0E0"/>
          </w:tcPr>
          <w:p>
            <w:pPr>
              <w:jc w:val="right"/>
              <w:ind w:right="26"/>
              <w:spacing w:after="0"/>
              <w:rPr>
                <w:sz w:val="20"/>
                <w:szCs w:val="20"/>
                <w:color w:val="auto"/>
              </w:rPr>
            </w:pPr>
            <w:r>
              <w:rPr>
                <w:rFonts w:ascii="Times New Roman" w:cs="Times New Roman" w:eastAsia="Times New Roman" w:hAnsi="Times New Roman"/>
                <w:sz w:val="20"/>
                <w:szCs w:val="20"/>
                <w:color w:val="auto"/>
              </w:rPr>
              <w:t>361</w:t>
            </w:r>
          </w:p>
        </w:tc>
        <w:tc>
          <w:tcPr>
            <w:tcW w:w="220" w:type="dxa"/>
            <w:vAlign w:val="bottom"/>
            <w:tcBorders>
              <w:top w:val="single" w:sz="8" w:color="E0E0E0"/>
              <w:bottom w:val="single" w:sz="8" w:color="E0E0E0"/>
            </w:tcBorders>
            <w:shd w:val="clear" w:color="auto" w:fill="E0E0E0"/>
          </w:tcPr>
          <w:p>
            <w:pPr>
              <w:spacing w:after="0"/>
              <w:rPr>
                <w:sz w:val="22"/>
                <w:szCs w:val="22"/>
                <w:color w:val="auto"/>
              </w:rPr>
            </w:pPr>
          </w:p>
        </w:tc>
        <w:tc>
          <w:tcPr>
            <w:tcW w:w="300" w:type="dxa"/>
            <w:vAlign w:val="bottom"/>
            <w:tcBorders>
              <w:top w:val="single" w:sz="8" w:color="auto"/>
              <w:bottom w:val="single" w:sz="8" w:color="auto"/>
            </w:tcBorders>
            <w:shd w:val="clear" w:color="auto" w:fill="E0E0E0"/>
          </w:tcPr>
          <w:p>
            <w:pPr>
              <w:spacing w:after="0"/>
              <w:rPr>
                <w:sz w:val="22"/>
                <w:szCs w:val="22"/>
                <w:color w:val="auto"/>
              </w:rPr>
            </w:pPr>
          </w:p>
        </w:tc>
        <w:tc>
          <w:tcPr>
            <w:tcW w:w="15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0"/>
        </w:trPr>
        <w:tc>
          <w:tcPr>
            <w:tcW w:w="5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 taxes in Massachusetts made up the majority (greater than 50%) of the tax effect in this category.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previously disclosed for the years ended December 31, 2024 and 2023, prior to the adoption of ASU 2023-09, the effective</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10460"/>
          </w:cols>
          <w:pgMar w:left="900" w:top="930" w:right="880" w:bottom="175"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color w:val="auto"/>
        </w:rPr>
        <w:t>income tax rate differed from the federal statutory income tax rate as follows:</w:t>
      </w:r>
    </w:p>
    <w:p>
      <w:pPr>
        <w:spacing w:after="0" w:line="13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4097655</wp:posOffset>
                </wp:positionH>
                <wp:positionV relativeFrom="paragraph">
                  <wp:posOffset>0</wp:posOffset>
                </wp:positionV>
                <wp:extent cx="253619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61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65pt,0pt" to="522.35pt,0pt" o:allowincell="f" strokecolor="#000000" strokeweight="0.75pt"/>
            </w:pict>
          </mc:Fallback>
        </mc:AlternateContent>
      </w:r>
    </w:p>
    <w:tbl>
      <w:tblPr>
        <w:tblLayout w:type="fixed"/>
        <w:tblInd w:w="0" w:type="dxa"/>
        <w:tblCellMar>
          <w:top w:w="0" w:type="dxa"/>
          <w:left w:w="0" w:type="dxa"/>
          <w:bottom w:w="0" w:type="dxa"/>
          <w:right w:w="0" w:type="dxa"/>
        </w:tblCellMar>
      </w:tblPr>
      <w:tr>
        <w:trPr>
          <w:trHeight w:val="196"/>
        </w:trPr>
        <w:tc>
          <w:tcPr>
            <w:tcW w:w="7500" w:type="dxa"/>
            <w:vAlign w:val="bottom"/>
            <w:gridSpan w:val="2"/>
          </w:tcPr>
          <w:p>
            <w:pPr>
              <w:ind w:left="70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Pr>
          <w:p>
            <w:pPr>
              <w:spacing w:after="0"/>
              <w:rPr>
                <w:sz w:val="17"/>
                <w:szCs w:val="17"/>
                <w:color w:val="auto"/>
              </w:rPr>
            </w:pPr>
          </w:p>
        </w:tc>
        <w:tc>
          <w:tcPr>
            <w:tcW w:w="210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64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1040" w:type="dxa"/>
            <w:vAlign w:val="bottom"/>
            <w:tcBorders>
              <w:top w:val="single" w:sz="8" w:color="auto"/>
            </w:tcBorders>
            <w:shd w:val="clear" w:color="auto" w:fill="E0E0E0"/>
          </w:tcPr>
          <w:p>
            <w:pPr>
              <w:spacing w:after="0"/>
              <w:rPr>
                <w:sz w:val="20"/>
                <w:szCs w:val="20"/>
                <w:color w:val="auto"/>
              </w:rPr>
            </w:pPr>
          </w:p>
        </w:tc>
        <w:tc>
          <w:tcPr>
            <w:tcW w:w="840" w:type="dxa"/>
            <w:vAlign w:val="bottom"/>
            <w:tcBorders>
              <w:top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21.0%</w:t>
            </w:r>
          </w:p>
        </w:tc>
        <w:tc>
          <w:tcPr>
            <w:tcW w:w="240" w:type="dxa"/>
            <w:vAlign w:val="bottom"/>
            <w:tcBorders>
              <w:top w:val="single" w:sz="8" w:color="E0E0E0"/>
            </w:tcBorders>
            <w:shd w:val="clear" w:color="auto" w:fill="E0E0E0"/>
          </w:tcPr>
          <w:p>
            <w:pPr>
              <w:spacing w:after="0"/>
              <w:rPr>
                <w:sz w:val="20"/>
                <w:szCs w:val="20"/>
                <w:color w:val="auto"/>
              </w:rPr>
            </w:pPr>
          </w:p>
        </w:tc>
        <w:tc>
          <w:tcPr>
            <w:tcW w:w="1860" w:type="dxa"/>
            <w:vAlign w:val="bottom"/>
            <w:tcBorders>
              <w:top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21.0%</w:t>
            </w:r>
          </w:p>
        </w:tc>
      </w:tr>
      <w:tr>
        <w:trPr>
          <w:trHeight w:val="244"/>
        </w:trPr>
        <w:tc>
          <w:tcPr>
            <w:tcW w:w="6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104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6.4%</w:t>
            </w:r>
          </w:p>
        </w:tc>
        <w:tc>
          <w:tcPr>
            <w:tcW w:w="240" w:type="dxa"/>
            <w:vAlign w:val="bottom"/>
          </w:tcPr>
          <w:p>
            <w:pPr>
              <w:spacing w:after="0"/>
              <w:rPr>
                <w:sz w:val="21"/>
                <w:szCs w:val="21"/>
                <w:color w:val="auto"/>
              </w:rPr>
            </w:pPr>
          </w:p>
        </w:tc>
        <w:tc>
          <w:tcPr>
            <w:tcW w:w="1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8.0%</w:t>
            </w:r>
          </w:p>
        </w:tc>
      </w:tr>
      <w:tr>
        <w:trPr>
          <w:trHeight w:val="244"/>
        </w:trPr>
        <w:tc>
          <w:tcPr>
            <w:tcW w:w="750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84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12.1%</w:t>
            </w:r>
          </w:p>
        </w:tc>
        <w:tc>
          <w:tcPr>
            <w:tcW w:w="21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4.0%</w:t>
            </w:r>
          </w:p>
        </w:tc>
      </w:tr>
      <w:tr>
        <w:trPr>
          <w:trHeight w:val="244"/>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1.3%</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r>
      <w:tr>
        <w:trPr>
          <w:trHeight w:val="244"/>
        </w:trPr>
        <w:tc>
          <w:tcPr>
            <w:tcW w:w="750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Section 162(m) limitation</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44"/>
        </w:trPr>
        <w:tc>
          <w:tcPr>
            <w:tcW w:w="7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0.1%</w:t>
            </w:r>
          </w:p>
        </w:tc>
      </w:tr>
      <w:tr>
        <w:trPr>
          <w:trHeight w:val="264"/>
        </w:trPr>
        <w:tc>
          <w:tcPr>
            <w:tcW w:w="750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Change in deferred tax asset valuation allowance</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2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(33.6)%</w:t>
            </w:r>
          </w:p>
        </w:tc>
      </w:tr>
      <w:tr>
        <w:trPr>
          <w:trHeight w:val="219"/>
        </w:trPr>
        <w:tc>
          <w:tcPr>
            <w:tcW w:w="646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Effective income tax rate</w:t>
            </w:r>
          </w:p>
        </w:tc>
        <w:tc>
          <w:tcPr>
            <w:tcW w:w="10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(0.3)%</w:t>
            </w:r>
          </w:p>
        </w:tc>
        <w:tc>
          <w:tcPr>
            <w:tcW w:w="240" w:type="dxa"/>
            <w:vAlign w:val="bottom"/>
            <w:tcBorders>
              <w:top w:val="single" w:sz="8" w:color="E0E0E0"/>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0.0%</w:t>
            </w:r>
          </w:p>
        </w:tc>
      </w:tr>
      <w:tr>
        <w:trPr>
          <w:trHeight w:val="20"/>
        </w:trPr>
        <w:tc>
          <w:tcPr>
            <w:tcW w:w="6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Company’s effective income tax rates for the years ended December 31, 2025, 2024 and 2023 were primarily due to state income tax resulting from interest income.</w:t>
      </w:r>
    </w:p>
    <w:p>
      <w:pPr>
        <w:spacing w:after="0" w:line="4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were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tcBorders>
              <w:bottom w:val="single" w:sz="8" w:color="auto"/>
            </w:tcBorders>
          </w:tcPr>
          <w:p>
            <w:pPr>
              <w:spacing w:after="0"/>
              <w:rPr>
                <w:sz w:val="17"/>
                <w:szCs w:val="17"/>
                <w:color w:val="auto"/>
              </w:rPr>
            </w:pPr>
          </w:p>
        </w:tc>
      </w:tr>
      <w:tr>
        <w:trPr>
          <w:trHeight w:val="193"/>
        </w:trPr>
        <w:tc>
          <w:tcPr>
            <w:tcW w:w="65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0E0E0"/>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65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146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500" w:type="dxa"/>
            <w:vAlign w:val="bottom"/>
            <w:shd w:val="clear" w:color="auto" w:fill="E0E0E0"/>
          </w:tcPr>
          <w:p>
            <w:pPr>
              <w:spacing w:after="0"/>
              <w:rPr>
                <w:sz w:val="20"/>
                <w:szCs w:val="20"/>
                <w:color w:val="auto"/>
              </w:rPr>
            </w:pPr>
          </w:p>
        </w:tc>
        <w:tc>
          <w:tcPr>
            <w:tcW w:w="1320" w:type="dxa"/>
            <w:vAlign w:val="bottom"/>
            <w:shd w:val="clear" w:color="auto" w:fill="E0E0E0"/>
          </w:tcPr>
          <w:p>
            <w:pPr>
              <w:spacing w:after="0"/>
              <w:rPr>
                <w:sz w:val="20"/>
                <w:szCs w:val="20"/>
                <w:color w:val="auto"/>
              </w:rPr>
            </w:pPr>
          </w:p>
        </w:tc>
      </w:tr>
      <w:tr>
        <w:trPr>
          <w:trHeight w:val="244"/>
        </w:trPr>
        <w:tc>
          <w:tcPr>
            <w:tcW w:w="6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0" w:type="dxa"/>
            <w:vAlign w:val="bottom"/>
          </w:tcPr>
          <w:p>
            <w:pPr>
              <w:spacing w:after="0"/>
              <w:rPr>
                <w:sz w:val="21"/>
                <w:szCs w:val="21"/>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92,780</w:t>
            </w:r>
          </w:p>
        </w:tc>
        <w:tc>
          <w:tcPr>
            <w:tcW w:w="240" w:type="dxa"/>
            <w:vAlign w:val="bottom"/>
          </w:tcPr>
          <w:p>
            <w:pPr>
              <w:spacing w:after="0"/>
              <w:rPr>
                <w:sz w:val="21"/>
                <w:szCs w:val="21"/>
                <w:color w:val="auto"/>
              </w:rPr>
            </w:pPr>
          </w:p>
        </w:tc>
        <w:tc>
          <w:tcPr>
            <w:tcW w:w="5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33,209</w:t>
            </w:r>
          </w:p>
        </w:tc>
      </w:tr>
      <w:tr>
        <w:trPr>
          <w:trHeight w:val="244"/>
        </w:trPr>
        <w:tc>
          <w:tcPr>
            <w:tcW w:w="6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Tax credits</w:t>
            </w:r>
          </w:p>
        </w:tc>
        <w:tc>
          <w:tcPr>
            <w:tcW w:w="2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146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35,640</w:t>
            </w:r>
          </w:p>
        </w:tc>
        <w:tc>
          <w:tcPr>
            <w:tcW w:w="24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132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21,248</w:t>
            </w:r>
          </w:p>
        </w:tc>
      </w:tr>
      <w:tr>
        <w:trPr>
          <w:trHeight w:val="244"/>
        </w:trPr>
        <w:tc>
          <w:tcPr>
            <w:tcW w:w="6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experimental expenditures</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29,699</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39,463</w:t>
            </w:r>
          </w:p>
        </w:tc>
      </w:tr>
      <w:tr>
        <w:trPr>
          <w:trHeight w:val="244"/>
        </w:trPr>
        <w:tc>
          <w:tcPr>
            <w:tcW w:w="6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Capitalized licenses</w:t>
            </w:r>
          </w:p>
        </w:tc>
        <w:tc>
          <w:tcPr>
            <w:tcW w:w="2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146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12,190</w:t>
            </w:r>
          </w:p>
        </w:tc>
        <w:tc>
          <w:tcPr>
            <w:tcW w:w="24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132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6,225</w:t>
            </w:r>
          </w:p>
        </w:tc>
      </w:tr>
      <w:tr>
        <w:trPr>
          <w:trHeight w:val="244"/>
        </w:trPr>
        <w:tc>
          <w:tcPr>
            <w:tcW w:w="6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7,309</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3,407</w:t>
            </w:r>
          </w:p>
        </w:tc>
      </w:tr>
      <w:tr>
        <w:trPr>
          <w:trHeight w:val="244"/>
        </w:trPr>
        <w:tc>
          <w:tcPr>
            <w:tcW w:w="6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2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146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857</w:t>
            </w:r>
          </w:p>
        </w:tc>
        <w:tc>
          <w:tcPr>
            <w:tcW w:w="24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132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1,137</w:t>
            </w:r>
          </w:p>
        </w:tc>
      </w:tr>
      <w:tr>
        <w:trPr>
          <w:trHeight w:val="244"/>
        </w:trPr>
        <w:tc>
          <w:tcPr>
            <w:tcW w:w="65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0" w:type="dxa"/>
            <w:vAlign w:val="bottom"/>
            <w:tcBorders>
              <w:bottom w:val="single" w:sz="8" w:color="E0E0E0"/>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492</w:t>
            </w:r>
          </w:p>
        </w:tc>
        <w:tc>
          <w:tcPr>
            <w:tcW w:w="240" w:type="dxa"/>
            <w:vAlign w:val="bottom"/>
            <w:tcBorders>
              <w:bottom w:val="single" w:sz="8" w:color="E0E0E0"/>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447</w:t>
            </w:r>
          </w:p>
        </w:tc>
      </w:tr>
      <w:tr>
        <w:trPr>
          <w:trHeight w:val="239"/>
        </w:trPr>
        <w:tc>
          <w:tcPr>
            <w:tcW w:w="6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1460" w:type="dxa"/>
            <w:vAlign w:val="bottom"/>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178,967</w:t>
            </w:r>
          </w:p>
        </w:tc>
        <w:tc>
          <w:tcPr>
            <w:tcW w:w="240" w:type="dxa"/>
            <w:vAlign w:val="bottom"/>
            <w:shd w:val="clear" w:color="auto" w:fill="E0E0E0"/>
          </w:tcPr>
          <w:p>
            <w:pPr>
              <w:spacing w:after="0"/>
              <w:rPr>
                <w:sz w:val="20"/>
                <w:szCs w:val="20"/>
                <w:color w:val="auto"/>
              </w:rPr>
            </w:pPr>
          </w:p>
        </w:tc>
        <w:tc>
          <w:tcPr>
            <w:tcW w:w="500" w:type="dxa"/>
            <w:vAlign w:val="bottom"/>
            <w:shd w:val="clear" w:color="auto" w:fill="E0E0E0"/>
          </w:tcPr>
          <w:p>
            <w:pPr>
              <w:spacing w:after="0"/>
              <w:rPr>
                <w:sz w:val="20"/>
                <w:szCs w:val="20"/>
                <w:color w:val="auto"/>
              </w:rPr>
            </w:pPr>
          </w:p>
        </w:tc>
        <w:tc>
          <w:tcPr>
            <w:tcW w:w="132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105,136</w:t>
            </w:r>
          </w:p>
        </w:tc>
      </w:tr>
      <w:tr>
        <w:trPr>
          <w:trHeight w:val="244"/>
        </w:trPr>
        <w:tc>
          <w:tcPr>
            <w:tcW w:w="65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Borders>
              <w:bottom w:val="single" w:sz="8" w:color="E0E0E0"/>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(178,486)</w:t>
            </w:r>
          </w:p>
        </w:tc>
        <w:tc>
          <w:tcPr>
            <w:tcW w:w="240" w:type="dxa"/>
            <w:vAlign w:val="bottom"/>
            <w:tcBorders>
              <w:bottom w:val="single" w:sz="8" w:color="E0E0E0"/>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(104,670)</w:t>
            </w:r>
          </w:p>
        </w:tc>
      </w:tr>
      <w:tr>
        <w:trPr>
          <w:trHeight w:val="259"/>
        </w:trPr>
        <w:tc>
          <w:tcPr>
            <w:tcW w:w="65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20" w:type="dxa"/>
            <w:vAlign w:val="bottom"/>
            <w:tcBorders>
              <w:bottom w:val="single" w:sz="8" w:color="E0E0E0"/>
            </w:tcBorders>
            <w:shd w:val="clear" w:color="auto" w:fill="E0E0E0"/>
          </w:tcPr>
          <w:p>
            <w:pPr>
              <w:spacing w:after="0"/>
              <w:rPr>
                <w:sz w:val="22"/>
                <w:szCs w:val="22"/>
                <w:color w:val="auto"/>
              </w:rPr>
            </w:pPr>
          </w:p>
        </w:tc>
        <w:tc>
          <w:tcPr>
            <w:tcW w:w="380" w:type="dxa"/>
            <w:vAlign w:val="bottom"/>
            <w:tcBorders>
              <w:bottom w:val="single" w:sz="8" w:color="auto"/>
            </w:tcBorders>
            <w:shd w:val="clear" w:color="auto" w:fill="E0E0E0"/>
          </w:tcPr>
          <w:p>
            <w:pPr>
              <w:spacing w:after="0"/>
              <w:rPr>
                <w:sz w:val="22"/>
                <w:szCs w:val="22"/>
                <w:color w:val="auto"/>
              </w:rPr>
            </w:pPr>
          </w:p>
        </w:tc>
        <w:tc>
          <w:tcPr>
            <w:tcW w:w="1460" w:type="dxa"/>
            <w:vAlign w:val="bottom"/>
            <w:tcBorders>
              <w:bottom w:val="single" w:sz="8" w:color="auto"/>
            </w:tcBorders>
            <w:shd w:val="clear" w:color="auto" w:fill="E0E0E0"/>
          </w:tcPr>
          <w:p>
            <w:pPr>
              <w:jc w:val="right"/>
              <w:ind w:right="23"/>
              <w:spacing w:after="0"/>
              <w:rPr>
                <w:sz w:val="20"/>
                <w:szCs w:val="20"/>
                <w:color w:val="auto"/>
              </w:rPr>
            </w:pPr>
            <w:r>
              <w:rPr>
                <w:rFonts w:ascii="Times New Roman" w:cs="Times New Roman" w:eastAsia="Times New Roman" w:hAnsi="Times New Roman"/>
                <w:sz w:val="20"/>
                <w:szCs w:val="20"/>
                <w:color w:val="auto"/>
              </w:rPr>
              <w:t>481</w:t>
            </w:r>
          </w:p>
        </w:tc>
        <w:tc>
          <w:tcPr>
            <w:tcW w:w="240" w:type="dxa"/>
            <w:vAlign w:val="bottom"/>
            <w:tcBorders>
              <w:bottom w:val="single" w:sz="8" w:color="E0E0E0"/>
            </w:tcBorders>
            <w:shd w:val="clear" w:color="auto" w:fill="E0E0E0"/>
          </w:tcPr>
          <w:p>
            <w:pPr>
              <w:spacing w:after="0"/>
              <w:rPr>
                <w:sz w:val="22"/>
                <w:szCs w:val="22"/>
                <w:color w:val="auto"/>
              </w:rPr>
            </w:pPr>
          </w:p>
        </w:tc>
        <w:tc>
          <w:tcPr>
            <w:tcW w:w="500" w:type="dxa"/>
            <w:vAlign w:val="bottom"/>
            <w:tcBorders>
              <w:bottom w:val="single" w:sz="8" w:color="auto"/>
            </w:tcBorders>
            <w:shd w:val="clear" w:color="auto" w:fill="E0E0E0"/>
          </w:tcPr>
          <w:p>
            <w:pPr>
              <w:spacing w:after="0"/>
              <w:rPr>
                <w:sz w:val="22"/>
                <w:szCs w:val="22"/>
                <w:color w:val="auto"/>
              </w:rPr>
            </w:pPr>
          </w:p>
        </w:tc>
        <w:tc>
          <w:tcPr>
            <w:tcW w:w="1320" w:type="dxa"/>
            <w:vAlign w:val="bottom"/>
            <w:tcBorders>
              <w:bottom w:val="single" w:sz="8" w:color="auto"/>
            </w:tcBorders>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auto"/>
              </w:rPr>
              <w:t>466</w:t>
            </w:r>
          </w:p>
        </w:tc>
      </w:tr>
      <w:tr>
        <w:trPr>
          <w:trHeight w:val="219"/>
        </w:trPr>
        <w:tc>
          <w:tcPr>
            <w:tcW w:w="65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4"/>
        </w:trPr>
        <w:tc>
          <w:tcPr>
            <w:tcW w:w="6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0" w:type="dxa"/>
            <w:vAlign w:val="bottom"/>
            <w:shd w:val="clear" w:color="auto" w:fill="E0E0E0"/>
          </w:tcPr>
          <w:p>
            <w:pPr>
              <w:spacing w:after="0"/>
              <w:rPr>
                <w:sz w:val="21"/>
                <w:szCs w:val="21"/>
                <w:color w:val="auto"/>
              </w:rPr>
            </w:pPr>
          </w:p>
        </w:tc>
        <w:tc>
          <w:tcPr>
            <w:tcW w:w="380" w:type="dxa"/>
            <w:vAlign w:val="bottom"/>
            <w:shd w:val="clear" w:color="auto" w:fill="E0E0E0"/>
          </w:tcPr>
          <w:p>
            <w:pPr>
              <w:spacing w:after="0"/>
              <w:rPr>
                <w:sz w:val="21"/>
                <w:szCs w:val="21"/>
                <w:color w:val="auto"/>
              </w:rPr>
            </w:pPr>
          </w:p>
        </w:tc>
        <w:tc>
          <w:tcPr>
            <w:tcW w:w="1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240" w:type="dxa"/>
            <w:vAlign w:val="bottom"/>
            <w:shd w:val="clear" w:color="auto" w:fill="E0E0E0"/>
          </w:tcPr>
          <w:p>
            <w:pPr>
              <w:spacing w:after="0"/>
              <w:rPr>
                <w:sz w:val="21"/>
                <w:szCs w:val="21"/>
                <w:color w:val="auto"/>
              </w:rPr>
            </w:pPr>
          </w:p>
        </w:tc>
        <w:tc>
          <w:tcPr>
            <w:tcW w:w="500" w:type="dxa"/>
            <w:vAlign w:val="bottom"/>
            <w:shd w:val="clear" w:color="auto" w:fill="E0E0E0"/>
          </w:tcPr>
          <w:p>
            <w:pPr>
              <w:spacing w:after="0"/>
              <w:rPr>
                <w:sz w:val="21"/>
                <w:szCs w:val="21"/>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(418)</w:t>
            </w:r>
          </w:p>
        </w:tc>
      </w:tr>
      <w:tr>
        <w:trPr>
          <w:trHeight w:val="244"/>
        </w:trPr>
        <w:tc>
          <w:tcPr>
            <w:tcW w:w="65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20" w:type="dxa"/>
            <w:vAlign w:val="bottom"/>
            <w:tcBorders>
              <w:bottom w:val="single" w:sz="8" w:color="E0E0E0"/>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240" w:type="dxa"/>
            <w:vAlign w:val="bottom"/>
            <w:tcBorders>
              <w:bottom w:val="single" w:sz="8" w:color="E0E0E0"/>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9"/>
        </w:trPr>
        <w:tc>
          <w:tcPr>
            <w:tcW w:w="652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0" w:type="dxa"/>
            <w:vAlign w:val="bottom"/>
            <w:tcBorders>
              <w:bottom w:val="single" w:sz="8" w:color="E0E0E0"/>
            </w:tcBorders>
            <w:shd w:val="clear" w:color="auto" w:fill="E0E0E0"/>
          </w:tcPr>
          <w:p>
            <w:pPr>
              <w:spacing w:after="0"/>
              <w:rPr>
                <w:sz w:val="22"/>
                <w:szCs w:val="22"/>
                <w:color w:val="auto"/>
              </w:rPr>
            </w:pPr>
          </w:p>
        </w:tc>
        <w:tc>
          <w:tcPr>
            <w:tcW w:w="380" w:type="dxa"/>
            <w:vAlign w:val="bottom"/>
            <w:tcBorders>
              <w:bottom w:val="single" w:sz="8" w:color="auto"/>
            </w:tcBorders>
            <w:shd w:val="clear" w:color="auto" w:fill="E0E0E0"/>
          </w:tcPr>
          <w:p>
            <w:pPr>
              <w:spacing w:after="0"/>
              <w:rPr>
                <w:sz w:val="22"/>
                <w:szCs w:val="22"/>
                <w:color w:val="auto"/>
              </w:rPr>
            </w:pPr>
          </w:p>
        </w:tc>
        <w:tc>
          <w:tcPr>
            <w:tcW w:w="1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240" w:type="dxa"/>
            <w:vAlign w:val="bottom"/>
            <w:tcBorders>
              <w:bottom w:val="single" w:sz="8" w:color="E0E0E0"/>
            </w:tcBorders>
            <w:shd w:val="clear" w:color="auto" w:fill="E0E0E0"/>
          </w:tcPr>
          <w:p>
            <w:pPr>
              <w:spacing w:after="0"/>
              <w:rPr>
                <w:sz w:val="22"/>
                <w:szCs w:val="22"/>
                <w:color w:val="auto"/>
              </w:rPr>
            </w:pPr>
          </w:p>
        </w:tc>
        <w:tc>
          <w:tcPr>
            <w:tcW w:w="500" w:type="dxa"/>
            <w:vAlign w:val="bottom"/>
            <w:tcBorders>
              <w:bottom w:val="single" w:sz="8" w:color="auto"/>
            </w:tcBorders>
            <w:shd w:val="clear" w:color="auto" w:fill="E0E0E0"/>
          </w:tcPr>
          <w:p>
            <w:pPr>
              <w:spacing w:after="0"/>
              <w:rPr>
                <w:sz w:val="22"/>
                <w:szCs w:val="22"/>
                <w:color w:val="auto"/>
              </w:rPr>
            </w:pPr>
          </w:p>
        </w:tc>
        <w:tc>
          <w:tcPr>
            <w:tcW w:w="13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(466)</w:t>
            </w:r>
          </w:p>
        </w:tc>
      </w:tr>
      <w:tr>
        <w:trPr>
          <w:trHeight w:val="219"/>
        </w:trPr>
        <w:tc>
          <w:tcPr>
            <w:tcW w:w="65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deferred tax assets</w:t>
            </w: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23"/>
              <w:spacing w:after="0" w:line="219"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ind w:right="1"/>
              <w:spacing w:after="0" w:line="219"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income tax provision for the year ended December 31, 2025 related to state income taxes.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2025, the valuation allowance increased by $73.8 million primarily due to the increase in the Company’s net operating loss, tax credit carryforwards as a result of current year operations and the acquisition of a privately held company during the period. During the years ended December 31, 2024 and 2023, the valuation allowance increased by $42.9 million and $25.7 million, respectively.</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of December 31, 2025, the Company had $342.9 million and $331.8 million of federal and state net operating loss ("NOL") carryforwards, respectively. Substantially all of the federal NOL carryforwards are not subject to expiration and the state NOL carryforwards begin to expire in 2037. These loss carryforwards are available to reduce future federal and state taxable income, if any. As of December 31, 2025, the Company also had federal and state research and development tax credit carryforwards of $32.1 million and $4.3 million respectively, to offset future income taxes, which will begin to expire in 2037. These loss carryforwards are subject to review and possible adjustment by the appropriate taxing authorities.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w:t>
      </w:r>
    </w:p>
    <w:p>
      <w:pPr>
        <w:sectPr>
          <w:pgSz w:w="12240" w:h="15840" w:orient="portrait"/>
          <w:cols w:equalWidth="0" w:num="1">
            <w:col w:w="10460"/>
          </w:cols>
          <w:pgMar w:left="900" w:top="930" w:right="880" w:bottom="175"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10460"/>
          </w:cols>
          <w:pgMar w:left="900" w:top="930" w:right="880" w:bottom="175" w:gutter="0" w:footer="0" w:header="0"/>
          <w:type w:val="continuous"/>
        </w:sectPr>
      </w:pPr>
    </w:p>
    <w:bookmarkStart w:id="146" w:name="page147"/>
    <w:bookmarkEnd w:id="146"/>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has raised capital through the issuance of capital stock on several occasions. These financings could result in a change of control as defined by Section 382. The Company has also completed acquisitions of loss companies, and the associated acquired tax attributes would be further restricted by ownership changes that have occurred. The Company has not yet conducted an analysis under Section 382 to determine if historical changes in ownership through December 31, 2025, would limit or otherwise restrict its ability to utilize its NOL and research and development credit carryforwards. In addition, future changes in ownership occurring after December 31, 2025 could affect the limitation in future years, and any limitation may result in expiration of a portion of the NOL or research and development credit carryforwards before utilization.</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Among other provisions, this act permanently extended and modified certain expiring provisions of the 2017 Tax Cuts and Jobs Act and restored the immediate expensing of domestic research and development expenses. The Company has evaluated the impacts of these provisions and has concluded the OBBBA does not have a material impact on its consolidated financial statements.</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Company follows the provisions of ASC Topic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2025 and 2024,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2025 and 2024, the Company had no reserves for uncertain tax positions. For the years ended December 31, 2025, 2024 and 2023, no estimated interest or penalties were recognized on uncertain tax positions.</w:t>
      </w:r>
    </w:p>
    <w:p>
      <w:pPr>
        <w:spacing w:after="0" w:line="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files federal income tax returns in the United States, the Netherlands and Australia and state income tax returns in Massachusetts and various other state jurisdictions. The Company’s tax returns for the years ended December 31, 2022 to December 31, 2025 remain open and subject to examination by the Internal Revenue Service and state taxing authorities.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Basic and diluted net loss per share is computed by dividing net loss by the weighted -average common shares outstanding. The weighted-average common shares outstanding used in the basic and diluted net loss per share calculation includes pre-funded warrants issued in connection with the Company’s underwritten offerings. As of December 31, 2025, 2024 and 2023, 445,422, 204,081, and 204,081 pre-funded warrants were outstanding, respectively.</w:t>
      </w:r>
    </w:p>
    <w:p>
      <w:pPr>
        <w:spacing w:after="0" w:line="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computation of the Company’s basic and diluted net loss per share (in thousands, except share and per share data):</w:t>
      </w:r>
    </w:p>
    <w:p>
      <w:pPr>
        <w:spacing w:after="0" w:line="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-17780</wp:posOffset>
            </wp:positionV>
            <wp:extent cx="282384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6">
                      <a:extLst>
                        <a:ext uri="{28A0092B-C50C-407E-A947-70E740481C1C}"/>
                      </a:extLst>
                    </a:blip>
                    <a:srcRect/>
                    <a:stretch>
                      <a:fillRect/>
                    </a:stretch>
                  </pic:blipFill>
                  <pic:spPr bwMode="auto">
                    <a:xfrm>
                      <a:off x="0" y="0"/>
                      <a:ext cx="282384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604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6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shd w:val="clear" w:color="auto" w:fill="E0E0E0"/>
          </w:tcPr>
          <w:p>
            <w:pPr>
              <w:spacing w:after="0"/>
              <w:rPr>
                <w:sz w:val="20"/>
                <w:szCs w:val="20"/>
                <w:color w:val="auto"/>
              </w:rPr>
            </w:pPr>
          </w:p>
        </w:tc>
        <w:tc>
          <w:tcPr>
            <w:tcW w:w="114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14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44"/>
        </w:trPr>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(212,184)</w:t>
            </w:r>
          </w:p>
        </w:tc>
        <w:tc>
          <w:tcPr>
            <w:tcW w:w="16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(109,357)</w:t>
            </w:r>
          </w:p>
        </w:tc>
        <w:tc>
          <w:tcPr>
            <w:tcW w:w="18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(76,429)</w:t>
            </w:r>
          </w:p>
        </w:tc>
      </w:tr>
      <w:tr>
        <w:trPr>
          <w:trHeight w:val="244"/>
        </w:trPr>
        <w:tc>
          <w:tcPr>
            <w:tcW w:w="6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shd w:val="clear" w:color="auto" w:fill="E0E0E0"/>
          </w:tcPr>
          <w:p>
            <w:pPr>
              <w:spacing w:after="0"/>
              <w:rPr>
                <w:sz w:val="21"/>
                <w:szCs w:val="21"/>
                <w:color w:val="auto"/>
              </w:rPr>
            </w:pPr>
          </w:p>
        </w:tc>
        <w:tc>
          <w:tcPr>
            <w:tcW w:w="114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14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120" w:type="dxa"/>
            <w:vAlign w:val="bottom"/>
            <w:shd w:val="clear" w:color="auto" w:fill="E0E0E0"/>
          </w:tcPr>
          <w:p>
            <w:pPr>
              <w:spacing w:after="0"/>
              <w:rPr>
                <w:sz w:val="21"/>
                <w:szCs w:val="21"/>
                <w:color w:val="auto"/>
              </w:rPr>
            </w:pPr>
          </w:p>
        </w:tc>
      </w:tr>
      <w:tr>
        <w:trPr>
          <w:trHeight w:val="244"/>
        </w:trPr>
        <w:tc>
          <w:tcPr>
            <w:tcW w:w="60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Weighted-average common shares outstanding, basic and diluted</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35,295,663</w:t>
            </w:r>
          </w:p>
        </w:tc>
        <w:tc>
          <w:tcPr>
            <w:tcW w:w="16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27,606,022</w:t>
            </w:r>
          </w:p>
        </w:tc>
        <w:tc>
          <w:tcPr>
            <w:tcW w:w="18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22,315,877</w:t>
            </w:r>
          </w:p>
        </w:tc>
      </w:tr>
      <w:tr>
        <w:trPr>
          <w:trHeight w:val="239"/>
        </w:trPr>
        <w:tc>
          <w:tcPr>
            <w:tcW w:w="6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2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160" w:type="dxa"/>
            <w:vAlign w:val="bottom"/>
            <w:shd w:val="clear" w:color="auto" w:fill="E0E0E0"/>
          </w:tcPr>
          <w:p>
            <w:pPr>
              <w:spacing w:after="0"/>
              <w:rPr>
                <w:sz w:val="20"/>
                <w:szCs w:val="20"/>
                <w:color w:val="auto"/>
              </w:rPr>
            </w:pPr>
          </w:p>
        </w:tc>
        <w:tc>
          <w:tcPr>
            <w:tcW w:w="22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180" w:type="dxa"/>
            <w:vAlign w:val="bottom"/>
            <w:shd w:val="clear" w:color="auto" w:fill="E0E0E0"/>
          </w:tcPr>
          <w:p>
            <w:pPr>
              <w:spacing w:after="0"/>
              <w:rPr>
                <w:sz w:val="20"/>
                <w:szCs w:val="20"/>
                <w:color w:val="auto"/>
              </w:rPr>
            </w:pPr>
          </w:p>
        </w:tc>
        <w:tc>
          <w:tcPr>
            <w:tcW w:w="22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(3.42)</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has generated a net loss in all periods presented, so the basic and diluted net loss per share are the same, as the inclusion of the potentially dilutive securities would be anti-dilutive. As of December 31, 2025, 2024 and 2023, the Company excluded the following potential common shares from the computation of diluted net loss per share because including them would have had an anti-dilutive effect: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3"/>
        </w:trPr>
        <w:tc>
          <w:tcPr>
            <w:tcW w:w="5960" w:type="dxa"/>
            <w:vAlign w:val="bottom"/>
          </w:tcPr>
          <w:p>
            <w:pPr>
              <w:spacing w:after="0"/>
              <w:rPr>
                <w:sz w:val="16"/>
                <w:szCs w:val="16"/>
                <w:color w:val="auto"/>
              </w:rPr>
            </w:pPr>
          </w:p>
        </w:tc>
        <w:tc>
          <w:tcPr>
            <w:tcW w:w="1400" w:type="dxa"/>
            <w:vAlign w:val="bottom"/>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r>
      <w:tr>
        <w:trPr>
          <w:trHeight w:val="239"/>
        </w:trPr>
        <w:tc>
          <w:tcPr>
            <w:tcW w:w="59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400" w:type="dxa"/>
            <w:vAlign w:val="bottom"/>
            <w:tcBorders>
              <w:top w:val="single" w:sz="8" w:color="auto"/>
            </w:tcBorders>
            <w:shd w:val="clear" w:color="auto" w:fill="E0E0E0"/>
          </w:tcPr>
          <w:p>
            <w:pPr>
              <w:jc w:val="right"/>
              <w:ind w:right="25"/>
              <w:spacing w:after="0"/>
              <w:rPr>
                <w:sz w:val="20"/>
                <w:szCs w:val="20"/>
                <w:color w:val="auto"/>
              </w:rPr>
            </w:pPr>
            <w:r>
              <w:rPr>
                <w:rFonts w:ascii="Times New Roman" w:cs="Times New Roman" w:eastAsia="Times New Roman" w:hAnsi="Times New Roman"/>
                <w:sz w:val="20"/>
                <w:szCs w:val="20"/>
                <w:color w:val="auto"/>
              </w:rPr>
              <w:t>3,269,290</w:t>
            </w:r>
          </w:p>
        </w:tc>
        <w:tc>
          <w:tcPr>
            <w:tcW w:w="160" w:type="dxa"/>
            <w:vAlign w:val="bottom"/>
            <w:tcBorders>
              <w:top w:val="single" w:sz="8" w:color="E0E0E0"/>
            </w:tcBorders>
            <w:shd w:val="clear" w:color="auto" w:fill="E0E0E0"/>
          </w:tcPr>
          <w:p>
            <w:pPr>
              <w:spacing w:after="0"/>
              <w:rPr>
                <w:sz w:val="20"/>
                <w:szCs w:val="20"/>
                <w:color w:val="auto"/>
              </w:rPr>
            </w:pPr>
          </w:p>
        </w:tc>
        <w:tc>
          <w:tcPr>
            <w:tcW w:w="1400" w:type="dxa"/>
            <w:vAlign w:val="bottom"/>
            <w:tcBorders>
              <w:top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2,870,364</w:t>
            </w:r>
          </w:p>
        </w:tc>
        <w:tc>
          <w:tcPr>
            <w:tcW w:w="180" w:type="dxa"/>
            <w:vAlign w:val="bottom"/>
            <w:tcBorders>
              <w:top w:val="single" w:sz="8" w:color="E0E0E0"/>
            </w:tcBorders>
            <w:shd w:val="clear" w:color="auto" w:fill="E0E0E0"/>
          </w:tcPr>
          <w:p>
            <w:pPr>
              <w:spacing w:after="0"/>
              <w:rPr>
                <w:sz w:val="20"/>
                <w:szCs w:val="20"/>
                <w:color w:val="auto"/>
              </w:rPr>
            </w:pPr>
          </w:p>
        </w:tc>
        <w:tc>
          <w:tcPr>
            <w:tcW w:w="12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2,459,037</w:t>
            </w:r>
          </w:p>
        </w:tc>
        <w:tc>
          <w:tcPr>
            <w:tcW w:w="60" w:type="dxa"/>
            <w:vAlign w:val="bottom"/>
            <w:tcBorders>
              <w:top w:val="single" w:sz="8" w:color="auto"/>
            </w:tcBorders>
            <w:shd w:val="clear" w:color="auto" w:fill="E0E0E0"/>
          </w:tcPr>
          <w:p>
            <w:pPr>
              <w:spacing w:after="0"/>
              <w:rPr>
                <w:sz w:val="20"/>
                <w:szCs w:val="20"/>
                <w:color w:val="auto"/>
              </w:rPr>
            </w:pPr>
          </w:p>
        </w:tc>
      </w:tr>
      <w:tr>
        <w:trPr>
          <w:trHeight w:val="244"/>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4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1,142,445</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475,140</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Employee stock purchase program</w:t>
            </w:r>
          </w:p>
        </w:tc>
        <w:tc>
          <w:tcPr>
            <w:tcW w:w="1400" w:type="dxa"/>
            <w:vAlign w:val="bottom"/>
            <w:shd w:val="clear" w:color="auto" w:fill="E0E0E0"/>
          </w:tcPr>
          <w:p>
            <w:pPr>
              <w:jc w:val="right"/>
              <w:ind w:right="25"/>
              <w:spacing w:after="0"/>
              <w:rPr>
                <w:sz w:val="20"/>
                <w:szCs w:val="20"/>
                <w:color w:val="auto"/>
              </w:rPr>
            </w:pPr>
            <w:r>
              <w:rPr>
                <w:rFonts w:ascii="Times New Roman" w:cs="Times New Roman" w:eastAsia="Times New Roman" w:hAnsi="Times New Roman"/>
                <w:sz w:val="20"/>
                <w:szCs w:val="20"/>
                <w:color w:val="auto"/>
              </w:rPr>
              <w:t>13,866</w:t>
            </w:r>
          </w:p>
        </w:tc>
        <w:tc>
          <w:tcPr>
            <w:tcW w:w="15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9,003</w:t>
            </w:r>
          </w:p>
        </w:tc>
        <w:tc>
          <w:tcPr>
            <w:tcW w:w="14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4,878</w:t>
            </w:r>
          </w:p>
        </w:tc>
        <w:tc>
          <w:tcPr>
            <w:tcW w:w="60" w:type="dxa"/>
            <w:vAlign w:val="bottom"/>
            <w:shd w:val="clear" w:color="auto" w:fill="E0E0E0"/>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-623570</wp:posOffset>
            </wp:positionV>
            <wp:extent cx="28467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7">
                      <a:extLst>
                        <a:ext uri="{28A0092B-C50C-407E-A947-70E740481C1C}"/>
                      </a:extLst>
                    </a:blip>
                    <a:srcRect/>
                    <a:stretch>
                      <a:fillRect/>
                    </a:stretch>
                  </pic:blipFill>
                  <pic:spPr bwMode="auto">
                    <a:xfrm>
                      <a:off x="0" y="0"/>
                      <a:ext cx="2846705" cy="38100"/>
                    </a:xfrm>
                    <a:prstGeom prst="rect">
                      <a:avLst/>
                    </a:prstGeom>
                    <a:noFill/>
                  </pic:spPr>
                </pic:pic>
              </a:graphicData>
            </a:graphic>
          </wp:anchor>
        </w:drawing>
      </w:r>
    </w:p>
    <w:p>
      <w:pPr>
        <w:sectPr>
          <w:pgSz w:w="12240" w:h="15840" w:orient="portrait"/>
          <w:cols w:equalWidth="0" w:num="1">
            <w:col w:w="10460"/>
          </w:cols>
          <w:pgMar w:left="900" w:top="930" w:right="880" w:bottom="175"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10460"/>
          </w:cols>
          <w:pgMar w:left="900" w:top="930" w:right="880" w:bottom="175" w:gutter="0" w:footer="0" w:header="0"/>
          <w:type w:val="continuous"/>
        </w:sectPr>
      </w:pPr>
    </w:p>
    <w:bookmarkStart w:id="147" w:name="page148"/>
    <w:bookmarkEnd w:id="147"/>
    <w:p>
      <w:pPr>
        <w:ind w:left="7"/>
        <w:spacing w:after="0"/>
        <w:rPr>
          <w:sz w:val="20"/>
          <w:szCs w:val="20"/>
          <w:color w:val="auto"/>
        </w:rPr>
      </w:pPr>
      <w:r>
        <w:rPr>
          <w:rFonts w:ascii="Times New Roman" w:cs="Times New Roman" w:eastAsia="Times New Roman" w:hAnsi="Times New Roman"/>
          <w:sz w:val="20"/>
          <w:szCs w:val="20"/>
          <w:b w:val="1"/>
          <w:bCs w:val="1"/>
          <w:color w:val="auto"/>
        </w:rPr>
        <w:t>13. Segment Information</w:t>
      </w:r>
    </w:p>
    <w:p>
      <w:pPr>
        <w:spacing w:after="0" w:line="124"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20"/>
          <w:szCs w:val="20"/>
          <w:color w:val="auto"/>
        </w:rPr>
        <w:t>The Company manages its operations as a single operating segment for the purposes of assessing performance and making operating decisions,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spacing w:after="0" w:line="74"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20"/>
          <w:szCs w:val="20"/>
          <w:color w:val="auto"/>
        </w:rPr>
        <w:t>The Company has assembled a portfolio of clinical and preclinical product candidates that aim to modify fundamental biological pathways associated with the formation and function of red blood cells, specifically heme biosynthesis and iron homeostasis. The Company has not generated any revenue since its inception. The Company primarily incurs expenses in connection with the research and development of its product candidates as well as selling, general and administrative costs consisting of salaries and related costs for personnel in executive, finance, commercial, corporate and business development, and administrative functions, as well as legal, consulting, commercial planning, market research and professional fees.</w:t>
      </w:r>
    </w:p>
    <w:p>
      <w:pPr>
        <w:spacing w:after="0" w:line="80"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20"/>
          <w:szCs w:val="20"/>
          <w:color w:val="auto"/>
        </w:rPr>
        <w:t>The key measure of segment profit or loss that the CODM uses to allocate resources and assess performance is the Company’s consolidated net loss, as reported on the consolidated statements of operations and comprehensive loss. In addition, the CODM is regularly provided the significant segment expense categories included in the table below, which are reviewed against budgeted expectations to assist in resource allocation decision-making. The categories reflect a change made during the first quarter of 2025 to separately present commercial expense. The prior periods have been recast to reflect this update.</w:t>
      </w:r>
    </w:p>
    <w:p>
      <w:pPr>
        <w:spacing w:after="0" w:line="91" w:lineRule="exact"/>
        <w:rPr>
          <w:sz w:val="20"/>
          <w:szCs w:val="20"/>
          <w:color w:val="auto"/>
        </w:rPr>
      </w:pPr>
    </w:p>
    <w:p>
      <w:pPr>
        <w:ind w:left="6667"/>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6607"/>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-17780</wp:posOffset>
            </wp:positionV>
            <wp:extent cx="425323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8">
                      <a:extLst>
                        <a:ext uri="{28A0092B-C50C-407E-A947-70E740481C1C}"/>
                      </a:extLst>
                    </a:blip>
                    <a:srcRect/>
                    <a:stretch>
                      <a:fillRect/>
                    </a:stretch>
                  </pic:blipFill>
                  <pic:spPr bwMode="auto">
                    <a:xfrm>
                      <a:off x="0" y="0"/>
                      <a:ext cx="4253230" cy="3810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196"/>
        </w:trPr>
        <w:tc>
          <w:tcPr>
            <w:tcW w:w="37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Bitopertin program external expense</w:t>
            </w:r>
          </w:p>
        </w:tc>
        <w:tc>
          <w:tcPr>
            <w:tcW w:w="1200" w:type="dxa"/>
            <w:vAlign w:val="bottom"/>
            <w:shd w:val="clear" w:color="auto" w:fill="E0E0E0"/>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(58,827)</w:t>
            </w: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40" w:type="dxa"/>
            <w:vAlign w:val="bottom"/>
            <w:shd w:val="clear" w:color="auto" w:fill="E0E0E0"/>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(28,105)</w:t>
            </w: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40" w:type="dxa"/>
            <w:vAlign w:val="bottom"/>
            <w:shd w:val="clear" w:color="auto" w:fill="E0E0E0"/>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(17,271)</w:t>
            </w:r>
          </w:p>
        </w:tc>
      </w:tr>
      <w:tr>
        <w:trPr>
          <w:trHeight w:val="244"/>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DISC-0974 program external expense</w:t>
            </w:r>
          </w:p>
        </w:tc>
        <w:tc>
          <w:tcPr>
            <w:tcW w:w="1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(9,136)</w:t>
            </w:r>
          </w:p>
        </w:tc>
      </w:tr>
      <w:tr>
        <w:trPr>
          <w:trHeight w:val="244"/>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DISC-3405 program external expense</w:t>
            </w:r>
          </w:p>
        </w:tc>
        <w:tc>
          <w:tcPr>
            <w:tcW w:w="12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(17,693)</w:t>
            </w:r>
          </w:p>
        </w:tc>
        <w:tc>
          <w:tcPr>
            <w:tcW w:w="1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(13,934)</w:t>
            </w:r>
          </w:p>
        </w:tc>
        <w:tc>
          <w:tcPr>
            <w:tcW w:w="1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(20,168)</w:t>
            </w:r>
          </w:p>
        </w:tc>
      </w:tr>
      <w:tr>
        <w:trPr>
          <w:trHeight w:val="224"/>
        </w:trPr>
        <w:tc>
          <w:tcPr>
            <w:tcW w:w="380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Other external research and development</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50"/>
        </w:trPr>
        <w:tc>
          <w:tcPr>
            <w:tcW w:w="3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expense</w:t>
            </w:r>
          </w:p>
        </w:tc>
        <w:tc>
          <w:tcPr>
            <w:tcW w:w="1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(4,752)</w:t>
            </w:r>
          </w:p>
        </w:tc>
      </w:tr>
      <w:tr>
        <w:trPr>
          <w:trHeight w:val="224"/>
        </w:trPr>
        <w:tc>
          <w:tcPr>
            <w:tcW w:w="3800" w:type="dxa"/>
            <w:vAlign w:val="bottom"/>
            <w:gridSpan w:val="2"/>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Internal and other research and development</w:t>
            </w:r>
          </w:p>
        </w:tc>
        <w:tc>
          <w:tcPr>
            <w:tcW w:w="12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6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620" w:type="dxa"/>
            <w:vAlign w:val="bottom"/>
            <w:shd w:val="clear" w:color="auto" w:fill="E0E0E0"/>
          </w:tcPr>
          <w:p>
            <w:pPr>
              <w:spacing w:after="0"/>
              <w:rPr>
                <w:sz w:val="19"/>
                <w:szCs w:val="19"/>
                <w:color w:val="auto"/>
              </w:rPr>
            </w:pPr>
          </w:p>
        </w:tc>
      </w:tr>
      <w:tr>
        <w:trPr>
          <w:trHeight w:val="250"/>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expense</w:t>
            </w:r>
          </w:p>
        </w:tc>
        <w:tc>
          <w:tcPr>
            <w:tcW w:w="12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(36,947)</w:t>
            </w:r>
          </w:p>
        </w:tc>
        <w:tc>
          <w:tcPr>
            <w:tcW w:w="1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(23,782)</w:t>
            </w:r>
          </w:p>
        </w:tc>
        <w:tc>
          <w:tcPr>
            <w:tcW w:w="1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(16,170)</w:t>
            </w:r>
          </w:p>
        </w:tc>
      </w:tr>
      <w:tr>
        <w:trPr>
          <w:trHeight w:val="244"/>
        </w:trPr>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4"/>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Commercial expense</w:t>
            </w:r>
          </w:p>
        </w:tc>
        <w:tc>
          <w:tcPr>
            <w:tcW w:w="1200" w:type="dxa"/>
            <w:vAlign w:val="bottom"/>
            <w:shd w:val="clear" w:color="auto" w:fill="E0E0E0"/>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(14,879)</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(1,904)</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(1,007)</w:t>
            </w:r>
          </w:p>
        </w:tc>
      </w:tr>
      <w:tr>
        <w:trPr>
          <w:trHeight w:val="244"/>
        </w:trPr>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4"/>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1200" w:type="dxa"/>
            <w:vAlign w:val="bottom"/>
            <w:shd w:val="clear" w:color="auto" w:fill="E0E0E0"/>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(32,152)</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(21,358)</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(17,091)</w:t>
            </w:r>
          </w:p>
        </w:tc>
      </w:tr>
      <w:tr>
        <w:trPr>
          <w:trHeight w:val="244"/>
        </w:trPr>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4"/>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200" w:type="dxa"/>
            <w:vAlign w:val="bottom"/>
            <w:shd w:val="clear" w:color="auto" w:fill="E0E0E0"/>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(34,340)</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(16,815)</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(5,530)</w:t>
            </w:r>
          </w:p>
        </w:tc>
      </w:tr>
      <w:tr>
        <w:trPr>
          <w:trHeight w:val="244"/>
        </w:trPr>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4"/>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segment items*</w:t>
            </w:r>
          </w:p>
        </w:tc>
        <w:tc>
          <w:tcPr>
            <w:tcW w:w="1200" w:type="dxa"/>
            <w:vAlign w:val="bottom"/>
            <w:shd w:val="clear" w:color="auto" w:fill="E0E0E0"/>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23,838</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shd w:val="clear" w:color="auto" w:fill="E0E0E0"/>
          </w:tcPr>
          <w:p>
            <w:pPr>
              <w:jc w:val="right"/>
              <w:ind w:right="22"/>
              <w:spacing w:after="0"/>
              <w:rPr>
                <w:sz w:val="20"/>
                <w:szCs w:val="20"/>
                <w:color w:val="auto"/>
              </w:rPr>
            </w:pPr>
            <w:r>
              <w:rPr>
                <w:rFonts w:ascii="Times New Roman" w:cs="Times New Roman" w:eastAsia="Times New Roman" w:hAnsi="Times New Roman"/>
                <w:sz w:val="20"/>
                <w:szCs w:val="20"/>
                <w:color w:val="auto"/>
              </w:rPr>
              <w:t>20,363</w:t>
            </w:r>
          </w:p>
        </w:tc>
        <w:tc>
          <w:tcPr>
            <w:tcW w:w="640" w:type="dxa"/>
            <w:vAlign w:val="bottom"/>
            <w:gridSpan w:val="3"/>
            <w:shd w:val="clear" w:color="auto" w:fill="E0E0E0"/>
          </w:tcPr>
          <w:p>
            <w:pPr>
              <w:jc w:val="right"/>
              <w:ind w:right="275"/>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auto"/>
              </w:rPr>
              <w:t>14,696</w:t>
            </w:r>
          </w:p>
        </w:tc>
      </w:tr>
      <w:tr>
        <w:trPr>
          <w:trHeight w:val="244"/>
        </w:trPr>
        <w:tc>
          <w:tcPr>
            <w:tcW w:w="37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r>
      <w:tr>
        <w:trPr>
          <w:trHeight w:val="239"/>
        </w:trPr>
        <w:tc>
          <w:tcPr>
            <w:tcW w:w="38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w:t>
            </w:r>
          </w:p>
        </w:tc>
        <w:tc>
          <w:tcPr>
            <w:tcW w:w="1200" w:type="dxa"/>
            <w:vAlign w:val="bottom"/>
            <w:shd w:val="clear" w:color="auto" w:fill="E0E0E0"/>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(212,184)</w:t>
            </w: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40" w:type="dxa"/>
            <w:vAlign w:val="bottom"/>
            <w:shd w:val="clear" w:color="auto" w:fill="E0E0E0"/>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(109,357)</w:t>
            </w: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40" w:type="dxa"/>
            <w:vAlign w:val="bottom"/>
            <w:shd w:val="clear" w:color="auto" w:fill="E0E0E0"/>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(76,429)</w:t>
            </w: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both"/>
        <w:ind w:left="7"/>
        <w:spacing w:after="0" w:line="277" w:lineRule="auto"/>
        <w:rPr>
          <w:sz w:val="20"/>
          <w:szCs w:val="20"/>
          <w:color w:val="auto"/>
        </w:rPr>
      </w:pPr>
      <w:r>
        <w:rPr>
          <w:rFonts w:ascii="Times New Roman" w:cs="Times New Roman" w:eastAsia="Times New Roman" w:hAnsi="Times New Roman"/>
          <w:sz w:val="20"/>
          <w:szCs w:val="20"/>
          <w:color w:val="auto"/>
        </w:rPr>
        <w:t>*Other segment items include interest income, interest expense, other income (expense), and income tax expense as reported on the consolidated statements of operations and comprehensive loss.</w:t>
      </w:r>
    </w:p>
    <w:p>
      <w:pPr>
        <w:spacing w:after="0" w:line="4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Assets regularly provided to the CODM are consistent with those reported on the consolidated balance sheets with particular emphasis on the Company’s available liquidity, including its cash, cash equivalents and marketable securities balances. All of the Company’s tangible assets are held in the United States.</w:t>
      </w:r>
    </w:p>
    <w:p>
      <w:pPr>
        <w:spacing w:after="0" w:line="184" w:lineRule="exact"/>
        <w:rPr>
          <w:sz w:val="20"/>
          <w:szCs w:val="20"/>
          <w:color w:val="auto"/>
        </w:rPr>
      </w:pPr>
    </w:p>
    <w:p>
      <w:pPr>
        <w:ind w:left="7" w:right="7340" w:hanging="7"/>
        <w:spacing w:after="0" w:line="386" w:lineRule="auto"/>
        <w:tabs>
          <w:tab w:leader="none" w:pos="307"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Indemnification Agreements</w:t>
      </w:r>
    </w:p>
    <w:p>
      <w:pPr>
        <w:spacing w:after="0" w:line="1" w:lineRule="exact"/>
        <w:rPr>
          <w:sz w:val="20"/>
          <w:szCs w:val="20"/>
          <w:color w:val="auto"/>
        </w:rPr>
      </w:pPr>
    </w:p>
    <w:p>
      <w:pPr>
        <w:jc w:val="both"/>
        <w:ind w:left="7"/>
        <w:spacing w:after="0" w:line="245" w:lineRule="auto"/>
        <w:rPr>
          <w:sz w:val="20"/>
          <w:szCs w:val="20"/>
          <w:color w:val="auto"/>
        </w:rPr>
      </w:pPr>
      <w:r>
        <w:rPr>
          <w:rFonts w:ascii="Times New Roman" w:cs="Times New Roman" w:eastAsia="Times New Roman" w:hAnsi="Times New Roman"/>
          <w:sz w:val="20"/>
          <w:szCs w:val="20"/>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ectPr>
          <w:pgSz w:w="12240" w:h="15840" w:orient="portrait"/>
          <w:cols w:equalWidth="0" w:num="1">
            <w:col w:w="10467"/>
          </w:cols>
          <w:pgMar w:left="893" w:top="1304" w:right="880" w:bottom="1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10467"/>
          </w:cols>
          <w:pgMar w:left="893" w:top="1304" w:right="880" w:bottom="175"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from time to time, may be party to litigation arising in the ordinary course of business. The Company was not subject to any material legal proceedings during the years ended December 31, 2025, 2024 and 2023 and, to the best of its knowledge, no material legal proceedings are currently pending or threatened.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Payments Upon Termination</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December 31, 2025, the Company has not recognized any amounts related to these contingencies as the amount and timing of such payments are not fixed and estimable.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Related Party Transactions</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 xml:space="preserve">Certain existing investors have participated in the Company's underwritten offerings in October 2025, January 2025, June 2024, June 2023 and February 2023 (see </w:t>
      </w:r>
      <w:r>
        <w:rPr>
          <w:rFonts w:ascii="Times New Roman" w:cs="Times New Roman" w:eastAsia="Times New Roman" w:hAnsi="Times New Roman"/>
          <w:sz w:val="20"/>
          <w:szCs w:val="20"/>
          <w:i w:val="1"/>
          <w:iCs w:val="1"/>
          <w:color w:val="auto"/>
        </w:rPr>
        <w:t>Note 9 - Stockholders' Equity</w:t>
      </w:r>
      <w:r>
        <w:rPr>
          <w:rFonts w:ascii="Times New Roman" w:cs="Times New Roman" w:eastAsia="Times New Roman" w:hAnsi="Times New Roman"/>
          <w:sz w:val="20"/>
          <w:szCs w:val="20"/>
          <w:color w:val="auto"/>
        </w:rPr>
        <w:t>).</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Leases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has an operating lease and sublease for office space which serves as the Company's corporate headquarters. The Company's sublease and lease expire in November 2026 and December 2029, respectively. The Company's leases do not contain any material residual value guarantees or restrictive covenants. Operating leases are recognized on the consolidated balance sheets as right-of-use assets, operating leases, operating lease liabilities, current and operating lease liabilities, non-current. Operating lease expense is recognized on a straight-line basis over the lease term within the Company’s consolidated statements of operations and comprehensive loss.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August 2024, the Company amended its lease for 7,566 square feet of office space used as its corporate headquarters, extending the lease term from November 30, 2026 to December 31, 2029. In connection with this amendment, the Company entered into a forward-starting lease for office space currently under sublease, which is expected to commence on December 1, 2026 and expire on December 31, 2029. The Company expects total undiscounted payments of $1.3 million over the lease term. As of December 31, 2025, the forward-starting lease is not recorded on the consolidated balance sheets and will be recognized upon lease commencement.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expense were as follows (in thousands):</w:t>
      </w:r>
    </w:p>
    <w:p>
      <w:pPr>
        <w:spacing w:after="0" w:line="13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-17780</wp:posOffset>
            </wp:positionV>
            <wp:extent cx="324802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a:extLst>
                        <a:ext uri="{28A0092B-C50C-407E-A947-70E740481C1C}"/>
                      </a:extLst>
                    </a:blip>
                    <a:srcRect/>
                    <a:stretch>
                      <a:fillRect/>
                    </a:stretch>
                  </pic:blipFill>
                  <pic:spPr bwMode="auto">
                    <a:xfrm>
                      <a:off x="0" y="0"/>
                      <a:ext cx="324802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E0E0E0"/>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costs</w:t>
            </w:r>
          </w:p>
        </w:tc>
        <w:tc>
          <w:tcPr>
            <w:tcW w:w="940" w:type="dxa"/>
            <w:vAlign w:val="bottom"/>
            <w:shd w:val="clear" w:color="auto" w:fill="E0E0E0"/>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668</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20" w:type="dxa"/>
            <w:vAlign w:val="bottom"/>
            <w:shd w:val="clear" w:color="auto" w:fill="E0E0E0"/>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0E0E0"/>
          </w:tcPr>
          <w:p>
            <w:pPr>
              <w:jc w:val="right"/>
              <w:ind w:right="25"/>
              <w:spacing w:after="0"/>
              <w:rPr>
                <w:sz w:val="20"/>
                <w:szCs w:val="20"/>
                <w:color w:val="auto"/>
              </w:rPr>
            </w:pPr>
            <w:r>
              <w:rPr>
                <w:rFonts w:ascii="Times New Roman" w:cs="Times New Roman" w:eastAsia="Times New Roman" w:hAnsi="Times New Roman"/>
                <w:sz w:val="20"/>
                <w:szCs w:val="20"/>
                <w:color w:val="auto"/>
              </w:rPr>
              <w:t>641</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422</w:t>
            </w:r>
          </w:p>
        </w:tc>
      </w:tr>
      <w:tr>
        <w:trPr>
          <w:trHeight w:val="244"/>
        </w:trPr>
        <w:tc>
          <w:tcPr>
            <w:tcW w:w="5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Variable lease costs</w:t>
            </w: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486</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486</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239"/>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lease expense</w:t>
            </w:r>
          </w:p>
        </w:tc>
        <w:tc>
          <w:tcPr>
            <w:tcW w:w="940" w:type="dxa"/>
            <w:vAlign w:val="bottom"/>
            <w:tcBorders>
              <w:bottom w:val="single" w:sz="8" w:color="auto"/>
            </w:tcBorders>
            <w:shd w:val="clear" w:color="auto" w:fill="E0E0E0"/>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1,154</w:t>
            </w:r>
          </w:p>
        </w:tc>
        <w:tc>
          <w:tcPr>
            <w:tcW w:w="20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320" w:type="dxa"/>
            <w:vAlign w:val="bottom"/>
            <w:tcBorders>
              <w:bottom w:val="single" w:sz="8" w:color="auto"/>
            </w:tcBorders>
            <w:shd w:val="clear" w:color="auto" w:fill="E0E0E0"/>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0E0E0"/>
          </w:tcPr>
          <w:p>
            <w:pPr>
              <w:jc w:val="right"/>
              <w:ind w:right="25"/>
              <w:spacing w:after="0"/>
              <w:rPr>
                <w:sz w:val="20"/>
                <w:szCs w:val="20"/>
                <w:color w:val="auto"/>
              </w:rPr>
            </w:pPr>
            <w:r>
              <w:rPr>
                <w:rFonts w:ascii="Times New Roman" w:cs="Times New Roman" w:eastAsia="Times New Roman" w:hAnsi="Times New Roman"/>
                <w:sz w:val="20"/>
                <w:szCs w:val="20"/>
                <w:color w:val="auto"/>
              </w:rPr>
              <w:t>1,127</w:t>
            </w:r>
          </w:p>
        </w:tc>
        <w:tc>
          <w:tcPr>
            <w:tcW w:w="20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300" w:type="dxa"/>
            <w:vAlign w:val="bottom"/>
            <w:tcBorders>
              <w:bottom w:val="single" w:sz="8" w:color="auto"/>
            </w:tcBorders>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581</w:t>
            </w:r>
          </w:p>
        </w:tc>
      </w:tr>
      <w:tr>
        <w:trPr>
          <w:trHeight w:val="20"/>
        </w:trPr>
        <w:tc>
          <w:tcPr>
            <w:tcW w:w="5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remaining lease term and discount rate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6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40" w:type="dxa"/>
            <w:vAlign w:val="bottom"/>
            <w:tcBorders>
              <w:bottom w:val="single" w:sz="8" w:color="auto"/>
            </w:tcBorders>
          </w:tcPr>
          <w:p>
            <w:pPr>
              <w:spacing w:after="0"/>
              <w:rPr>
                <w:sz w:val="17"/>
                <w:szCs w:val="17"/>
                <w:color w:val="auto"/>
              </w:rPr>
            </w:pPr>
          </w:p>
        </w:tc>
      </w:tr>
      <w:tr>
        <w:trPr>
          <w:trHeight w:val="193"/>
        </w:trPr>
        <w:tc>
          <w:tcPr>
            <w:tcW w:w="6440" w:type="dxa"/>
            <w:vAlign w:val="bottom"/>
            <w:tcBorders>
              <w:bottom w:val="single" w:sz="8" w:color="E0E0E0"/>
            </w:tcBorders>
          </w:tcPr>
          <w:p>
            <w:pPr>
              <w:spacing w:after="0"/>
              <w:rPr>
                <w:sz w:val="16"/>
                <w:szCs w:val="16"/>
                <w:color w:val="auto"/>
              </w:rPr>
            </w:pPr>
          </w:p>
        </w:tc>
        <w:tc>
          <w:tcPr>
            <w:tcW w:w="18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0E0E0"/>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6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Weighted-average remaining lease term</w:t>
            </w:r>
          </w:p>
        </w:tc>
        <w:tc>
          <w:tcPr>
            <w:tcW w:w="1880" w:type="dxa"/>
            <w:vAlign w:val="bottom"/>
            <w:shd w:val="clear" w:color="auto" w:fill="E0E0E0"/>
          </w:tcPr>
          <w:p>
            <w:pPr>
              <w:jc w:val="right"/>
              <w:ind w:right="130"/>
              <w:spacing w:after="0"/>
              <w:rPr>
                <w:sz w:val="20"/>
                <w:szCs w:val="20"/>
                <w:color w:val="auto"/>
              </w:rPr>
            </w:pPr>
            <w:r>
              <w:rPr>
                <w:rFonts w:ascii="Times New Roman" w:cs="Times New Roman" w:eastAsia="Times New Roman" w:hAnsi="Times New Roman"/>
                <w:sz w:val="20"/>
                <w:szCs w:val="20"/>
                <w:color w:val="auto"/>
              </w:rPr>
              <w:t>3.2 years</w:t>
            </w:r>
          </w:p>
        </w:tc>
        <w:tc>
          <w:tcPr>
            <w:tcW w:w="240" w:type="dxa"/>
            <w:vAlign w:val="bottom"/>
            <w:shd w:val="clear" w:color="auto" w:fill="E0E0E0"/>
          </w:tcPr>
          <w:p>
            <w:pPr>
              <w:spacing w:after="0"/>
              <w:rPr>
                <w:sz w:val="20"/>
                <w:szCs w:val="20"/>
                <w:color w:val="auto"/>
              </w:rPr>
            </w:pPr>
          </w:p>
        </w:tc>
        <w:tc>
          <w:tcPr>
            <w:tcW w:w="540" w:type="dxa"/>
            <w:vAlign w:val="bottom"/>
            <w:shd w:val="clear" w:color="auto" w:fill="E0E0E0"/>
          </w:tcPr>
          <w:p>
            <w:pPr>
              <w:spacing w:after="0"/>
              <w:rPr>
                <w:sz w:val="20"/>
                <w:szCs w:val="20"/>
                <w:color w:val="auto"/>
              </w:rPr>
            </w:pPr>
          </w:p>
        </w:tc>
        <w:tc>
          <w:tcPr>
            <w:tcW w:w="1340" w:type="dxa"/>
            <w:vAlign w:val="bottom"/>
            <w:shd w:val="clear" w:color="auto" w:fill="E0E0E0"/>
          </w:tcPr>
          <w:p>
            <w:pPr>
              <w:jc w:val="right"/>
              <w:ind w:right="127"/>
              <w:spacing w:after="0"/>
              <w:rPr>
                <w:sz w:val="20"/>
                <w:szCs w:val="20"/>
                <w:color w:val="auto"/>
              </w:rPr>
            </w:pPr>
            <w:r>
              <w:rPr>
                <w:rFonts w:ascii="Times New Roman" w:cs="Times New Roman" w:eastAsia="Times New Roman" w:hAnsi="Times New Roman"/>
                <w:sz w:val="20"/>
                <w:szCs w:val="20"/>
                <w:color w:val="auto"/>
              </w:rPr>
              <w:t>3.5 years</w:t>
            </w:r>
          </w:p>
        </w:tc>
      </w:tr>
      <w:tr>
        <w:trPr>
          <w:trHeight w:val="266"/>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bl>
    <w:p>
      <w:pPr>
        <w:spacing w:after="0" w:line="200" w:lineRule="exact"/>
        <w:rPr>
          <w:sz w:val="20"/>
          <w:szCs w:val="20"/>
          <w:color w:val="auto"/>
        </w:rPr>
      </w:pP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10460"/>
          </w:cols>
          <w:pgMar w:left="900" w:top="930" w:right="880" w:bottom="175" w:gutter="0" w:footer="0" w:header="0"/>
          <w:type w:val="continuous"/>
        </w:sectPr>
      </w:pPr>
    </w:p>
    <w:bookmarkStart w:id="149" w:name="page150"/>
    <w:bookmarkEnd w:id="149"/>
    <w:p>
      <w:pPr>
        <w:ind w:left="7" w:right="180"/>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future minimum lease payments under the Company's lease liabilities as of December 31, 2025, (in thousands):</w:t>
      </w:r>
    </w:p>
    <w:p>
      <w:pPr>
        <w:spacing w:after="0" w:line="4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8560" w:type="dxa"/>
            <w:vAlign w:val="bottom"/>
            <w:tcBorders>
              <w:bottom w:val="single" w:sz="8" w:color="E0E0E0"/>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25"/>
        </w:trPr>
        <w:tc>
          <w:tcPr>
            <w:tcW w:w="856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737</w:t>
            </w: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r>
      <w:tr>
        <w:trPr>
          <w:trHeight w:val="230"/>
        </w:trPr>
        <w:tc>
          <w:tcPr>
            <w:tcW w:w="85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E0E0E0"/>
          </w:tcPr>
          <w:p>
            <w:pPr>
              <w:spacing w:after="0"/>
              <w:rPr>
                <w:sz w:val="20"/>
                <w:szCs w:val="20"/>
                <w:color w:val="auto"/>
              </w:rPr>
            </w:pPr>
          </w:p>
        </w:tc>
        <w:tc>
          <w:tcPr>
            <w:tcW w:w="1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389</w:t>
            </w: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r>
      <w:tr>
        <w:trPr>
          <w:trHeight w:val="230"/>
        </w:trPr>
        <w:tc>
          <w:tcPr>
            <w:tcW w:w="85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tcBorders>
              <w:bottom w:val="single" w:sz="8" w:color="auto"/>
            </w:tcBorders>
            <w:shd w:val="clear" w:color="auto" w:fill="E0E0E0"/>
          </w:tcPr>
          <w:p>
            <w:pPr>
              <w:spacing w:after="0"/>
              <w:rPr>
                <w:sz w:val="20"/>
                <w:szCs w:val="20"/>
                <w:color w:val="auto"/>
              </w:rPr>
            </w:pPr>
          </w:p>
        </w:tc>
        <w:tc>
          <w:tcPr>
            <w:tcW w:w="16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8560" w:type="dxa"/>
            <w:vAlign w:val="bottom"/>
            <w:tcBorders>
              <w:bottom w:val="single" w:sz="8" w:color="E0E0E0"/>
            </w:tcBorders>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minimum lease payments</w:t>
            </w:r>
          </w:p>
        </w:tc>
        <w:tc>
          <w:tcPr>
            <w:tcW w:w="2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1,812</w:t>
            </w:r>
          </w:p>
        </w:tc>
      </w:tr>
      <w:tr>
        <w:trPr>
          <w:trHeight w:val="225"/>
        </w:trPr>
        <w:tc>
          <w:tcPr>
            <w:tcW w:w="856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Less: imputed interest</w:t>
            </w:r>
          </w:p>
        </w:tc>
        <w:tc>
          <w:tcPr>
            <w:tcW w:w="200" w:type="dxa"/>
            <w:vAlign w:val="bottom"/>
            <w:tcBorders>
              <w:bottom w:val="single" w:sz="8" w:color="auto"/>
            </w:tcBorders>
            <w:shd w:val="clear" w:color="auto" w:fill="E0E0E0"/>
          </w:tcPr>
          <w:p>
            <w:pPr>
              <w:spacing w:after="0"/>
              <w:rPr>
                <w:sz w:val="19"/>
                <w:szCs w:val="19"/>
                <w:color w:val="auto"/>
              </w:rPr>
            </w:pPr>
          </w:p>
        </w:tc>
        <w:tc>
          <w:tcPr>
            <w:tcW w:w="16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(294)</w:t>
            </w:r>
          </w:p>
        </w:tc>
      </w:tr>
      <w:tr>
        <w:trPr>
          <w:trHeight w:val="225"/>
        </w:trPr>
        <w:tc>
          <w:tcPr>
            <w:tcW w:w="8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Lease liabilities</w:t>
            </w:r>
          </w:p>
        </w:tc>
        <w:tc>
          <w:tcPr>
            <w:tcW w:w="2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1,518</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The table above does not include contractual rent payments under the forward-starting lease which are expected to total $1.3 million on an undiscounted basis. The Company has also recorded deferred lease incentives associated with the forward-starting lease of $0.3 million within operating lease liabilities, non-current on the consolidated balance sheets.</w:t>
      </w:r>
    </w:p>
    <w:p>
      <w:pPr>
        <w:spacing w:after="0" w:line="322" w:lineRule="exact"/>
        <w:rPr>
          <w:sz w:val="20"/>
          <w:szCs w:val="20"/>
          <w:color w:val="auto"/>
        </w:rPr>
      </w:pPr>
    </w:p>
    <w:p>
      <w:pPr>
        <w:ind w:left="7" w:right="8560" w:hanging="7"/>
        <w:spacing w:after="0" w:line="366" w:lineRule="auto"/>
        <w:tabs>
          <w:tab w:leader="none" w:pos="30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Subsequent Events </w:t>
      </w:r>
      <w:r>
        <w:rPr>
          <w:rFonts w:ascii="Times New Roman" w:cs="Times New Roman" w:eastAsia="Times New Roman" w:hAnsi="Times New Roman"/>
          <w:sz w:val="20"/>
          <w:szCs w:val="20"/>
          <w:b w:val="1"/>
          <w:bCs w:val="1"/>
          <w:i w:val="1"/>
          <w:iCs w:val="1"/>
          <w:color w:val="auto"/>
        </w:rPr>
        <w:t xml:space="preserve">Milestone Payment </w:t>
      </w:r>
      <w:r>
        <w:rPr>
          <w:rFonts w:ascii="Times New Roman" w:cs="Times New Roman" w:eastAsia="Times New Roman" w:hAnsi="Times New Roman"/>
          <w:sz w:val="20"/>
          <w:szCs w:val="20"/>
          <w:i w:val="1"/>
          <w:iCs w:val="1"/>
          <w:color w:val="auto"/>
        </w:rPr>
        <w:t>DISC-3405</w:t>
      </w:r>
    </w:p>
    <w:p>
      <w:pPr>
        <w:spacing w:after="0" w:line="2"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 xml:space="preserve">In February 2026, the Company completed the first administration to a patient in the Phase 1b clinical trial of DISC-3405 in a second indication, sickle cell disease. Per the license agreement, a milestone payment of $5.0 million is payable to Mabwell. For additional details on the license agreement with Mabwell, refer to </w:t>
      </w:r>
      <w:r>
        <w:rPr>
          <w:rFonts w:ascii="Times New Roman" w:cs="Times New Roman" w:eastAsia="Times New Roman" w:hAnsi="Times New Roman"/>
          <w:sz w:val="20"/>
          <w:szCs w:val="20"/>
          <w:i w:val="1"/>
          <w:iCs w:val="1"/>
          <w:color w:val="auto"/>
        </w:rPr>
        <w:t>Note 7 - Licensing Activities and Business Development</w:t>
      </w:r>
      <w:r>
        <w:rPr>
          <w:rFonts w:ascii="Times New Roman" w:cs="Times New Roman" w:eastAsia="Times New Roman" w:hAnsi="Times New Roman"/>
          <w:sz w:val="20"/>
          <w:szCs w:val="20"/>
          <w:color w:val="auto"/>
        </w:rPr>
        <w:t>.</w:t>
      </w:r>
    </w:p>
    <w:p>
      <w:pPr>
        <w:sectPr>
          <w:pgSz w:w="12240" w:h="15840" w:orient="portrait"/>
          <w:cols w:equalWidth="0" w:num="1">
            <w:col w:w="10467"/>
          </w:cols>
          <w:pgMar w:left="893"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10467"/>
          </w:cols>
          <w:pgMar w:left="893" w:top="930" w:right="880" w:bottom="175" w:gutter="0" w:footer="0" w:header="0"/>
          <w:type w:val="continuous"/>
        </w:sectPr>
      </w:pPr>
    </w:p>
    <w:bookmarkStart w:id="150" w:name="page151"/>
    <w:bookmarkEnd w:id="150"/>
    <w:p>
      <w:pPr>
        <w:jc w:val="both"/>
        <w:ind w:left="1100" w:right="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December 31, 2025, our disclosure controls and procedures were effective at the reasonable assurance level.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of Previously Identified Material Weakness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previously disclosed in our Annual Report on Form 10-K for the year ended December 31, 2024, we identified a material weakness in internal control related to a lack of design and maintenance of effective ITGC's over certain key financial IT systems. Consequently, our IT application controls and IT dependent manual controls that rely upon the ineffective ITGC's, or that use information from the systems impacted by the ineffective ITGC's were also deemed ineffective because they could have been adversely impacted. This material weakness did not result in any identified misstatements to our financial statements or disclosures and there were no changes to previously released financial results.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with the oversight of the audit committee of the board of directors, is committed to maintaining a strong internal control environment. In response to the material weakness identified above, we identified and implemented remediation measures which included: (i) developing and implementing additional training and awareness programs addressing ITGCs and policies, including educating control owners concerning the principles and requirements of each control, with a focus on understanding user access and program changes; (ii) engaging third-party consultants to assist with remediation efforts, including enhancing our risk assessment, evaluating gaps in our current processes and controls, and developing a remediation plan; (iii) expanding available resources through internal hiring and; (iv) enhancing quarterly reporting on the remediation measures to the Audit Committee of the Board of Directors.</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December 31, 2025, management has concluded that the material weakness has been fully remediated. The enhanced controls have been in place for a sufficient period of time and, based on management’s testing, were operating effectively.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Management assessed the effectiveness of our internal control over financial reporting as of December 31, 2025. In making this assessment, it used the criteria established in Internal Control—Integrated Framework (2013) issued by the Committee of Sponsoring Organizations of the Treadway Commission (COSO). Based on such assessment, our Principal Executive Officer and Principal Financial Officer concluded that, as of December 31, 2025, our internal control over financial reporting was effective.</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10460"/>
          </w:cols>
          <w:pgMar w:left="900" w:top="926" w:right="880" w:bottom="175" w:gutter="0" w:footer="0" w:header="0"/>
          <w:type w:val="continuous"/>
        </w:sectPr>
      </w:pPr>
    </w:p>
    <w:bookmarkStart w:id="151" w:name="page152"/>
    <w:bookmarkEnd w:id="151"/>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20"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Other than as discussed above, there have not been any changes in our internal control over financial reporting (as defined in Rules 13a-15(f) and 15d-15(f) under the Exchange Act) occurred during the twelve months ended December 31, 2025 that has materially affected, or is reasonably likely to materially affect, our internal control over financial reporting.</w:t>
      </w:r>
    </w:p>
    <w:p>
      <w:pPr>
        <w:spacing w:after="0" w:line="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2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To the Stockholders and the Board of Directors of Disc Medicine, Inc.</w:t>
      </w:r>
    </w:p>
    <w:p>
      <w:pPr>
        <w:spacing w:after="0" w:line="1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24"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20"/>
          <w:szCs w:val="20"/>
          <w:color w:val="auto"/>
        </w:rPr>
        <w:t>We have audited Disc Medicine, Inc.’s internal control over financial reporting as of December 31, 2025, based on criteria established in Internal Control—Integrated Framework issued by the Committee of Sponsoring Organizations of the Treadway Commission (2013 framework) (the COSO criteria). In our opinion, Disc Medicine, Inc. (the Company) maintained, in all material respects, effective internal control over financial reporting as of December 31, 2025, based on the COSO criteria.</w:t>
      </w:r>
    </w:p>
    <w:p>
      <w:pPr>
        <w:spacing w:after="0" w:line="74"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stockholders’ equity and cash flows for each of the three years in the period ended December 31, 2025, and the related notes and our report dated February 26, 2026 expressed an unqualified opinion thereon.</w:t>
      </w:r>
    </w:p>
    <w:p>
      <w:pPr>
        <w:spacing w:after="0" w:line="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4"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24"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jc w:val="both"/>
        <w:ind w:left="7" w:hanging="7"/>
        <w:spacing w:after="0" w:line="241" w:lineRule="auto"/>
        <w:tabs>
          <w:tab w:leader="none" w:pos="29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1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February 26, 2026</w:t>
      </w:r>
    </w:p>
    <w:p>
      <w:pPr>
        <w:sectPr>
          <w:pgSz w:w="12240" w:h="15840" w:orient="portrait"/>
          <w:cols w:equalWidth="0" w:num="1">
            <w:col w:w="10467"/>
          </w:cols>
          <w:pgMar w:left="893"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10467"/>
          </w:cols>
          <w:pgMar w:left="893" w:top="930" w:right="880" w:bottom="175" w:gutter="0" w:footer="0" w:header="0"/>
          <w:type w:val="continuous"/>
        </w:sectPr>
      </w:pPr>
    </w:p>
    <w:bookmarkStart w:id="152" w:name="page153"/>
    <w:bookmarkEnd w:id="152"/>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24"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December 31, 2025:</w:t>
      </w:r>
    </w:p>
    <w:p>
      <w:pPr>
        <w:spacing w:after="0" w:line="83"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0" w:type="dxa"/>
            <w:vAlign w:val="bottom"/>
          </w:tcPr>
          <w:p>
            <w:pPr>
              <w:spacing w:after="0"/>
              <w:rPr>
                <w:sz w:val="1"/>
                <w:szCs w:val="1"/>
                <w:color w:val="auto"/>
              </w:rPr>
            </w:pPr>
          </w:p>
        </w:tc>
      </w:tr>
      <w:tr>
        <w:trPr>
          <w:trHeight w:val="184"/>
        </w:trPr>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20" w:type="dxa"/>
            <w:vAlign w:val="bottom"/>
          </w:tcPr>
          <w:p>
            <w:pPr>
              <w:spacing w:after="0"/>
              <w:rPr>
                <w:sz w:val="16"/>
                <w:szCs w:val="16"/>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Type of Trading Arrangement</w:t>
            </w:r>
          </w:p>
        </w:tc>
        <w:tc>
          <w:tcPr>
            <w:tcW w:w="1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Duration or</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Trading</w:t>
            </w:r>
          </w:p>
        </w:tc>
        <w:tc>
          <w:tcPr>
            <w:tcW w:w="0" w:type="dxa"/>
            <w:vAlign w:val="bottom"/>
          </w:tcPr>
          <w:p>
            <w:pPr>
              <w:spacing w:after="0"/>
              <w:rPr>
                <w:sz w:val="1"/>
                <w:szCs w:val="1"/>
                <w:color w:val="auto"/>
              </w:rPr>
            </w:pPr>
          </w:p>
        </w:tc>
      </w:tr>
      <w:tr>
        <w:trPr>
          <w:trHeight w:val="129"/>
        </w:trPr>
        <w:tc>
          <w:tcPr>
            <w:tcW w:w="2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(Date of Action)</w:t>
            </w:r>
          </w:p>
        </w:tc>
        <w:tc>
          <w:tcPr>
            <w:tcW w:w="1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End Date</w:t>
            </w:r>
          </w:p>
        </w:tc>
        <w:tc>
          <w:tcPr>
            <w:tcW w:w="12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to</w:t>
            </w:r>
          </w:p>
        </w:tc>
        <w:tc>
          <w:tcPr>
            <w:tcW w:w="1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Arrangemen</w:t>
            </w:r>
          </w:p>
        </w:tc>
        <w:tc>
          <w:tcPr>
            <w:tcW w:w="0" w:type="dxa"/>
            <w:vAlign w:val="bottom"/>
          </w:tcPr>
          <w:p>
            <w:pPr>
              <w:spacing w:after="0"/>
              <w:rPr>
                <w:sz w:val="1"/>
                <w:szCs w:val="1"/>
                <w:color w:val="auto"/>
              </w:rPr>
            </w:pPr>
          </w:p>
        </w:tc>
      </w:tr>
      <w:tr>
        <w:trPr>
          <w:trHeight w:val="55"/>
        </w:trPr>
        <w:tc>
          <w:tcPr>
            <w:tcW w:w="2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be Sold</w:t>
            </w:r>
          </w:p>
        </w:tc>
        <w:tc>
          <w:tcPr>
            <w:tcW w:w="120" w:type="dxa"/>
            <w:vAlign w:val="bottom"/>
            <w:tcBorders>
              <w:bottom w:val="single" w:sz="8" w:color="E0E0E0"/>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w:t>
            </w:r>
          </w:p>
        </w:tc>
        <w:tc>
          <w:tcPr>
            <w:tcW w:w="0" w:type="dxa"/>
            <w:vAlign w:val="bottom"/>
          </w:tcPr>
          <w:p>
            <w:pPr>
              <w:spacing w:after="0"/>
              <w:rPr>
                <w:sz w:val="1"/>
                <w:szCs w:val="1"/>
                <w:color w:val="auto"/>
              </w:rPr>
            </w:pPr>
          </w:p>
        </w:tc>
      </w:tr>
      <w:tr>
        <w:trPr>
          <w:trHeight w:val="220"/>
        </w:trPr>
        <w:tc>
          <w:tcPr>
            <w:tcW w:w="28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William Savage, M.D., Ph.D.</w:t>
            </w:r>
          </w:p>
        </w:tc>
        <w:tc>
          <w:tcPr>
            <w:tcW w:w="120" w:type="dxa"/>
            <w:vAlign w:val="bottom"/>
            <w:shd w:val="clear" w:color="auto" w:fill="E0E0E0"/>
          </w:tcPr>
          <w:p>
            <w:pPr>
              <w:spacing w:after="0"/>
              <w:rPr>
                <w:sz w:val="19"/>
                <w:szCs w:val="19"/>
                <w:color w:val="auto"/>
              </w:rPr>
            </w:pPr>
          </w:p>
        </w:tc>
        <w:tc>
          <w:tcPr>
            <w:tcW w:w="28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Trading plan intended to satisfy</w:t>
            </w:r>
          </w:p>
        </w:tc>
        <w:tc>
          <w:tcPr>
            <w:tcW w:w="12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Adoption</w:t>
            </w:r>
          </w:p>
        </w:tc>
        <w:tc>
          <w:tcPr>
            <w:tcW w:w="12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End Date</w:t>
            </w:r>
          </w:p>
        </w:tc>
        <w:tc>
          <w:tcPr>
            <w:tcW w:w="120" w:type="dxa"/>
            <w:vAlign w:val="bottom"/>
            <w:shd w:val="clear" w:color="auto" w:fill="E0E0E0"/>
          </w:tcPr>
          <w:p>
            <w:pPr>
              <w:spacing w:after="0"/>
              <w:rPr>
                <w:sz w:val="19"/>
                <w:szCs w:val="19"/>
                <w:color w:val="auto"/>
              </w:rPr>
            </w:pPr>
          </w:p>
        </w:tc>
        <w:tc>
          <w:tcPr>
            <w:tcW w:w="96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rPr>
              <w:t>Up to</w:t>
            </w: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Sale</w:t>
            </w:r>
          </w:p>
        </w:tc>
        <w:tc>
          <w:tcPr>
            <w:tcW w:w="0" w:type="dxa"/>
            <w:vAlign w:val="bottom"/>
          </w:tcPr>
          <w:p>
            <w:pPr>
              <w:spacing w:after="0"/>
              <w:rPr>
                <w:sz w:val="1"/>
                <w:szCs w:val="1"/>
                <w:color w:val="auto"/>
              </w:rPr>
            </w:pPr>
          </w:p>
        </w:tc>
      </w:tr>
      <w:tr>
        <w:trPr>
          <w:trHeight w:val="230"/>
        </w:trPr>
        <w:tc>
          <w:tcPr>
            <w:tcW w:w="28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Chief Medical Officer</w:t>
            </w:r>
          </w:p>
        </w:tc>
        <w:tc>
          <w:tcPr>
            <w:tcW w:w="120" w:type="dxa"/>
            <w:vAlign w:val="bottom"/>
            <w:shd w:val="clear" w:color="auto" w:fill="E0E0E0"/>
          </w:tcPr>
          <w:p>
            <w:pPr>
              <w:spacing w:after="0"/>
              <w:rPr>
                <w:sz w:val="20"/>
                <w:szCs w:val="20"/>
                <w:color w:val="auto"/>
              </w:rPr>
            </w:pPr>
          </w:p>
        </w:tc>
        <w:tc>
          <w:tcPr>
            <w:tcW w:w="2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the affirmative defense conditions</w:t>
            </w:r>
          </w:p>
        </w:tc>
        <w:tc>
          <w:tcPr>
            <w:tcW w:w="12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(October 2,</w:t>
            </w:r>
          </w:p>
        </w:tc>
        <w:tc>
          <w:tcPr>
            <w:tcW w:w="1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(May 1,</w:t>
            </w:r>
          </w:p>
        </w:tc>
        <w:tc>
          <w:tcPr>
            <w:tcW w:w="120" w:type="dxa"/>
            <w:vAlign w:val="bottom"/>
            <w:shd w:val="clear" w:color="auto" w:fill="E0E0E0"/>
          </w:tcPr>
          <w:p>
            <w:pPr>
              <w:spacing w:after="0"/>
              <w:rPr>
                <w:sz w:val="20"/>
                <w:szCs w:val="20"/>
                <w:color w:val="auto"/>
              </w:rPr>
            </w:pPr>
          </w:p>
        </w:tc>
        <w:tc>
          <w:tcPr>
            <w:tcW w:w="960" w:type="dxa"/>
            <w:vAlign w:val="bottom"/>
            <w:shd w:val="clear" w:color="auto" w:fill="E0E0E0"/>
          </w:tcPr>
          <w:p>
            <w:pPr>
              <w:jc w:val="center"/>
              <w:spacing w:after="0" w:line="230" w:lineRule="exact"/>
              <w:rPr>
                <w:sz w:val="20"/>
                <w:szCs w:val="20"/>
                <w:color w:val="auto"/>
              </w:rPr>
            </w:pPr>
            <w:r>
              <w:rPr>
                <w:rFonts w:ascii="Times New Roman" w:cs="Times New Roman" w:eastAsia="Times New Roman" w:hAnsi="Times New Roman"/>
                <w:sz w:val="20"/>
                <w:szCs w:val="20"/>
                <w:color w:val="auto"/>
                <w:w w:val="97"/>
              </w:rPr>
              <w:t>16,365</w:t>
            </w:r>
            <w:r>
              <w:rPr>
                <w:rFonts w:ascii="Times New Roman" w:cs="Times New Roman" w:eastAsia="Times New Roman" w:hAnsi="Times New Roman"/>
                <w:sz w:val="26"/>
                <w:szCs w:val="26"/>
                <w:color w:val="auto"/>
                <w:w w:val="97"/>
                <w:vertAlign w:val="superscript"/>
              </w:rPr>
              <w:t>1</w:t>
            </w:r>
          </w:p>
        </w:tc>
        <w:tc>
          <w:tcPr>
            <w:tcW w:w="1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of Securities Exchange Act Rule</w:t>
            </w:r>
          </w:p>
        </w:tc>
        <w:tc>
          <w:tcPr>
            <w:tcW w:w="12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2026)</w:t>
            </w:r>
          </w:p>
        </w:tc>
        <w:tc>
          <w:tcPr>
            <w:tcW w:w="12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10b5-1(c)</w:t>
            </w:r>
          </w:p>
        </w:tc>
        <w:tc>
          <w:tcPr>
            <w:tcW w:w="120" w:type="dxa"/>
            <w:vAlign w:val="bottom"/>
            <w:shd w:val="clear" w:color="auto" w:fill="E0E0E0"/>
          </w:tcPr>
          <w:p>
            <w:pPr>
              <w:spacing w:after="0"/>
              <w:rPr>
                <w:sz w:val="21"/>
                <w:szCs w:val="21"/>
                <w:color w:val="auto"/>
              </w:rPr>
            </w:pPr>
          </w:p>
        </w:tc>
        <w:tc>
          <w:tcPr>
            <w:tcW w:w="12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1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left="7" w:right="20" w:hanging="7"/>
        <w:spacing w:after="0" w:line="258" w:lineRule="auto"/>
        <w:tabs>
          <w:tab w:leader="none" w:pos="29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number of shares available for sale cannot yet be determined, as it will be reduced by the number of shares sold to cover tax withholding obligations upon the vesting of Restricted Stock Units (RSUs). For disclosure purposes, the figures in this table reflect the maximum number of shares underlying the RSUs, without deducting shares that may be sold to cover taxes.</w:t>
      </w:r>
    </w:p>
    <w:p>
      <w:pPr>
        <w:spacing w:after="0" w:line="184" w:lineRule="exact"/>
        <w:rPr>
          <w:sz w:val="20"/>
          <w:szCs w:val="20"/>
          <w:color w:val="auto"/>
        </w:rPr>
      </w:pPr>
    </w:p>
    <w:p>
      <w:pPr>
        <w:ind w:left="7" w:right="102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ectPr>
          <w:pgSz w:w="12240" w:h="15840" w:orient="portrait"/>
          <w:cols w:equalWidth="0" w:num="1">
            <w:col w:w="10467"/>
          </w:cols>
          <w:pgMar w:left="893"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10467"/>
          </w:cols>
          <w:pgMar w:left="893" w:top="926" w:right="880" w:bottom="175" w:gutter="0" w:footer="0" w:header="0"/>
          <w:type w:val="continuous"/>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pursuant to Regulation 14A, which proxy statement will be filed with the Securities and Exchange Commission, or SEC, not later than 120 days after the close of our fiscal year ended December 31, 2025.</w:t>
      </w:r>
    </w:p>
    <w:p>
      <w:pPr>
        <w:spacing w:after="0" w:line="1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EXECUTIVE COMPENSATION</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regarding executive compensation will be included in our definitive proxy statement for our 2026 Annual Meeting of Stockholders, which we intend to file with the SEC within 120 days after December 31, 2025, and such information is incorporated herein by reference (excluding pay versus performance disclosure).</w:t>
      </w:r>
    </w:p>
    <w:p>
      <w:pPr>
        <w:spacing w:after="0" w:line="184" w:lineRule="exact"/>
        <w:rPr>
          <w:sz w:val="20"/>
          <w:szCs w:val="20"/>
          <w:color w:val="auto"/>
        </w:rPr>
      </w:pPr>
    </w:p>
    <w:p>
      <w:pPr>
        <w:jc w:val="both"/>
        <w:ind w:left="1220" w:right="20" w:hanging="1223"/>
        <w:spacing w:after="0" w:line="286" w:lineRule="auto"/>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regarding security ownership of certain beneficial owners and management and related stockholder matters will be included in our definitive proxy statement for our 2026 Annual Meeting of Stockholders, which we intend to file with the SEC within 120 days after December 31, 2025, and such information is incorporated herein by reference.</w:t>
      </w:r>
    </w:p>
    <w:p>
      <w:pPr>
        <w:spacing w:after="0" w:line="1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regarding certain relationships and related transactions, and director independence will be included in our definitive proxy statement for our 2026 Annual Meeting of Stockholders, which we intend to file with the SEC within 120 days after December 31, 2025, and such information is incorporated herein by reference.</w:t>
      </w:r>
    </w:p>
    <w:p>
      <w:pPr>
        <w:spacing w:after="0" w:line="1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independent public accounting firm is Ernst &amp; Young, LLP, Boston, MA, PCAOB Auditor ID: 42.</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our 2026 Annual Meeting of Stockholders, which we intend to file with the SEC within 120 days after December 31, 2025, and such information is incorporated herein by reference.</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10460"/>
          </w:cols>
          <w:pgMar w:left="900" w:top="926" w:right="880" w:bottom="175" w:gutter="0" w:footer="0" w:header="0"/>
          <w:type w:val="continuous"/>
        </w:sectPr>
      </w:pPr>
    </w:p>
    <w:bookmarkStart w:id="154" w:name="page155"/>
    <w:bookmarkEnd w:id="154"/>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FINANCIAL STATEMENT SCHEDULES</w:t>
      </w:r>
    </w:p>
    <w:p>
      <w:pPr>
        <w:spacing w:after="0" w:line="126" w:lineRule="exact"/>
        <w:rPr>
          <w:sz w:val="20"/>
          <w:szCs w:val="20"/>
          <w:color w:val="auto"/>
        </w:rPr>
      </w:pPr>
    </w:p>
    <w:p>
      <w:pPr>
        <w:ind w:left="727" w:hanging="727"/>
        <w:spacing w:after="0"/>
        <w:tabs>
          <w:tab w:leader="none" w:pos="727" w:val="left"/>
        </w:tabs>
        <w:numPr>
          <w:ilvl w:val="0"/>
          <w:numId w:val="5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Statements</w:t>
      </w:r>
    </w:p>
    <w:p>
      <w:pPr>
        <w:spacing w:after="0" w:line="118" w:lineRule="exact"/>
        <w:rPr>
          <w:sz w:val="20"/>
          <w:szCs w:val="20"/>
          <w:color w:val="auto"/>
        </w:rPr>
      </w:pPr>
    </w:p>
    <w:p>
      <w:pPr>
        <w:ind w:left="7"/>
        <w:spacing w:after="0" w:line="277" w:lineRule="auto"/>
        <w:rPr>
          <w:sz w:val="20"/>
          <w:szCs w:val="20"/>
          <w:color w:val="auto"/>
        </w:rPr>
      </w:pPr>
      <w:r>
        <w:rPr>
          <w:rFonts w:ascii="Times New Roman" w:cs="Times New Roman" w:eastAsia="Times New Roman" w:hAnsi="Times New Roman"/>
          <w:sz w:val="20"/>
          <w:szCs w:val="20"/>
          <w:color w:val="auto"/>
        </w:rPr>
        <w:t>For a list of the financial statements included herein, see Index to the Consolidated Financial Statements on page 113 of this Annual Report on Form 10-K, incorporated into this Item by reference.</w:t>
      </w:r>
    </w:p>
    <w:p>
      <w:pPr>
        <w:spacing w:after="0" w:line="171" w:lineRule="exact"/>
        <w:rPr>
          <w:sz w:val="20"/>
          <w:szCs w:val="20"/>
          <w:color w:val="auto"/>
        </w:rPr>
      </w:pPr>
    </w:p>
    <w:p>
      <w:pPr>
        <w:ind w:left="727" w:hanging="727"/>
        <w:spacing w:after="0"/>
        <w:tabs>
          <w:tab w:leader="none" w:pos="727"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 Schedules</w:t>
      </w:r>
    </w:p>
    <w:p>
      <w:pPr>
        <w:spacing w:after="0" w:line="118" w:lineRule="exact"/>
        <w:rPr>
          <w:sz w:val="20"/>
          <w:szCs w:val="20"/>
          <w:color w:val="auto"/>
        </w:rPr>
      </w:pPr>
    </w:p>
    <w:p>
      <w:pPr>
        <w:ind w:left="7"/>
        <w:spacing w:after="0" w:line="277" w:lineRule="auto"/>
        <w:rPr>
          <w:sz w:val="20"/>
          <w:szCs w:val="20"/>
          <w:color w:val="auto"/>
        </w:rPr>
      </w:pPr>
      <w:r>
        <w:rPr>
          <w:rFonts w:ascii="Times New Roman" w:cs="Times New Roman" w:eastAsia="Times New Roman" w:hAnsi="Times New Roman"/>
          <w:sz w:val="20"/>
          <w:szCs w:val="20"/>
          <w:color w:val="auto"/>
        </w:rPr>
        <w:t>Financial statement schedules have been omitted because they are either not required or not applicable or the information is included in the consolidated financial statements or the notes thereto.</w:t>
      </w:r>
    </w:p>
    <w:p>
      <w:pPr>
        <w:spacing w:after="0" w:line="171" w:lineRule="exact"/>
        <w:rPr>
          <w:sz w:val="20"/>
          <w:szCs w:val="20"/>
          <w:color w:val="auto"/>
        </w:rPr>
      </w:pPr>
    </w:p>
    <w:p>
      <w:pPr>
        <w:ind w:left="727" w:hanging="727"/>
        <w:spacing w:after="0"/>
        <w:tabs>
          <w:tab w:leader="none" w:pos="727" w:val="left"/>
        </w:tabs>
        <w:numPr>
          <w:ilvl w:val="0"/>
          <w:numId w:val="6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Exhibits</w:t>
      </w:r>
    </w:p>
    <w:p>
      <w:pPr>
        <w:spacing w:after="0" w:line="118"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20"/>
          <w:szCs w:val="20"/>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ectPr>
          <w:pgSz w:w="12240" w:h="15840" w:orient="portrait"/>
          <w:cols w:equalWidth="0" w:num="1">
            <w:col w:w="10467"/>
          </w:cols>
          <w:pgMar w:left="893"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10467"/>
          </w:cols>
          <w:pgMar w:left="893" w:top="926" w:right="880" w:bottom="175"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7"/>
                <w:szCs w:val="17"/>
                <w:color w:val="auto"/>
              </w:rPr>
            </w:pPr>
          </w:p>
        </w:tc>
        <w:tc>
          <w:tcPr>
            <w:tcW w:w="930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7"/>
                <w:szCs w:val="17"/>
                <w:color w:val="auto"/>
              </w:rPr>
            </w:pPr>
          </w:p>
        </w:tc>
      </w:tr>
      <w:tr>
        <w:trPr>
          <w:trHeight w:val="316"/>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and Plan of Merger and reorganization, dated as of August 9, 2022, by and among Gemini Therapeutics,</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 Gemstone Merger Sub, Inc. and Disc Medicine, Inc. (incorporated by reference to Annex A to the Registrant’s</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Proxy Statement/Prospectus on Form S-4 filed on September 2,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 Disc Medicine, Inc., dated February 5, 2021 (incorporated by</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reference to Exhibit 3.1 to the Registrant’s Current Report on Form 8-K filed on February 11, 2021).</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3.2</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Amendment to the Amended and Restated Certificate of Incorporation of Disc Medicine, Inc., dated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28, 2022 (incorporated by reference to Exhibit 3.1 to the Registrant’s Current Report on Form 8-K filed</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 December 29,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3.3</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Amendment to the Amended and Restated Certificate of Incorporation of Disc Medicine, Inc., dated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29, 2022 (incorporated by reference to Exhibit 3.2 to the Registrant’s Current Report on Form 8-K filed</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 December 29,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By-laws of Disc Medicine, Inc. (incorporated by reference to Annex C to the Registrant's</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Proxy Statement/Prospectus on Form S-4/A filed on January 19, 2021 (Registration No. 333-249785)).</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Exchange Act (incorporated by</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reference to Exhibit 4.4 to Gemini Therapeutics, Inc.’s Annual Report on Form 10-K filed on March 10,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Rights Agreement, among Disc Medicine, Inc. and certain of its stockholders, dated December 28,</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2022 (incorporated by reference to Exhibit 10.1 to the Registrant’s Current Report on Form 8-K filed on December</w:t>
            </w:r>
          </w:p>
        </w:tc>
      </w:tr>
      <w:tr>
        <w:trPr>
          <w:trHeight w:val="266"/>
        </w:trPr>
        <w:tc>
          <w:tcPr>
            <w:tcW w:w="1000" w:type="dxa"/>
            <w:vAlign w:val="bottom"/>
          </w:tcPr>
          <w:p>
            <w:pPr>
              <w:spacing w:after="0"/>
              <w:rPr>
                <w:sz w:val="23"/>
                <w:szCs w:val="23"/>
                <w:color w:val="auto"/>
              </w:rPr>
            </w:pPr>
          </w:p>
        </w:tc>
        <w:tc>
          <w:tcPr>
            <w:tcW w:w="9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29, 2022).</w:t>
            </w:r>
          </w:p>
        </w:tc>
        <w:tc>
          <w:tcPr>
            <w:tcW w:w="20" w:type="dxa"/>
            <w:vAlign w:val="bottom"/>
          </w:tcPr>
          <w:p>
            <w:pPr>
              <w:spacing w:after="0"/>
              <w:rPr>
                <w:sz w:val="23"/>
                <w:szCs w:val="23"/>
                <w:color w:val="auto"/>
              </w:rPr>
            </w:pP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4.3</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Rights Agreement, dated February 5, 2021, by and among Gemini Therapeutics, Inc. and the</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 parties thereto (incorporated by reference to Exhibit 10.1 on Form 8-A12B/A filed on February 5,</w:t>
            </w:r>
          </w:p>
        </w:tc>
      </w:tr>
      <w:tr>
        <w:trPr>
          <w:trHeight w:val="266"/>
        </w:trPr>
        <w:tc>
          <w:tcPr>
            <w:tcW w:w="1000" w:type="dxa"/>
            <w:vAlign w:val="bottom"/>
          </w:tcPr>
          <w:p>
            <w:pPr>
              <w:spacing w:after="0"/>
              <w:rPr>
                <w:sz w:val="23"/>
                <w:szCs w:val="23"/>
                <w:color w:val="auto"/>
              </w:rPr>
            </w:pPr>
          </w:p>
        </w:tc>
        <w:tc>
          <w:tcPr>
            <w:tcW w:w="9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2021).</w:t>
            </w:r>
          </w:p>
        </w:tc>
        <w:tc>
          <w:tcPr>
            <w:tcW w:w="20" w:type="dxa"/>
            <w:vAlign w:val="bottom"/>
          </w:tcPr>
          <w:p>
            <w:pPr>
              <w:spacing w:after="0"/>
              <w:rPr>
                <w:sz w:val="23"/>
                <w:szCs w:val="23"/>
                <w:color w:val="auto"/>
              </w:rPr>
            </w:pP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Registrant’s Current Report on Form</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 (File No. 001-39438) filed February 14, 2023).</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Registrant's Current Report on Form</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 (File No. 001-39438) filed on January 24, 2025).</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License Agreement by and among Disc Medicine, Inc., F. Hoffmann-La Roche Ltd and Hoffmann-La Roche Inc.,</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May 7, 2021 (incorporated by reference to Exhibit 10.2 to the Registrant’s Proxy Statement/Prospectus on</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S-4 filed on September 2,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License Agreement by and between Disc Medicine, Inc. and AbbVie Deutschland GmbH &amp; Co, KG, dated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13, 2019 (incorporated by reference to Exhibit 10.3 to the Registrant’s Proxy Statement/Prospectus on</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S-4 filed on November 23,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Exclusive License Agreement, dated January 19, 2023, by and between Disc Medicine, Inc. and Mabwell</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Therapeutics, Inc. (incorporated by reference to Exhibit 10.1 to the Registrant’s Quarterly Report on Form 10-Q</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 No. 001-39438) filed on May 15, 2023).</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by and between Disc Medicine, Inc. and ARE-MA Region No. 75, LLC, dated October 29, 2021</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(incorporated by reference to Exhibit 10.4 to the Registrant’s Proxy Statement/Prospectus on Form S-4 filed on</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10.4</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Addendum to License Agreement by and among Disc Medicine, Inc., F. Hoffmann-La Roche Ltd and Hoffmann-La</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Roche Inc., dated December 7, 2021 (incorporated by reference to Exhibit 10.5 to the Registrant’s Proxy</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Statement/Prospectus on Form S-4 filed on September 2, 2022).</w:t>
            </w:r>
          </w:p>
        </w:tc>
      </w:tr>
    </w:tbl>
    <w:p>
      <w:pPr>
        <w:spacing w:after="0" w:line="200" w:lineRule="exact"/>
        <w:rPr>
          <w:sz w:val="20"/>
          <w:szCs w:val="20"/>
          <w:color w:val="auto"/>
        </w:rPr>
      </w:pPr>
    </w:p>
    <w:p>
      <w:pPr>
        <w:sectPr>
          <w:pgSz w:w="12240" w:h="15840" w:orient="portrait"/>
          <w:cols w:equalWidth="0" w:num="1">
            <w:col w:w="10460"/>
          </w:cols>
          <w:pgMar w:left="900" w:top="926" w:right="880" w:bottom="175" w:gutter="0" w:footer="0" w:header="0"/>
        </w:sect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10460"/>
          </w:cols>
          <w:pgMar w:left="900" w:top="926" w:right="880" w:bottom="175"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184"/>
        </w:trPr>
        <w:tc>
          <w:tcPr>
            <w:tcW w:w="10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7"/>
                <w:szCs w:val="17"/>
                <w:color w:val="auto"/>
              </w:rPr>
            </w:pPr>
          </w:p>
        </w:tc>
        <w:tc>
          <w:tcPr>
            <w:tcW w:w="9320" w:type="dxa"/>
            <w:vAlign w:val="bottom"/>
            <w:gridSpan w:val="2"/>
          </w:tcPr>
          <w:p>
            <w:pPr>
              <w:ind w:left="4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1"/>
        </w:trPr>
        <w:tc>
          <w:tcPr>
            <w:tcW w:w="1000" w:type="dxa"/>
            <w:vAlign w:val="bottom"/>
            <w:tcBorders>
              <w:top w:val="single" w:sz="8" w:color="auto"/>
            </w:tcBorders>
          </w:tcPr>
          <w:p>
            <w:pPr>
              <w:ind w:left="140"/>
              <w:spacing w:after="0" w:line="201" w:lineRule="exact"/>
              <w:rPr>
                <w:sz w:val="20"/>
                <w:szCs w:val="20"/>
                <w:color w:val="auto"/>
              </w:rPr>
            </w:pPr>
            <w:r>
              <w:rPr>
                <w:rFonts w:ascii="Times New Roman" w:cs="Times New Roman" w:eastAsia="Times New Roman" w:hAnsi="Times New Roman"/>
                <w:sz w:val="20"/>
                <w:szCs w:val="20"/>
                <w:color w:val="auto"/>
              </w:rPr>
              <w:t>10.5</w:t>
            </w:r>
          </w:p>
        </w:tc>
        <w:tc>
          <w:tcPr>
            <w:tcW w:w="140" w:type="dxa"/>
            <w:vAlign w:val="bottom"/>
          </w:tcPr>
          <w:p>
            <w:pPr>
              <w:spacing w:after="0"/>
              <w:rPr>
                <w:sz w:val="17"/>
                <w:szCs w:val="17"/>
                <w:color w:val="auto"/>
              </w:rPr>
            </w:pPr>
          </w:p>
        </w:tc>
        <w:tc>
          <w:tcPr>
            <w:tcW w:w="93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Amendment to Addendum to License Agreement by and among Disc Medicine, Inc., F. Hoffmann-La Roche Ltd</w:t>
            </w:r>
          </w:p>
        </w:tc>
        <w:tc>
          <w:tcPr>
            <w:tcW w:w="20" w:type="dxa"/>
            <w:vAlign w:val="bottom"/>
          </w:tcPr>
          <w:p>
            <w:pPr>
              <w:spacing w:after="0"/>
              <w:rPr>
                <w:sz w:val="17"/>
                <w:szCs w:val="17"/>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Hoffmann-La Roche Inc., dated February 28, 2022 (incorporated by reference to Exhibit 10.6 to the</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Registrant’s Proxy Statement/Prospectus on Form S-4 filed on September 2, 2022).</w:t>
            </w:r>
          </w:p>
        </w:tc>
      </w:tr>
      <w:tr>
        <w:trPr>
          <w:trHeight w:val="419"/>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Amendment to Addendum to License Agreement by and among Disc Medicine, Inc., F. Hoffmann-La</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Roche Ltd and Hoffmann-La Roche Inc., dated May 31, 2022 (incorporated by reference to Exhibit 10.7 to the</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Registrant’s Proxy Statement/Prospectus on Form S-4 filed on September 2,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10.7</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Third Amendment to Addendum to License Agreement by and among Disc Medicine, Inc., F. Hoffmann-La Roche</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Ltd and Hoffmann-La Roche Inc., dated October 19, 2022 (incorporated by reference to Exhibit 10.21 to the</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Registrant’s Proxy Statement/Prospectus on Form S-4 filed on November 3,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Issuance Agreement, dated as of December 29, 2022, by and between Disc Medicine Opco, Inc., F.</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Hoffmann-La Roche Ltd. and Hoffmann-La Roche Inc. (incorporated by reference to Exhibit 10.5 to the</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Registrant’s Current Report on Form 8-K filed on December 29,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10.9††</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Purchase and Restriction Agreement, dated September 13, 2019, by and between Disc Medicine, Inc. and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AbbVie Deutschland GmbH &amp; Co. KG (incorporated by reference to Exhibit 10.22 to the Registrant’s Proxy</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Statement/Prospectus on Form S-4 filed on November 23,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10.10#</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 Medicine, Inc. Amended and Restated 2021 Stock Option and Incentive Plan (incorporated by reference to</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99.1 of Disc Medicine, Inc.’s Form S-8 filed on January 18, 2023 (Registration No. 333-269271)).</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Forms of Award Agreements under the Disc Medicine, Inc. Amended and Restated 2021 Stock Option and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Incentive Plan (incorporated by reference to Exhibit 99.2 of Disc Medicine, Inc.’s Form S-8 filed on January 18,</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2023 (Registration No. 333-269271)).</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10.12#</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 Medicine, Inc. Amended and Restated 2021 Employee Stock Purchase Plan (incorporated by reference to</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99.3 of Disc Medicine, Inc.’s Form S-8 filed on January 18, 2023 (Registration No. 333-269271)).</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10.13#</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2017 Stock Option and Grant Plan of Disc Medicine, Inc., and form of award agreements thereunder (incorporated</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reference to Exhibit 10.9 to the Registrant’s Current Report on Form 8-K filed on December 29,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10.14#</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2021 Inducement Plan (incorporated by reference to Exhibit 99.3 of Gemini Therapeutics, Inc.’s Form S-8 filed on</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April 13, 2021 (Registration No. 333-255194)).</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10.15#</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Indemnification Agreement for Directors of Disc Medicine, Inc. (incorporated by reference to Exhibit 10.3</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 the Registrant’s Current Report on Form 8-K filed on December 29,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10.16#</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Indemnification Agreement for Officers of Disc Medicine, Inc. (incorporated by reference to Exhibit 10.4</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 the Registrant’s Current Report on Form 8-K filed on December 29, 2022).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10.17#</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Employment Agreement, dated as of December 29, 2022, by and between Disc Medicine, Inc. and John Quisel, J.D.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Ph.D. (incorporated by reference to Exhibit 10.6 to the Registrant’s Current Report on Form 8-K filed on December</w:t>
            </w:r>
          </w:p>
        </w:tc>
      </w:tr>
      <w:tr>
        <w:trPr>
          <w:trHeight w:val="266"/>
        </w:trPr>
        <w:tc>
          <w:tcPr>
            <w:tcW w:w="1000" w:type="dxa"/>
            <w:vAlign w:val="bottom"/>
          </w:tcPr>
          <w:p>
            <w:pPr>
              <w:spacing w:after="0"/>
              <w:rPr>
                <w:sz w:val="23"/>
                <w:szCs w:val="23"/>
                <w:color w:val="auto"/>
              </w:rPr>
            </w:pPr>
          </w:p>
        </w:tc>
        <w:tc>
          <w:tcPr>
            <w:tcW w:w="9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29, 2022).</w:t>
            </w:r>
          </w:p>
        </w:tc>
        <w:tc>
          <w:tcPr>
            <w:tcW w:w="20" w:type="dxa"/>
            <w:vAlign w:val="bottom"/>
          </w:tcPr>
          <w:p>
            <w:pPr>
              <w:spacing w:after="0"/>
              <w:rPr>
                <w:sz w:val="23"/>
                <w:szCs w:val="23"/>
                <w:color w:val="auto"/>
              </w:rPr>
            </w:pP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10.18#</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dated as of December 29, 2022, by and between Disc Medicine, Inc. and William Savage,</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M.D., Ph.D. (incorporated by reference to Exhibit 10.19 to the Registrant’s Annual Report on Form 10-K (File No.</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001-39438) filed on March 31, 2023).</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10.19#</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dated as of December 29, 2022, by and between Disc Medicine, Inc. and Jonathan Yu</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(incorporated by reference to Exhibit 10.20 to the Registrant’s Annual Report on Form 10-K (File No. 001-39438)</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filed on March 31, 2023).</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10.20#</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dated as of February 7, 2024, by and between Disc Medicine, Inc. and Jean M. Franchi</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(incorporated by reference to Exhibit 10.1 to the Registrant’s Current Report on Form 8-K (File No. 001-39438)</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filed on February 7, 2024).</w:t>
            </w:r>
          </w:p>
        </w:tc>
      </w:tr>
    </w:tbl>
    <w:p>
      <w:pPr>
        <w:spacing w:after="0" w:line="200" w:lineRule="exact"/>
        <w:rPr>
          <w:sz w:val="20"/>
          <w:szCs w:val="20"/>
          <w:color w:val="auto"/>
        </w:rPr>
      </w:pPr>
    </w:p>
    <w:p>
      <w:pPr>
        <w:sectPr>
          <w:pgSz w:w="12240" w:h="15840" w:orient="portrait"/>
          <w:cols w:equalWidth="0" w:num="1">
            <w:col w:w="10460"/>
          </w:cols>
          <w:pgMar w:left="900" w:top="930" w:right="880" w:bottom="175"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10460"/>
          </w:cols>
          <w:pgMar w:left="900" w:top="930" w:right="880" w:bottom="175" w:gutter="0" w:footer="0" w:header="0"/>
          <w:type w:val="continuous"/>
        </w:sectPr>
      </w:pPr>
    </w:p>
    <w:bookmarkStart w:id="157" w:name="page158"/>
    <w:bookmarkEnd w:id="157"/>
    <w:tbl>
      <w:tblPr>
        <w:tblLayout w:type="fixed"/>
        <w:tblInd w:w="7" w:type="dxa"/>
        <w:tblCellMar>
          <w:top w:w="0" w:type="dxa"/>
          <w:left w:w="0" w:type="dxa"/>
          <w:bottom w:w="0" w:type="dxa"/>
          <w:right w:w="0" w:type="dxa"/>
        </w:tblCellMar>
      </w:tblPr>
      <w:tr>
        <w:trPr>
          <w:trHeight w:val="184"/>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4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0" w:type="dxa"/>
            <w:vAlign w:val="bottom"/>
          </w:tcPr>
          <w:p>
            <w:pPr>
              <w:spacing w:after="0"/>
              <w:rPr>
                <w:sz w:val="17"/>
                <w:szCs w:val="17"/>
                <w:color w:val="auto"/>
              </w:rPr>
            </w:pPr>
          </w:p>
        </w:tc>
        <w:tc>
          <w:tcPr>
            <w:tcW w:w="930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7"/>
                <w:szCs w:val="17"/>
                <w:color w:val="auto"/>
              </w:rPr>
            </w:pPr>
          </w:p>
        </w:tc>
      </w:tr>
      <w:tr>
        <w:trPr>
          <w:trHeight w:val="426"/>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Non-Qualified Stock Option Agreement Non-Plan Inducement Grant Restricted Stock Unit Award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 Non-Plan Inducement Grant (incorporated by reference to Exhibit 99.5 to the Registrant’s Registration</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Statement on Form S-8 (File No 333-278129) filed on March 21, 2024).</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10.22#</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Restricted Stock Unit Award Agreement Non-Plan Inducement Grant (incorporated by reference to Exhibit</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99.6 to the Registrant’s Registration Statement on Form S-8 (File No 333-278129) filed on March 21, 2024).</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10.23</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Amendment to Lease, dated August 29, 2024, by and between Disc Medicine, Inc. and ARE-MA Region</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 75. LLC (incorporated by reference to Exhibit 10.1 to the Registrant’s Quarterly Report on Form 10-Q filed on</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November 12, 2024).</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10.24††+</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 and Security Agreement, dated as of November 6, 2024, by and among Disc Medicine, Inc., the other</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Borrower party thereto, the Lenders party thereto, and Hercules Capital, Inc., as Agent (incorporated by reference to</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10.1 to the Registrant's Current Report on Form 8-K (File No. 001-39438) filed on November 8, 2024).</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10.25</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Controlled Equity Offering</w:t>
            </w:r>
            <w:r>
              <w:rPr>
                <w:rFonts w:ascii="Times New Roman" w:cs="Times New Roman" w:eastAsia="Times New Roman" w:hAnsi="Times New Roman"/>
                <w:sz w:val="26"/>
                <w:szCs w:val="26"/>
                <w:color w:val="auto"/>
                <w:w w:val="99"/>
                <w:vertAlign w:val="superscript"/>
              </w:rPr>
              <w:t>SM</w:t>
            </w:r>
            <w:r>
              <w:rPr>
                <w:rFonts w:ascii="Times New Roman" w:cs="Times New Roman" w:eastAsia="Times New Roman" w:hAnsi="Times New Roman"/>
                <w:sz w:val="20"/>
                <w:szCs w:val="20"/>
                <w:color w:val="auto"/>
                <w:w w:val="99"/>
              </w:rPr>
              <w:t xml:space="preserve"> Sales Agreement, dated November 15, 2024, by and between Disc Medicine, Inc. and</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Cantor Fitzgerald &amp; Co. (incorporated by reference to Exhibit 1.1 to the Registrant's Current Report on Form 8-K</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 No. 001-39438) filed on November 15, 2024).</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10.26††</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Side Letter Agreement dated December 24, 2024 by and among Disc Medicine, Inc., Mabwell Therapeutics, Inc.</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Mabwell (Shanghai) Bioscience, Inc. (incorporated by reference to Exhibit 10.27 to the Registrant’s Annual</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on Form 10-K filed on February 27, 2025).</w:t>
            </w:r>
          </w:p>
        </w:tc>
      </w:tr>
      <w:tr>
        <w:trPr>
          <w:trHeight w:val="46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14.1*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Code of Business Conduct and Ethics of Disc Medicine, Inc.</w:t>
            </w:r>
          </w:p>
        </w:tc>
      </w:tr>
      <w:tr>
        <w:trPr>
          <w:trHeight w:val="46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19.1*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46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21.1*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List of Subsidiaries of Disc Medicine, Inc.</w:t>
            </w:r>
          </w:p>
        </w:tc>
      </w:tr>
      <w:tr>
        <w:trPr>
          <w:trHeight w:val="46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23.1*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Ernst &amp; Young LLP, independent registered accounting firm.</w:t>
            </w:r>
          </w:p>
        </w:tc>
      </w:tr>
      <w:tr>
        <w:trPr>
          <w:trHeight w:val="46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31.1*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Section 302 of the Sarbanes-Oxley Act of 2002</w:t>
            </w:r>
          </w:p>
        </w:tc>
      </w:tr>
      <w:tr>
        <w:trPr>
          <w:trHeight w:val="460"/>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31.2*</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Section 302 of the Sarbanes-Oxley Act of 2002</w:t>
            </w: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32.1**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 pursuant to Section 906 of the Sarbanes-Oxley Act of</w:t>
            </w:r>
          </w:p>
        </w:tc>
      </w:tr>
      <w:tr>
        <w:trPr>
          <w:trHeight w:val="266"/>
        </w:trPr>
        <w:tc>
          <w:tcPr>
            <w:tcW w:w="1000" w:type="dxa"/>
            <w:vAlign w:val="bottom"/>
          </w:tcPr>
          <w:p>
            <w:pPr>
              <w:spacing w:after="0"/>
              <w:rPr>
                <w:sz w:val="23"/>
                <w:szCs w:val="23"/>
                <w:color w:val="auto"/>
              </w:rPr>
            </w:pPr>
          </w:p>
        </w:tc>
        <w:tc>
          <w:tcPr>
            <w:tcW w:w="9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2002</w:t>
            </w:r>
          </w:p>
        </w:tc>
        <w:tc>
          <w:tcPr>
            <w:tcW w:w="20" w:type="dxa"/>
            <w:vAlign w:val="bottom"/>
          </w:tcPr>
          <w:p>
            <w:pPr>
              <w:spacing w:after="0"/>
              <w:rPr>
                <w:sz w:val="23"/>
                <w:szCs w:val="23"/>
                <w:color w:val="auto"/>
              </w:rPr>
            </w:pPr>
          </w:p>
        </w:tc>
      </w:tr>
      <w:tr>
        <w:trPr>
          <w:trHeight w:val="424"/>
        </w:trPr>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97.1</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Compensation Recovery Policy (incorporated by reference to Exhibit 97.1 to the Registrant’s Annual Report on</w:t>
            </w:r>
          </w:p>
        </w:tc>
      </w:tr>
      <w:tr>
        <w:trPr>
          <w:trHeight w:val="266"/>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10-K filed on February 27, 2025).</w:t>
            </w:r>
          </w:p>
        </w:tc>
      </w:tr>
      <w:tr>
        <w:trPr>
          <w:trHeight w:val="46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101.INS</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46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101.SCH</w:t>
            </w:r>
          </w:p>
        </w:tc>
        <w:tc>
          <w:tcPr>
            <w:tcW w:w="1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bl>
    <w:p>
      <w:pPr>
        <w:spacing w:after="0" w:line="194" w:lineRule="exact"/>
        <w:rPr>
          <w:sz w:val="20"/>
          <w:szCs w:val="20"/>
          <w:color w:val="auto"/>
        </w:rPr>
      </w:pPr>
    </w:p>
    <w:p>
      <w:pPr>
        <w:ind w:left="1147" w:hanging="1003"/>
        <w:spacing w:after="0"/>
        <w:tabs>
          <w:tab w:leader="none" w:pos="114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120" w:lineRule="exact"/>
        <w:rPr>
          <w:rFonts w:ascii="Times New Roman" w:cs="Times New Roman" w:eastAsia="Times New Roman" w:hAnsi="Times New Roman"/>
          <w:sz w:val="20"/>
          <w:szCs w:val="20"/>
          <w:color w:val="auto"/>
        </w:rPr>
      </w:pPr>
    </w:p>
    <w:p>
      <w:pPr>
        <w:ind w:left="147" w:hanging="147"/>
        <w:spacing w:after="0"/>
        <w:tabs>
          <w:tab w:leader="none" w:pos="14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rFonts w:ascii="Times New Roman" w:cs="Times New Roman" w:eastAsia="Times New Roman" w:hAnsi="Times New Roman"/>
          <w:sz w:val="20"/>
          <w:szCs w:val="20"/>
          <w:color w:val="auto"/>
        </w:rPr>
      </w:pPr>
    </w:p>
    <w:p>
      <w:pPr>
        <w:ind w:left="247" w:hanging="247"/>
        <w:spacing w:after="0"/>
        <w:tabs>
          <w:tab w:leader="none" w:pos="24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ind w:left="7"/>
        <w:spacing w:after="0"/>
        <w:rPr>
          <w:sz w:val="20"/>
          <w:szCs w:val="20"/>
          <w:color w:val="auto"/>
        </w:rPr>
      </w:pPr>
      <w:r>
        <w:rPr>
          <w:rFonts w:ascii="Times New Roman" w:cs="Times New Roman" w:eastAsia="Times New Roman" w:hAnsi="Times New Roman"/>
          <w:sz w:val="20"/>
          <w:szCs w:val="20"/>
          <w:color w:val="auto"/>
        </w:rPr>
        <w:t># Indicates a management contract or compensatory plan.</w:t>
      </w:r>
    </w:p>
    <w:p>
      <w:pPr>
        <w:jc w:val="both"/>
        <w:ind w:left="7" w:hanging="7"/>
        <w:spacing w:after="0"/>
        <w:tabs>
          <w:tab w:leader="none" w:pos="2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annexes, schedules, and certain exhibits to the Merger Agreement have been omitted pursuant to Item 601(b)(2) of Regulation S-K. Gemini hereby agrees to furnish supplementally a copy of any omitted annex, schedule or exhibit to the Commission upon request.</w:t>
      </w:r>
    </w:p>
    <w:p>
      <w:pPr>
        <w:ind w:left="7" w:righ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Portions of this exhibit (indicated by asterisks) have been omitted in accordance with the rules of the Securities and Exchange Commission.</w:t>
      </w:r>
    </w:p>
    <w:p>
      <w:pPr>
        <w:ind w:left="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Portions of this exhibit are redacted in accordance with Item 601(b)(10)(iv) of Regulation S-K.</w:t>
      </w:r>
    </w:p>
    <w:p>
      <w:pPr>
        <w:sectPr>
          <w:pgSz w:w="12240" w:h="15840" w:orient="portrait"/>
          <w:cols w:equalWidth="0" w:num="1">
            <w:col w:w="10467"/>
          </w:cols>
          <w:pgMar w:left="893" w:top="930" w:right="880" w:bottom="175"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10467"/>
          </w:cols>
          <w:pgMar w:left="893" w:top="930" w:right="880" w:bottom="175" w:gutter="0" w:footer="0" w:header="0"/>
          <w:type w:val="continuous"/>
        </w:sectPr>
      </w:pPr>
    </w:p>
    <w:bookmarkStart w:id="158" w:name="page159"/>
    <w:bookmarkEnd w:id="158"/>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00"/>
          </w:cols>
          <w:pgMar w:left="900" w:top="92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900"/>
          </w:cols>
          <w:pgMar w:left="900" w:top="926" w:right="1440" w:bottom="175" w:gutter="0" w:footer="0" w:header="0"/>
          <w:type w:val="continuous"/>
        </w:sectPr>
      </w:pPr>
    </w:p>
    <w:bookmarkStart w:id="159" w:name="page160"/>
    <w:bookmarkEnd w:id="15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00" w:type="dxa"/>
            <w:vAlign w:val="bottom"/>
          </w:tcPr>
          <w:p>
            <w:pPr>
              <w:spacing w:after="0"/>
              <w:rPr>
                <w:sz w:val="23"/>
                <w:szCs w:val="23"/>
                <w:color w:val="auto"/>
              </w:rPr>
            </w:pPr>
          </w:p>
        </w:tc>
        <w:tc>
          <w:tcPr>
            <w:tcW w:w="6940" w:type="dxa"/>
            <w:vAlign w:val="bottom"/>
            <w:gridSpan w:val="2"/>
          </w:tcPr>
          <w:p>
            <w:pPr>
              <w:ind w:left="1540"/>
              <w:spacing w:after="0"/>
              <w:rPr>
                <w:sz w:val="20"/>
                <w:szCs w:val="20"/>
                <w:color w:val="auto"/>
              </w:rPr>
            </w:pPr>
            <w:r>
              <w:rPr>
                <w:rFonts w:ascii="Times New Roman" w:cs="Times New Roman" w:eastAsia="Times New Roman" w:hAnsi="Times New Roman"/>
                <w:sz w:val="20"/>
                <w:szCs w:val="20"/>
                <w:b w:val="1"/>
                <w:bCs w:val="1"/>
                <w:color w:val="auto"/>
              </w:rPr>
              <w:t>DISC MEDICINE, INC.</w:t>
            </w:r>
          </w:p>
        </w:tc>
      </w:tr>
      <w:tr>
        <w:trPr>
          <w:trHeight w:val="474"/>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26, 2026</w:t>
            </w:r>
          </w:p>
        </w:tc>
        <w:tc>
          <w:tcPr>
            <w:tcW w:w="6940" w:type="dxa"/>
            <w:vAlign w:val="bottom"/>
            <w:gridSpan w:val="2"/>
          </w:tcPr>
          <w:p>
            <w:pPr>
              <w:ind w:left="1540"/>
              <w:spacing w:after="0"/>
              <w:rPr>
                <w:sz w:val="20"/>
                <w:szCs w:val="20"/>
                <w:color w:val="auto"/>
              </w:rPr>
            </w:pPr>
            <w:r>
              <w:rPr>
                <w:rFonts w:ascii="Times New Roman" w:cs="Times New Roman" w:eastAsia="Times New Roman" w:hAnsi="Times New Roman"/>
                <w:sz w:val="20"/>
                <w:szCs w:val="20"/>
                <w:color w:val="auto"/>
              </w:rPr>
              <w:t>By:  /s/ Jean Franchi</w:t>
            </w:r>
          </w:p>
        </w:tc>
      </w:tr>
      <w:tr>
        <w:trPr>
          <w:trHeight w:val="251"/>
        </w:trPr>
        <w:tc>
          <w:tcPr>
            <w:tcW w:w="35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Jean Franchi</w:t>
            </w:r>
          </w:p>
        </w:tc>
      </w:tr>
      <w:tr>
        <w:trPr>
          <w:trHeight w:val="230"/>
        </w:trPr>
        <w:tc>
          <w:tcPr>
            <w:tcW w:w="3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6"/>
        </w:trPr>
        <w:tc>
          <w:tcPr>
            <w:tcW w:w="3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bl>
    <w:p>
      <w:pPr>
        <w:spacing w:after="0" w:line="200" w:lineRule="exact"/>
        <w:rPr>
          <w:sz w:val="20"/>
          <w:szCs w:val="20"/>
          <w:color w:val="auto"/>
        </w:rPr>
      </w:pP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10460"/>
          </w:cols>
          <w:pgMar w:left="900" w:top="926" w:right="880" w:bottom="175" w:gutter="0" w:footer="0" w:header="0"/>
          <w:type w:val="continuous"/>
        </w:sectPr>
      </w:pPr>
    </w:p>
    <w:bookmarkStart w:id="160" w:name="page161"/>
    <w:bookmarkEnd w:id="16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each of John Quisel, J.D., Ph.D., Jean Franchi and Rahul Khara, Pharm.D., J.D., acting alone or together with another attorney-in-fact, as his or her true and lawful attorney -in-fact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60" w:type="dxa"/>
            <w:vAlign w:val="bottom"/>
          </w:tcPr>
          <w:p>
            <w:pPr>
              <w:spacing w:after="0"/>
              <w:rPr>
                <w:sz w:val="19"/>
                <w:szCs w:val="19"/>
                <w:color w:val="auto"/>
              </w:rPr>
            </w:pPr>
          </w:p>
        </w:tc>
        <w:tc>
          <w:tcPr>
            <w:tcW w:w="432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60" w:type="dxa"/>
            <w:vAlign w:val="bottom"/>
          </w:tcPr>
          <w:p>
            <w:pPr>
              <w:spacing w:after="0"/>
              <w:rPr>
                <w:sz w:val="19"/>
                <w:szCs w:val="19"/>
                <w:color w:val="auto"/>
              </w:rPr>
            </w:pPr>
          </w:p>
        </w:tc>
        <w:tc>
          <w:tcPr>
            <w:tcW w:w="17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6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/s/ John Quisel</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39"/>
        </w:trPr>
        <w:tc>
          <w:tcPr>
            <w:tcW w:w="4040" w:type="dxa"/>
            <w:vAlign w:val="bottom"/>
            <w:tcBorders>
              <w:bottom w:val="single" w:sz="8" w:color="auto"/>
            </w:tcBorders>
          </w:tcPr>
          <w:p>
            <w:pPr>
              <w:spacing w:after="0"/>
              <w:rPr>
                <w:sz w:val="3"/>
                <w:szCs w:val="3"/>
                <w:color w:val="auto"/>
              </w:rPr>
            </w:pPr>
          </w:p>
        </w:tc>
        <w:tc>
          <w:tcPr>
            <w:tcW w:w="4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John Quisel, J.D., Ph.D.</w:t>
            </w:r>
          </w:p>
        </w:tc>
        <w:tc>
          <w:tcPr>
            <w:tcW w:w="44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/s/ Jean Franchi</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Chief Financial Officer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40"/>
        </w:trPr>
        <w:tc>
          <w:tcPr>
            <w:tcW w:w="4040" w:type="dxa"/>
            <w:vAlign w:val="bottom"/>
            <w:tcBorders>
              <w:bottom w:val="single" w:sz="8" w:color="auto"/>
            </w:tcBorders>
          </w:tcPr>
          <w:p>
            <w:pPr>
              <w:spacing w:after="0"/>
              <w:rPr>
                <w:sz w:val="3"/>
                <w:szCs w:val="3"/>
                <w:color w:val="auto"/>
              </w:rPr>
            </w:pPr>
          </w:p>
        </w:tc>
        <w:tc>
          <w:tcPr>
            <w:tcW w:w="4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Jean Franchi</w:t>
            </w:r>
          </w:p>
        </w:tc>
        <w:tc>
          <w:tcPr>
            <w:tcW w:w="44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Donald Nicholson</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Donald Nicholson, Ph.D.</w:t>
            </w: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Kevin Bitterman</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Kevin Bitterman, Ph.D.</w:t>
            </w: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Liam Ratcliffe</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Liam Ratcliffe, M.D., Ph.D.</w:t>
            </w: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William White</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William White MPP, J.D.</w:t>
            </w: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Chin</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Mark Chin, MS, MBA</w:t>
            </w: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Georges Gemayel</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Georges Gemayel, Ph.D.</w:t>
            </w: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Nadim Ahmed</w:t>
            </w: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Nadim Ahmed</w:t>
            </w: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10460"/>
          </w:cols>
          <w:pgMar w:left="900" w:top="926" w:right="880" w:bottom="175" w:gutter="0" w:footer="0" w:header="0"/>
          <w:type w:val="continuous"/>
        </w:sectPr>
      </w:pPr>
    </w:p>
    <w:bookmarkStart w:id="161" w:name="page162"/>
    <w:bookmarkEnd w:id="16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62" w:name="page163"/>
    <w:bookmarkEnd w:id="16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5459095</wp:posOffset>
            </wp:positionH>
            <wp:positionV relativeFrom="page">
              <wp:posOffset>0</wp:posOffset>
            </wp:positionV>
            <wp:extent cx="2313305" cy="3227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0">
                      <a:extLst>
                        <a:ext uri="{28A0092B-C50C-407E-A947-70E740481C1C}"/>
                      </a:extLst>
                    </a:blip>
                    <a:srcRect/>
                    <a:stretch>
                      <a:fillRect/>
                    </a:stretch>
                  </pic:blipFill>
                  <pic:spPr bwMode="auto">
                    <a:xfrm>
                      <a:off x="0" y="0"/>
                      <a:ext cx="2313305" cy="322707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314"/>
        </w:trPr>
        <w:tc>
          <w:tcPr>
            <w:tcW w:w="3000" w:type="dxa"/>
            <w:vAlign w:val="bottom"/>
          </w:tcPr>
          <w:p>
            <w:pPr>
              <w:spacing w:after="0"/>
              <w:rPr>
                <w:sz w:val="20"/>
                <w:szCs w:val="20"/>
                <w:color w:val="auto"/>
              </w:rPr>
            </w:pPr>
            <w:r>
              <w:rPr>
                <w:rFonts w:ascii="Arial" w:cs="Arial" w:eastAsia="Arial" w:hAnsi="Arial"/>
                <w:sz w:val="22"/>
                <w:szCs w:val="22"/>
                <w:b w:val="1"/>
                <w:bCs w:val="1"/>
                <w:color w:val="252525"/>
              </w:rPr>
              <w:t>B</w:t>
            </w:r>
            <w:r>
              <w:rPr>
                <w:rFonts w:ascii="Arial" w:cs="Arial" w:eastAsia="Arial" w:hAnsi="Arial"/>
                <w:sz w:val="18"/>
                <w:szCs w:val="18"/>
                <w:b w:val="1"/>
                <w:bCs w:val="1"/>
                <w:color w:val="252525"/>
              </w:rPr>
              <w:t>OARD OF</w:t>
            </w:r>
            <w:r>
              <w:rPr>
                <w:rFonts w:ascii="Arial" w:cs="Arial" w:eastAsia="Arial" w:hAnsi="Arial"/>
                <w:sz w:val="22"/>
                <w:szCs w:val="22"/>
                <w:b w:val="1"/>
                <w:bCs w:val="1"/>
                <w:color w:val="252525"/>
              </w:rPr>
              <w:t xml:space="preserve"> D</w:t>
            </w:r>
            <w:r>
              <w:rPr>
                <w:rFonts w:ascii="Arial" w:cs="Arial" w:eastAsia="Arial" w:hAnsi="Arial"/>
                <w:sz w:val="18"/>
                <w:szCs w:val="18"/>
                <w:b w:val="1"/>
                <w:bCs w:val="1"/>
                <w:color w:val="252525"/>
              </w:rPr>
              <w:t>IRECTORS</w:t>
            </w:r>
          </w:p>
        </w:tc>
        <w:tc>
          <w:tcPr>
            <w:tcW w:w="3180" w:type="dxa"/>
            <w:vAlign w:val="bottom"/>
          </w:tcPr>
          <w:p>
            <w:pPr>
              <w:ind w:left="120"/>
              <w:spacing w:after="0"/>
              <w:rPr>
                <w:sz w:val="20"/>
                <w:szCs w:val="20"/>
                <w:color w:val="auto"/>
              </w:rPr>
            </w:pPr>
            <w:r>
              <w:rPr>
                <w:rFonts w:ascii="Arial" w:cs="Arial" w:eastAsia="Arial" w:hAnsi="Arial"/>
                <w:sz w:val="22"/>
                <w:szCs w:val="22"/>
                <w:b w:val="1"/>
                <w:bCs w:val="1"/>
                <w:color w:val="252525"/>
              </w:rPr>
              <w:t>E</w:t>
            </w:r>
            <w:r>
              <w:rPr>
                <w:rFonts w:ascii="Arial" w:cs="Arial" w:eastAsia="Arial" w:hAnsi="Arial"/>
                <w:sz w:val="18"/>
                <w:szCs w:val="18"/>
                <w:b w:val="1"/>
                <w:bCs w:val="1"/>
                <w:color w:val="252525"/>
              </w:rPr>
              <w:t>XECUTIVE</w:t>
            </w:r>
            <w:r>
              <w:rPr>
                <w:rFonts w:ascii="Arial" w:cs="Arial" w:eastAsia="Arial" w:hAnsi="Arial"/>
                <w:sz w:val="22"/>
                <w:szCs w:val="22"/>
                <w:b w:val="1"/>
                <w:bCs w:val="1"/>
                <w:color w:val="252525"/>
              </w:rPr>
              <w:t xml:space="preserve"> O</w:t>
            </w:r>
            <w:r>
              <w:rPr>
                <w:rFonts w:ascii="Arial" w:cs="Arial" w:eastAsia="Arial" w:hAnsi="Arial"/>
                <w:sz w:val="18"/>
                <w:szCs w:val="18"/>
                <w:b w:val="1"/>
                <w:bCs w:val="1"/>
                <w:color w:val="252525"/>
              </w:rPr>
              <w:t>FFICERS</w:t>
            </w:r>
          </w:p>
        </w:tc>
        <w:tc>
          <w:tcPr>
            <w:tcW w:w="3000" w:type="dxa"/>
            <w:vAlign w:val="bottom"/>
          </w:tcPr>
          <w:p>
            <w:pPr>
              <w:ind w:left="120"/>
              <w:spacing w:after="0"/>
              <w:rPr>
                <w:sz w:val="20"/>
                <w:szCs w:val="20"/>
                <w:color w:val="auto"/>
              </w:rPr>
            </w:pPr>
            <w:r>
              <w:rPr>
                <w:rFonts w:ascii="Arial" w:cs="Arial" w:eastAsia="Arial" w:hAnsi="Arial"/>
                <w:sz w:val="22"/>
                <w:szCs w:val="22"/>
                <w:b w:val="1"/>
                <w:bCs w:val="1"/>
                <w:color w:val="252525"/>
              </w:rPr>
              <w:t>C</w:t>
            </w:r>
            <w:r>
              <w:rPr>
                <w:rFonts w:ascii="Arial" w:cs="Arial" w:eastAsia="Arial" w:hAnsi="Arial"/>
                <w:sz w:val="18"/>
                <w:szCs w:val="18"/>
                <w:b w:val="1"/>
                <w:bCs w:val="1"/>
                <w:color w:val="252525"/>
              </w:rPr>
              <w:t>ORPORATE</w:t>
            </w:r>
            <w:r>
              <w:rPr>
                <w:rFonts w:ascii="Arial" w:cs="Arial" w:eastAsia="Arial" w:hAnsi="Arial"/>
                <w:sz w:val="22"/>
                <w:szCs w:val="22"/>
                <w:b w:val="1"/>
                <w:bCs w:val="1"/>
                <w:color w:val="252525"/>
              </w:rPr>
              <w:t xml:space="preserve"> H</w:t>
            </w:r>
            <w:r>
              <w:rPr>
                <w:rFonts w:ascii="Arial" w:cs="Arial" w:eastAsia="Arial" w:hAnsi="Arial"/>
                <w:sz w:val="18"/>
                <w:szCs w:val="18"/>
                <w:b w:val="1"/>
                <w:bCs w:val="1"/>
                <w:color w:val="252525"/>
              </w:rPr>
              <w:t>EADQUARTERS</w:t>
            </w:r>
          </w:p>
        </w:tc>
      </w:tr>
      <w:tr>
        <w:trPr>
          <w:trHeight w:val="314"/>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22"/>
                <w:szCs w:val="22"/>
                <w:color w:val="252525"/>
                <w:w w:val="99"/>
              </w:rPr>
              <w:t>321 Arsenal Street, Suite 101</w:t>
            </w:r>
          </w:p>
        </w:tc>
      </w:tr>
      <w:tr>
        <w:trPr>
          <w:trHeight w:val="338"/>
        </w:trPr>
        <w:tc>
          <w:tcPr>
            <w:tcW w:w="3000" w:type="dxa"/>
            <w:vAlign w:val="bottom"/>
          </w:tcPr>
          <w:p>
            <w:pPr>
              <w:spacing w:after="0"/>
              <w:rPr>
                <w:sz w:val="20"/>
                <w:szCs w:val="20"/>
                <w:color w:val="auto"/>
              </w:rPr>
            </w:pPr>
            <w:r>
              <w:rPr>
                <w:rFonts w:ascii="Arial" w:cs="Arial" w:eastAsia="Arial" w:hAnsi="Arial"/>
                <w:sz w:val="22"/>
                <w:szCs w:val="22"/>
                <w:b w:val="1"/>
                <w:bCs w:val="1"/>
                <w:color w:val="252525"/>
              </w:rPr>
              <w:t>John Quisel, J.D., Ph.D.</w:t>
            </w:r>
          </w:p>
        </w:tc>
        <w:tc>
          <w:tcPr>
            <w:tcW w:w="3180" w:type="dxa"/>
            <w:vAlign w:val="bottom"/>
          </w:tcPr>
          <w:p>
            <w:pPr>
              <w:ind w:left="120"/>
              <w:spacing w:after="0"/>
              <w:rPr>
                <w:sz w:val="20"/>
                <w:szCs w:val="20"/>
                <w:color w:val="auto"/>
              </w:rPr>
            </w:pPr>
            <w:r>
              <w:rPr>
                <w:rFonts w:ascii="Arial" w:cs="Arial" w:eastAsia="Arial" w:hAnsi="Arial"/>
                <w:sz w:val="22"/>
                <w:szCs w:val="22"/>
                <w:b w:val="1"/>
                <w:bCs w:val="1"/>
                <w:color w:val="252525"/>
              </w:rPr>
              <w:t>John Quisel, J.D., Ph.D.</w:t>
            </w:r>
          </w:p>
        </w:tc>
        <w:tc>
          <w:tcPr>
            <w:tcW w:w="3000" w:type="dxa"/>
            <w:vAlign w:val="bottom"/>
          </w:tcPr>
          <w:p>
            <w:pPr>
              <w:ind w:left="120"/>
              <w:spacing w:after="0"/>
              <w:rPr>
                <w:sz w:val="20"/>
                <w:szCs w:val="20"/>
                <w:color w:val="auto"/>
              </w:rPr>
            </w:pPr>
            <w:r>
              <w:rPr>
                <w:rFonts w:ascii="Arial" w:cs="Arial" w:eastAsia="Arial" w:hAnsi="Arial"/>
                <w:sz w:val="22"/>
                <w:szCs w:val="22"/>
                <w:color w:val="252525"/>
              </w:rPr>
              <w:t>Watertown, MA 02472</w:t>
            </w:r>
          </w:p>
        </w:tc>
      </w:tr>
      <w:tr>
        <w:trPr>
          <w:trHeight w:val="289"/>
        </w:trPr>
        <w:tc>
          <w:tcPr>
            <w:tcW w:w="3000" w:type="dxa"/>
            <w:vAlign w:val="bottom"/>
          </w:tcPr>
          <w:p>
            <w:pPr>
              <w:spacing w:after="0"/>
              <w:rPr>
                <w:sz w:val="20"/>
                <w:szCs w:val="20"/>
                <w:color w:val="auto"/>
              </w:rPr>
            </w:pPr>
            <w:r>
              <w:rPr>
                <w:rFonts w:ascii="Arial" w:cs="Arial" w:eastAsia="Arial" w:hAnsi="Arial"/>
                <w:sz w:val="20"/>
                <w:szCs w:val="20"/>
                <w:i w:val="1"/>
                <w:iCs w:val="1"/>
                <w:color w:val="252525"/>
              </w:rPr>
              <w:t>President &amp; CEO</w:t>
            </w:r>
          </w:p>
        </w:tc>
        <w:tc>
          <w:tcPr>
            <w:tcW w:w="3180" w:type="dxa"/>
            <w:vAlign w:val="bottom"/>
          </w:tcPr>
          <w:p>
            <w:pPr>
              <w:ind w:left="120"/>
              <w:spacing w:after="0"/>
              <w:rPr>
                <w:sz w:val="20"/>
                <w:szCs w:val="20"/>
                <w:color w:val="auto"/>
              </w:rPr>
            </w:pPr>
            <w:r>
              <w:rPr>
                <w:rFonts w:ascii="Arial" w:cs="Arial" w:eastAsia="Arial" w:hAnsi="Arial"/>
                <w:sz w:val="20"/>
                <w:szCs w:val="20"/>
                <w:i w:val="1"/>
                <w:iCs w:val="1"/>
                <w:color w:val="252525"/>
              </w:rPr>
              <w:t>President &amp; CEO</w:t>
            </w:r>
          </w:p>
        </w:tc>
        <w:tc>
          <w:tcPr>
            <w:tcW w:w="3000" w:type="dxa"/>
            <w:vAlign w:val="bottom"/>
          </w:tcPr>
          <w:p>
            <w:pPr>
              <w:spacing w:after="0"/>
              <w:rPr>
                <w:sz w:val="24"/>
                <w:szCs w:val="24"/>
                <w:color w:val="auto"/>
              </w:rPr>
            </w:pPr>
          </w:p>
        </w:tc>
      </w:tr>
      <w:tr>
        <w:trPr>
          <w:trHeight w:val="366"/>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22"/>
                <w:szCs w:val="22"/>
                <w:b w:val="1"/>
                <w:bCs w:val="1"/>
                <w:color w:val="252525"/>
              </w:rPr>
              <w:t>I</w:t>
            </w:r>
            <w:r>
              <w:rPr>
                <w:rFonts w:ascii="Arial" w:cs="Arial" w:eastAsia="Arial" w:hAnsi="Arial"/>
                <w:sz w:val="18"/>
                <w:szCs w:val="18"/>
                <w:b w:val="1"/>
                <w:bCs w:val="1"/>
                <w:color w:val="252525"/>
              </w:rPr>
              <w:t>NDEPENDENT</w:t>
            </w:r>
            <w:r>
              <w:rPr>
                <w:rFonts w:ascii="Arial" w:cs="Arial" w:eastAsia="Arial" w:hAnsi="Arial"/>
                <w:sz w:val="22"/>
                <w:szCs w:val="22"/>
                <w:b w:val="1"/>
                <w:bCs w:val="1"/>
                <w:color w:val="252525"/>
              </w:rPr>
              <w:t xml:space="preserve"> R</w:t>
            </w:r>
            <w:r>
              <w:rPr>
                <w:rFonts w:ascii="Arial" w:cs="Arial" w:eastAsia="Arial" w:hAnsi="Arial"/>
                <w:sz w:val="18"/>
                <w:szCs w:val="18"/>
                <w:b w:val="1"/>
                <w:bCs w:val="1"/>
                <w:color w:val="252525"/>
              </w:rPr>
              <w:t>EGISTERED</w:t>
            </w:r>
          </w:p>
        </w:tc>
      </w:tr>
      <w:tr>
        <w:trPr>
          <w:trHeight w:val="326"/>
        </w:trPr>
        <w:tc>
          <w:tcPr>
            <w:tcW w:w="3000" w:type="dxa"/>
            <w:vAlign w:val="bottom"/>
          </w:tcPr>
          <w:p>
            <w:pPr>
              <w:spacing w:after="0"/>
              <w:rPr>
                <w:sz w:val="20"/>
                <w:szCs w:val="20"/>
                <w:color w:val="auto"/>
              </w:rPr>
            </w:pPr>
            <w:r>
              <w:rPr>
                <w:rFonts w:ascii="Arial" w:cs="Arial" w:eastAsia="Arial" w:hAnsi="Arial"/>
                <w:sz w:val="22"/>
                <w:szCs w:val="22"/>
                <w:b w:val="1"/>
                <w:bCs w:val="1"/>
                <w:color w:val="252525"/>
              </w:rPr>
              <w:t>Donald Nicholson, Ph.D.</w:t>
            </w:r>
          </w:p>
        </w:tc>
        <w:tc>
          <w:tcPr>
            <w:tcW w:w="3180" w:type="dxa"/>
            <w:vAlign w:val="bottom"/>
          </w:tcPr>
          <w:p>
            <w:pPr>
              <w:ind w:left="120"/>
              <w:spacing w:after="0"/>
              <w:rPr>
                <w:sz w:val="20"/>
                <w:szCs w:val="20"/>
                <w:color w:val="auto"/>
              </w:rPr>
            </w:pPr>
            <w:r>
              <w:rPr>
                <w:rFonts w:ascii="Arial" w:cs="Arial" w:eastAsia="Arial" w:hAnsi="Arial"/>
                <w:sz w:val="22"/>
                <w:szCs w:val="22"/>
                <w:b w:val="1"/>
                <w:bCs w:val="1"/>
                <w:color w:val="252525"/>
              </w:rPr>
              <w:t>Jean Franchi</w:t>
            </w:r>
          </w:p>
        </w:tc>
        <w:tc>
          <w:tcPr>
            <w:tcW w:w="3000" w:type="dxa"/>
            <w:vAlign w:val="bottom"/>
          </w:tcPr>
          <w:p>
            <w:pPr>
              <w:ind w:left="120"/>
              <w:spacing w:after="0"/>
              <w:rPr>
                <w:sz w:val="20"/>
                <w:szCs w:val="20"/>
                <w:color w:val="auto"/>
              </w:rPr>
            </w:pPr>
            <w:r>
              <w:rPr>
                <w:rFonts w:ascii="Arial" w:cs="Arial" w:eastAsia="Arial" w:hAnsi="Arial"/>
                <w:sz w:val="22"/>
                <w:szCs w:val="22"/>
                <w:b w:val="1"/>
                <w:bCs w:val="1"/>
                <w:color w:val="252525"/>
              </w:rPr>
              <w:t>P</w:t>
            </w:r>
            <w:r>
              <w:rPr>
                <w:rFonts w:ascii="Arial" w:cs="Arial" w:eastAsia="Arial" w:hAnsi="Arial"/>
                <w:sz w:val="18"/>
                <w:szCs w:val="18"/>
                <w:b w:val="1"/>
                <w:bCs w:val="1"/>
                <w:color w:val="252525"/>
              </w:rPr>
              <w:t>UBLIC</w:t>
            </w:r>
            <w:r>
              <w:rPr>
                <w:rFonts w:ascii="Arial" w:cs="Arial" w:eastAsia="Arial" w:hAnsi="Arial"/>
                <w:sz w:val="22"/>
                <w:szCs w:val="22"/>
                <w:b w:val="1"/>
                <w:bCs w:val="1"/>
                <w:color w:val="252525"/>
              </w:rPr>
              <w:t xml:space="preserve"> A</w:t>
            </w:r>
            <w:r>
              <w:rPr>
                <w:rFonts w:ascii="Arial" w:cs="Arial" w:eastAsia="Arial" w:hAnsi="Arial"/>
                <w:sz w:val="18"/>
                <w:szCs w:val="18"/>
                <w:b w:val="1"/>
                <w:bCs w:val="1"/>
                <w:color w:val="252525"/>
              </w:rPr>
              <w:t>CCOUNTING</w:t>
            </w:r>
            <w:r>
              <w:rPr>
                <w:rFonts w:ascii="Arial" w:cs="Arial" w:eastAsia="Arial" w:hAnsi="Arial"/>
                <w:sz w:val="22"/>
                <w:szCs w:val="22"/>
                <w:b w:val="1"/>
                <w:bCs w:val="1"/>
                <w:color w:val="252525"/>
              </w:rPr>
              <w:t xml:space="preserve"> F</w:t>
            </w:r>
            <w:r>
              <w:rPr>
                <w:rFonts w:ascii="Arial" w:cs="Arial" w:eastAsia="Arial" w:hAnsi="Arial"/>
                <w:sz w:val="18"/>
                <w:szCs w:val="18"/>
                <w:b w:val="1"/>
                <w:bCs w:val="1"/>
                <w:color w:val="252525"/>
              </w:rPr>
              <w:t>IRM</w:t>
            </w:r>
          </w:p>
        </w:tc>
      </w:tr>
      <w:tr>
        <w:trPr>
          <w:trHeight w:val="314"/>
        </w:trPr>
        <w:tc>
          <w:tcPr>
            <w:tcW w:w="3000" w:type="dxa"/>
            <w:vAlign w:val="bottom"/>
          </w:tcPr>
          <w:p>
            <w:pPr>
              <w:spacing w:after="0"/>
              <w:rPr>
                <w:sz w:val="20"/>
                <w:szCs w:val="20"/>
                <w:color w:val="auto"/>
              </w:rPr>
            </w:pPr>
            <w:r>
              <w:rPr>
                <w:rFonts w:ascii="Arial" w:cs="Arial" w:eastAsia="Arial" w:hAnsi="Arial"/>
                <w:sz w:val="20"/>
                <w:szCs w:val="20"/>
                <w:i w:val="1"/>
                <w:iCs w:val="1"/>
                <w:color w:val="252525"/>
              </w:rPr>
              <w:t>Executive Chairman of the</w:t>
            </w:r>
          </w:p>
        </w:tc>
        <w:tc>
          <w:tcPr>
            <w:tcW w:w="3180" w:type="dxa"/>
            <w:vAlign w:val="bottom"/>
          </w:tcPr>
          <w:p>
            <w:pPr>
              <w:ind w:left="120"/>
              <w:spacing w:after="0"/>
              <w:rPr>
                <w:sz w:val="20"/>
                <w:szCs w:val="20"/>
                <w:color w:val="auto"/>
              </w:rPr>
            </w:pPr>
            <w:r>
              <w:rPr>
                <w:rFonts w:ascii="Arial" w:cs="Arial" w:eastAsia="Arial" w:hAnsi="Arial"/>
                <w:sz w:val="20"/>
                <w:szCs w:val="20"/>
                <w:i w:val="1"/>
                <w:iCs w:val="1"/>
                <w:color w:val="252525"/>
              </w:rPr>
              <w:t>Chief Financial Officer</w:t>
            </w:r>
          </w:p>
        </w:tc>
        <w:tc>
          <w:tcPr>
            <w:tcW w:w="3000" w:type="dxa"/>
            <w:vAlign w:val="bottom"/>
          </w:tcPr>
          <w:p>
            <w:pPr>
              <w:ind w:left="120"/>
              <w:spacing w:after="0"/>
              <w:rPr>
                <w:sz w:val="20"/>
                <w:szCs w:val="20"/>
                <w:color w:val="auto"/>
              </w:rPr>
            </w:pPr>
            <w:r>
              <w:rPr>
                <w:rFonts w:ascii="Arial" w:cs="Arial" w:eastAsia="Arial" w:hAnsi="Arial"/>
                <w:sz w:val="22"/>
                <w:szCs w:val="22"/>
                <w:color w:val="252525"/>
              </w:rPr>
              <w:t>Ernst &amp; Young LLP</w:t>
            </w:r>
          </w:p>
        </w:tc>
      </w:tr>
      <w:tr>
        <w:trPr>
          <w:trHeight w:val="329"/>
        </w:trPr>
        <w:tc>
          <w:tcPr>
            <w:tcW w:w="3000" w:type="dxa"/>
            <w:vAlign w:val="bottom"/>
          </w:tcPr>
          <w:p>
            <w:pPr>
              <w:spacing w:after="0"/>
              <w:rPr>
                <w:sz w:val="20"/>
                <w:szCs w:val="20"/>
                <w:color w:val="auto"/>
              </w:rPr>
            </w:pPr>
            <w:r>
              <w:rPr>
                <w:rFonts w:ascii="Arial" w:cs="Arial" w:eastAsia="Arial" w:hAnsi="Arial"/>
                <w:sz w:val="20"/>
                <w:szCs w:val="20"/>
                <w:i w:val="1"/>
                <w:iCs w:val="1"/>
                <w:color w:val="252525"/>
              </w:rPr>
              <w:t>Board; Former CEO, Nimbus</w:t>
            </w:r>
          </w:p>
        </w:tc>
        <w:tc>
          <w:tcPr>
            <w:tcW w:w="318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22"/>
                <w:szCs w:val="22"/>
                <w:color w:val="252525"/>
              </w:rPr>
              <w:t>Boston, MA</w:t>
            </w:r>
          </w:p>
        </w:tc>
      </w:tr>
      <w:tr>
        <w:trPr>
          <w:trHeight w:val="338"/>
        </w:trPr>
        <w:tc>
          <w:tcPr>
            <w:tcW w:w="3000" w:type="dxa"/>
            <w:vAlign w:val="bottom"/>
          </w:tcPr>
          <w:p>
            <w:pPr>
              <w:spacing w:after="0"/>
              <w:rPr>
                <w:sz w:val="20"/>
                <w:szCs w:val="20"/>
                <w:color w:val="auto"/>
              </w:rPr>
            </w:pPr>
            <w:r>
              <w:rPr>
                <w:rFonts w:ascii="Arial" w:cs="Arial" w:eastAsia="Arial" w:hAnsi="Arial"/>
                <w:sz w:val="20"/>
                <w:szCs w:val="20"/>
                <w:i w:val="1"/>
                <w:iCs w:val="1"/>
                <w:color w:val="252525"/>
              </w:rPr>
              <w:t>Therapeutics</w:t>
            </w:r>
          </w:p>
        </w:tc>
        <w:tc>
          <w:tcPr>
            <w:tcW w:w="3180" w:type="dxa"/>
            <w:vAlign w:val="bottom"/>
          </w:tcPr>
          <w:p>
            <w:pPr>
              <w:ind w:left="120"/>
              <w:spacing w:after="0"/>
              <w:rPr>
                <w:sz w:val="20"/>
                <w:szCs w:val="20"/>
                <w:color w:val="auto"/>
              </w:rPr>
            </w:pPr>
            <w:r>
              <w:rPr>
                <w:rFonts w:ascii="Arial" w:cs="Arial" w:eastAsia="Arial" w:hAnsi="Arial"/>
                <w:sz w:val="22"/>
                <w:szCs w:val="22"/>
                <w:b w:val="1"/>
                <w:bCs w:val="1"/>
                <w:color w:val="252525"/>
              </w:rPr>
              <w:t>Jonathan Yu, M.B.A.</w:t>
            </w:r>
          </w:p>
        </w:tc>
        <w:tc>
          <w:tcPr>
            <w:tcW w:w="3000" w:type="dxa"/>
            <w:vAlign w:val="bottom"/>
          </w:tcPr>
          <w:p>
            <w:pPr>
              <w:spacing w:after="0"/>
              <w:rPr>
                <w:sz w:val="24"/>
                <w:szCs w:val="24"/>
                <w:color w:val="auto"/>
              </w:rPr>
            </w:pPr>
          </w:p>
        </w:tc>
      </w:tr>
      <w:tr>
        <w:trPr>
          <w:trHeight w:val="326"/>
        </w:trPr>
        <w:tc>
          <w:tcPr>
            <w:tcW w:w="3000" w:type="dxa"/>
            <w:vAlign w:val="bottom"/>
          </w:tcPr>
          <w:p>
            <w:pPr>
              <w:spacing w:after="0"/>
              <w:rPr>
                <w:sz w:val="24"/>
                <w:szCs w:val="24"/>
                <w:color w:val="auto"/>
              </w:rPr>
            </w:pPr>
          </w:p>
        </w:tc>
        <w:tc>
          <w:tcPr>
            <w:tcW w:w="3180" w:type="dxa"/>
            <w:vAlign w:val="bottom"/>
          </w:tcPr>
          <w:p>
            <w:pPr>
              <w:ind w:left="120"/>
              <w:spacing w:after="0"/>
              <w:rPr>
                <w:sz w:val="20"/>
                <w:szCs w:val="20"/>
                <w:color w:val="auto"/>
              </w:rPr>
            </w:pPr>
            <w:r>
              <w:rPr>
                <w:rFonts w:ascii="Arial" w:cs="Arial" w:eastAsia="Arial" w:hAnsi="Arial"/>
                <w:sz w:val="20"/>
                <w:szCs w:val="20"/>
                <w:i w:val="1"/>
                <w:iCs w:val="1"/>
                <w:color w:val="252525"/>
              </w:rPr>
              <w:t>Chief Operating Officer</w:t>
            </w:r>
          </w:p>
        </w:tc>
        <w:tc>
          <w:tcPr>
            <w:tcW w:w="3000" w:type="dxa"/>
            <w:vAlign w:val="bottom"/>
          </w:tcPr>
          <w:p>
            <w:pPr>
              <w:ind w:left="120"/>
              <w:spacing w:after="0"/>
              <w:rPr>
                <w:sz w:val="20"/>
                <w:szCs w:val="20"/>
                <w:color w:val="auto"/>
              </w:rPr>
            </w:pPr>
            <w:r>
              <w:rPr>
                <w:rFonts w:ascii="Arial" w:cs="Arial" w:eastAsia="Arial" w:hAnsi="Arial"/>
                <w:sz w:val="22"/>
                <w:szCs w:val="22"/>
                <w:b w:val="1"/>
                <w:bCs w:val="1"/>
                <w:color w:val="252525"/>
              </w:rPr>
              <w:t>T</w:t>
            </w:r>
            <w:r>
              <w:rPr>
                <w:rFonts w:ascii="Arial" w:cs="Arial" w:eastAsia="Arial" w:hAnsi="Arial"/>
                <w:sz w:val="18"/>
                <w:szCs w:val="18"/>
                <w:b w:val="1"/>
                <w:bCs w:val="1"/>
                <w:color w:val="252525"/>
              </w:rPr>
              <w:t>RANSFER</w:t>
            </w:r>
            <w:r>
              <w:rPr>
                <w:rFonts w:ascii="Arial" w:cs="Arial" w:eastAsia="Arial" w:hAnsi="Arial"/>
                <w:sz w:val="22"/>
                <w:szCs w:val="22"/>
                <w:b w:val="1"/>
                <w:bCs w:val="1"/>
                <w:color w:val="252525"/>
              </w:rPr>
              <w:t xml:space="preserve"> A</w:t>
            </w:r>
            <w:r>
              <w:rPr>
                <w:rFonts w:ascii="Arial" w:cs="Arial" w:eastAsia="Arial" w:hAnsi="Arial"/>
                <w:sz w:val="18"/>
                <w:szCs w:val="18"/>
                <w:b w:val="1"/>
                <w:bCs w:val="1"/>
                <w:color w:val="252525"/>
              </w:rPr>
              <w:t>GENT</w:t>
            </w:r>
          </w:p>
        </w:tc>
      </w:tr>
      <w:tr>
        <w:trPr>
          <w:trHeight w:val="326"/>
        </w:trPr>
        <w:tc>
          <w:tcPr>
            <w:tcW w:w="3000" w:type="dxa"/>
            <w:vAlign w:val="bottom"/>
          </w:tcPr>
          <w:p>
            <w:pPr>
              <w:spacing w:after="0"/>
              <w:rPr>
                <w:sz w:val="20"/>
                <w:szCs w:val="20"/>
                <w:color w:val="auto"/>
              </w:rPr>
            </w:pPr>
            <w:r>
              <w:rPr>
                <w:rFonts w:ascii="Arial" w:cs="Arial" w:eastAsia="Arial" w:hAnsi="Arial"/>
                <w:sz w:val="22"/>
                <w:szCs w:val="22"/>
                <w:b w:val="1"/>
                <w:bCs w:val="1"/>
                <w:color w:val="252525"/>
              </w:rPr>
              <w:t>Nadim Ahmed, M.S.</w:t>
            </w:r>
          </w:p>
        </w:tc>
        <w:tc>
          <w:tcPr>
            <w:tcW w:w="318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22"/>
                <w:szCs w:val="22"/>
                <w:color w:val="252525"/>
              </w:rPr>
              <w:t>Broadridge Corporate Issuer</w:t>
            </w:r>
          </w:p>
        </w:tc>
      </w:tr>
      <w:tr>
        <w:trPr>
          <w:trHeight w:val="329"/>
        </w:trPr>
        <w:tc>
          <w:tcPr>
            <w:tcW w:w="3000" w:type="dxa"/>
            <w:vAlign w:val="bottom"/>
          </w:tcPr>
          <w:p>
            <w:pPr>
              <w:spacing w:after="0"/>
              <w:rPr>
                <w:sz w:val="20"/>
                <w:szCs w:val="20"/>
                <w:color w:val="auto"/>
              </w:rPr>
            </w:pPr>
            <w:r>
              <w:rPr>
                <w:rFonts w:ascii="Arial" w:cs="Arial" w:eastAsia="Arial" w:hAnsi="Arial"/>
                <w:sz w:val="20"/>
                <w:szCs w:val="20"/>
                <w:i w:val="1"/>
                <w:iCs w:val="1"/>
                <w:color w:val="252525"/>
              </w:rPr>
              <w:t>President &amp; CEO, Cullinan</w:t>
            </w:r>
          </w:p>
        </w:tc>
        <w:tc>
          <w:tcPr>
            <w:tcW w:w="3180" w:type="dxa"/>
            <w:vAlign w:val="bottom"/>
          </w:tcPr>
          <w:p>
            <w:pPr>
              <w:ind w:left="120"/>
              <w:spacing w:after="0"/>
              <w:rPr>
                <w:sz w:val="20"/>
                <w:szCs w:val="20"/>
                <w:color w:val="auto"/>
              </w:rPr>
            </w:pPr>
            <w:r>
              <w:rPr>
                <w:rFonts w:ascii="Arial" w:cs="Arial" w:eastAsia="Arial" w:hAnsi="Arial"/>
                <w:sz w:val="22"/>
                <w:szCs w:val="22"/>
                <w:b w:val="1"/>
                <w:bCs w:val="1"/>
                <w:color w:val="252525"/>
              </w:rPr>
              <w:t>William Savage, M.D., Ph.D.</w:t>
            </w:r>
          </w:p>
        </w:tc>
        <w:tc>
          <w:tcPr>
            <w:tcW w:w="3000" w:type="dxa"/>
            <w:vAlign w:val="bottom"/>
          </w:tcPr>
          <w:p>
            <w:pPr>
              <w:ind w:left="120"/>
              <w:spacing w:after="0"/>
              <w:rPr>
                <w:sz w:val="20"/>
                <w:szCs w:val="20"/>
                <w:color w:val="auto"/>
              </w:rPr>
            </w:pPr>
            <w:r>
              <w:rPr>
                <w:rFonts w:ascii="Arial" w:cs="Arial" w:eastAsia="Arial" w:hAnsi="Arial"/>
                <w:sz w:val="22"/>
                <w:szCs w:val="22"/>
                <w:color w:val="252525"/>
              </w:rPr>
              <w:t>Solutions, Inc.</w:t>
            </w:r>
          </w:p>
        </w:tc>
      </w:tr>
      <w:tr>
        <w:trPr>
          <w:trHeight w:val="314"/>
        </w:trPr>
        <w:tc>
          <w:tcPr>
            <w:tcW w:w="3000" w:type="dxa"/>
            <w:vAlign w:val="bottom"/>
          </w:tcPr>
          <w:p>
            <w:pPr>
              <w:spacing w:after="0"/>
              <w:rPr>
                <w:sz w:val="20"/>
                <w:szCs w:val="20"/>
                <w:color w:val="auto"/>
              </w:rPr>
            </w:pPr>
            <w:r>
              <w:rPr>
                <w:rFonts w:ascii="Arial" w:cs="Arial" w:eastAsia="Arial" w:hAnsi="Arial"/>
                <w:sz w:val="20"/>
                <w:szCs w:val="20"/>
                <w:i w:val="1"/>
                <w:iCs w:val="1"/>
                <w:color w:val="252525"/>
              </w:rPr>
              <w:t>Therapeutics</w:t>
            </w:r>
          </w:p>
        </w:tc>
        <w:tc>
          <w:tcPr>
            <w:tcW w:w="3180" w:type="dxa"/>
            <w:vAlign w:val="bottom"/>
          </w:tcPr>
          <w:p>
            <w:pPr>
              <w:ind w:left="120"/>
              <w:spacing w:after="0"/>
              <w:rPr>
                <w:sz w:val="20"/>
                <w:szCs w:val="20"/>
                <w:color w:val="auto"/>
              </w:rPr>
            </w:pPr>
            <w:r>
              <w:rPr>
                <w:rFonts w:ascii="Arial" w:cs="Arial" w:eastAsia="Arial" w:hAnsi="Arial"/>
                <w:sz w:val="20"/>
                <w:szCs w:val="20"/>
                <w:i w:val="1"/>
                <w:iCs w:val="1"/>
                <w:color w:val="252525"/>
              </w:rPr>
              <w:t>Chief Medical Officer</w:t>
            </w:r>
          </w:p>
        </w:tc>
        <w:tc>
          <w:tcPr>
            <w:tcW w:w="3000" w:type="dxa"/>
            <w:vAlign w:val="bottom"/>
          </w:tcPr>
          <w:p>
            <w:pPr>
              <w:ind w:left="120"/>
              <w:spacing w:after="0"/>
              <w:rPr>
                <w:sz w:val="20"/>
                <w:szCs w:val="20"/>
                <w:color w:val="auto"/>
              </w:rPr>
            </w:pPr>
            <w:r>
              <w:rPr>
                <w:rFonts w:ascii="Arial" w:cs="Arial" w:eastAsia="Arial" w:hAnsi="Arial"/>
                <w:sz w:val="22"/>
                <w:szCs w:val="22"/>
                <w:color w:val="252525"/>
              </w:rPr>
              <w:t>P.O. Box 1342</w:t>
            </w:r>
          </w:p>
        </w:tc>
      </w:tr>
      <w:tr>
        <w:trPr>
          <w:trHeight w:val="326"/>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22"/>
                <w:szCs w:val="22"/>
                <w:color w:val="252525"/>
              </w:rPr>
              <w:t>Brentwood, NY 11717</w:t>
            </w:r>
          </w:p>
        </w:tc>
      </w:tr>
      <w:tr>
        <w:trPr>
          <w:trHeight w:val="338"/>
        </w:trPr>
        <w:tc>
          <w:tcPr>
            <w:tcW w:w="3000" w:type="dxa"/>
            <w:vAlign w:val="bottom"/>
          </w:tcPr>
          <w:p>
            <w:pPr>
              <w:spacing w:after="0"/>
              <w:rPr>
                <w:sz w:val="20"/>
                <w:szCs w:val="20"/>
                <w:color w:val="auto"/>
              </w:rPr>
            </w:pPr>
            <w:r>
              <w:rPr>
                <w:rFonts w:ascii="Arial" w:cs="Arial" w:eastAsia="Arial" w:hAnsi="Arial"/>
                <w:sz w:val="22"/>
                <w:szCs w:val="22"/>
                <w:b w:val="1"/>
                <w:bCs w:val="1"/>
                <w:color w:val="252525"/>
              </w:rPr>
              <w:t>Kevin Bitterman, Ph.D.</w:t>
            </w:r>
          </w:p>
        </w:tc>
        <w:tc>
          <w:tcPr>
            <w:tcW w:w="3180" w:type="dxa"/>
            <w:vAlign w:val="bottom"/>
          </w:tcPr>
          <w:p>
            <w:pPr>
              <w:ind w:left="120"/>
              <w:spacing w:after="0"/>
              <w:rPr>
                <w:sz w:val="20"/>
                <w:szCs w:val="20"/>
                <w:color w:val="auto"/>
              </w:rPr>
            </w:pPr>
            <w:r>
              <w:rPr>
                <w:rFonts w:ascii="Arial" w:cs="Arial" w:eastAsia="Arial" w:hAnsi="Arial"/>
                <w:sz w:val="22"/>
                <w:szCs w:val="22"/>
                <w:b w:val="1"/>
                <w:bCs w:val="1"/>
                <w:color w:val="252525"/>
              </w:rPr>
              <w:t>Pamela Stephenson, M.P.H.</w:t>
            </w:r>
          </w:p>
        </w:tc>
        <w:tc>
          <w:tcPr>
            <w:tcW w:w="3000" w:type="dxa"/>
            <w:vAlign w:val="bottom"/>
          </w:tcPr>
          <w:p>
            <w:pPr>
              <w:spacing w:after="0"/>
              <w:rPr>
                <w:sz w:val="24"/>
                <w:szCs w:val="24"/>
                <w:color w:val="auto"/>
              </w:rPr>
            </w:pPr>
          </w:p>
        </w:tc>
      </w:tr>
      <w:tr>
        <w:trPr>
          <w:trHeight w:val="329"/>
        </w:trPr>
        <w:tc>
          <w:tcPr>
            <w:tcW w:w="3000" w:type="dxa"/>
            <w:vAlign w:val="bottom"/>
          </w:tcPr>
          <w:p>
            <w:pPr>
              <w:spacing w:after="0"/>
              <w:rPr>
                <w:sz w:val="20"/>
                <w:szCs w:val="20"/>
                <w:color w:val="auto"/>
              </w:rPr>
            </w:pPr>
            <w:r>
              <w:rPr>
                <w:rFonts w:ascii="Arial" w:cs="Arial" w:eastAsia="Arial" w:hAnsi="Arial"/>
                <w:sz w:val="20"/>
                <w:szCs w:val="20"/>
                <w:i w:val="1"/>
                <w:iCs w:val="1"/>
                <w:color w:val="252525"/>
              </w:rPr>
              <w:t>Partner, Atlas Venture</w:t>
            </w:r>
          </w:p>
        </w:tc>
        <w:tc>
          <w:tcPr>
            <w:tcW w:w="3180" w:type="dxa"/>
            <w:vAlign w:val="bottom"/>
          </w:tcPr>
          <w:p>
            <w:pPr>
              <w:ind w:left="120"/>
              <w:spacing w:after="0"/>
              <w:rPr>
                <w:sz w:val="20"/>
                <w:szCs w:val="20"/>
                <w:color w:val="auto"/>
              </w:rPr>
            </w:pPr>
            <w:r>
              <w:rPr>
                <w:rFonts w:ascii="Arial" w:cs="Arial" w:eastAsia="Arial" w:hAnsi="Arial"/>
                <w:sz w:val="20"/>
                <w:szCs w:val="20"/>
                <w:i w:val="1"/>
                <w:iCs w:val="1"/>
                <w:color w:val="252525"/>
              </w:rPr>
              <w:t>Chief Commercial Officer</w:t>
            </w:r>
          </w:p>
        </w:tc>
        <w:tc>
          <w:tcPr>
            <w:tcW w:w="3000" w:type="dxa"/>
            <w:vAlign w:val="bottom"/>
          </w:tcPr>
          <w:p>
            <w:pPr>
              <w:ind w:left="120"/>
              <w:spacing w:after="0"/>
              <w:rPr>
                <w:sz w:val="20"/>
                <w:szCs w:val="20"/>
                <w:color w:val="auto"/>
              </w:rPr>
            </w:pPr>
            <w:r>
              <w:rPr>
                <w:rFonts w:ascii="Arial" w:cs="Arial" w:eastAsia="Arial" w:hAnsi="Arial"/>
                <w:sz w:val="22"/>
                <w:szCs w:val="22"/>
                <w:b w:val="1"/>
                <w:bCs w:val="1"/>
                <w:color w:val="252525"/>
              </w:rPr>
              <w:t>D</w:t>
            </w:r>
            <w:r>
              <w:rPr>
                <w:rFonts w:ascii="Arial" w:cs="Arial" w:eastAsia="Arial" w:hAnsi="Arial"/>
                <w:sz w:val="18"/>
                <w:szCs w:val="18"/>
                <w:b w:val="1"/>
                <w:bCs w:val="1"/>
                <w:color w:val="252525"/>
              </w:rPr>
              <w:t>ISC</w:t>
            </w:r>
            <w:r>
              <w:rPr>
                <w:rFonts w:ascii="Arial" w:cs="Arial" w:eastAsia="Arial" w:hAnsi="Arial"/>
                <w:sz w:val="22"/>
                <w:szCs w:val="22"/>
                <w:b w:val="1"/>
                <w:bCs w:val="1"/>
                <w:color w:val="252525"/>
              </w:rPr>
              <w:t xml:space="preserve"> I</w:t>
            </w:r>
            <w:r>
              <w:rPr>
                <w:rFonts w:ascii="Arial" w:cs="Arial" w:eastAsia="Arial" w:hAnsi="Arial"/>
                <w:sz w:val="18"/>
                <w:szCs w:val="18"/>
                <w:b w:val="1"/>
                <w:bCs w:val="1"/>
                <w:color w:val="252525"/>
              </w:rPr>
              <w:t>NVESTOR</w:t>
            </w:r>
            <w:r>
              <w:rPr>
                <w:rFonts w:ascii="Arial" w:cs="Arial" w:eastAsia="Arial" w:hAnsi="Arial"/>
                <w:sz w:val="22"/>
                <w:szCs w:val="22"/>
                <w:b w:val="1"/>
                <w:bCs w:val="1"/>
                <w:color w:val="252525"/>
              </w:rPr>
              <w:t xml:space="preserve"> R</w:t>
            </w:r>
            <w:r>
              <w:rPr>
                <w:rFonts w:ascii="Arial" w:cs="Arial" w:eastAsia="Arial" w:hAnsi="Arial"/>
                <w:sz w:val="18"/>
                <w:szCs w:val="18"/>
                <w:b w:val="1"/>
                <w:bCs w:val="1"/>
                <w:color w:val="252525"/>
              </w:rPr>
              <w:t>ELATIONS</w:t>
            </w:r>
          </w:p>
        </w:tc>
      </w:tr>
      <w:tr>
        <w:trPr>
          <w:trHeight w:val="314"/>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22"/>
                <w:szCs w:val="22"/>
                <w:color w:val="252525"/>
              </w:rPr>
              <w:t>ir@discmedicine.com</w:t>
            </w:r>
          </w:p>
        </w:tc>
      </w:tr>
      <w:tr>
        <w:trPr>
          <w:trHeight w:val="338"/>
        </w:trPr>
        <w:tc>
          <w:tcPr>
            <w:tcW w:w="3000" w:type="dxa"/>
            <w:vAlign w:val="bottom"/>
          </w:tcPr>
          <w:p>
            <w:pPr>
              <w:spacing w:after="0"/>
              <w:rPr>
                <w:sz w:val="20"/>
                <w:szCs w:val="20"/>
                <w:color w:val="auto"/>
              </w:rPr>
            </w:pPr>
            <w:r>
              <w:rPr>
                <w:rFonts w:ascii="Arial" w:cs="Arial" w:eastAsia="Arial" w:hAnsi="Arial"/>
                <w:sz w:val="22"/>
                <w:szCs w:val="22"/>
                <w:b w:val="1"/>
                <w:bCs w:val="1"/>
                <w:color w:val="252525"/>
              </w:rPr>
              <w:t>Mark Chin, M.S., M.B.A.</w:t>
            </w:r>
          </w:p>
        </w:tc>
        <w:tc>
          <w:tcPr>
            <w:tcW w:w="3180" w:type="dxa"/>
            <w:vAlign w:val="bottom"/>
          </w:tcPr>
          <w:p>
            <w:pPr>
              <w:ind w:left="120"/>
              <w:spacing w:after="0"/>
              <w:rPr>
                <w:sz w:val="20"/>
                <w:szCs w:val="20"/>
                <w:color w:val="auto"/>
              </w:rPr>
            </w:pPr>
            <w:r>
              <w:rPr>
                <w:rFonts w:ascii="Arial" w:cs="Arial" w:eastAsia="Arial" w:hAnsi="Arial"/>
                <w:sz w:val="22"/>
                <w:szCs w:val="22"/>
                <w:b w:val="1"/>
                <w:bCs w:val="1"/>
                <w:color w:val="252525"/>
              </w:rPr>
              <w:t>Rahul Khara, Pharm.D., J.D.</w:t>
            </w:r>
          </w:p>
        </w:tc>
        <w:tc>
          <w:tcPr>
            <w:tcW w:w="3000" w:type="dxa"/>
            <w:vAlign w:val="bottom"/>
          </w:tcPr>
          <w:p>
            <w:pPr>
              <w:spacing w:after="0"/>
              <w:rPr>
                <w:sz w:val="24"/>
                <w:szCs w:val="24"/>
                <w:color w:val="auto"/>
              </w:rPr>
            </w:pPr>
          </w:p>
        </w:tc>
      </w:tr>
      <w:tr>
        <w:trPr>
          <w:trHeight w:val="289"/>
        </w:trPr>
        <w:tc>
          <w:tcPr>
            <w:tcW w:w="3000" w:type="dxa"/>
            <w:vAlign w:val="bottom"/>
          </w:tcPr>
          <w:p>
            <w:pPr>
              <w:spacing w:after="0"/>
              <w:rPr>
                <w:sz w:val="20"/>
                <w:szCs w:val="20"/>
                <w:color w:val="auto"/>
              </w:rPr>
            </w:pPr>
            <w:r>
              <w:rPr>
                <w:rFonts w:ascii="Arial" w:cs="Arial" w:eastAsia="Arial" w:hAnsi="Arial"/>
                <w:sz w:val="20"/>
                <w:szCs w:val="20"/>
                <w:i w:val="1"/>
                <w:iCs w:val="1"/>
                <w:color w:val="252525"/>
              </w:rPr>
              <w:t>Partner, Avoro Capital</w:t>
            </w:r>
          </w:p>
        </w:tc>
        <w:tc>
          <w:tcPr>
            <w:tcW w:w="3180" w:type="dxa"/>
            <w:vAlign w:val="bottom"/>
          </w:tcPr>
          <w:p>
            <w:pPr>
              <w:ind w:left="120"/>
              <w:spacing w:after="0"/>
              <w:rPr>
                <w:sz w:val="20"/>
                <w:szCs w:val="20"/>
                <w:color w:val="auto"/>
              </w:rPr>
            </w:pPr>
            <w:r>
              <w:rPr>
                <w:rFonts w:ascii="Arial" w:cs="Arial" w:eastAsia="Arial" w:hAnsi="Arial"/>
                <w:sz w:val="20"/>
                <w:szCs w:val="20"/>
                <w:i w:val="1"/>
                <w:iCs w:val="1"/>
                <w:color w:val="252525"/>
              </w:rPr>
              <w:t>Chief Legal Officer</w:t>
            </w:r>
          </w:p>
        </w:tc>
        <w:tc>
          <w:tcPr>
            <w:tcW w:w="3000" w:type="dxa"/>
            <w:vAlign w:val="bottom"/>
          </w:tcPr>
          <w:p>
            <w:pPr>
              <w:spacing w:after="0"/>
              <w:rPr>
                <w:sz w:val="24"/>
                <w:szCs w:val="24"/>
                <w:color w:val="auto"/>
              </w:rPr>
            </w:pPr>
          </w:p>
        </w:tc>
      </w:tr>
      <w:tr>
        <w:trPr>
          <w:trHeight w:val="692"/>
        </w:trPr>
        <w:tc>
          <w:tcPr>
            <w:tcW w:w="3000" w:type="dxa"/>
            <w:vAlign w:val="bottom"/>
          </w:tcPr>
          <w:p>
            <w:pPr>
              <w:spacing w:after="0"/>
              <w:rPr>
                <w:sz w:val="20"/>
                <w:szCs w:val="20"/>
                <w:color w:val="auto"/>
              </w:rPr>
            </w:pPr>
            <w:r>
              <w:rPr>
                <w:rFonts w:ascii="Arial" w:cs="Arial" w:eastAsia="Arial" w:hAnsi="Arial"/>
                <w:sz w:val="22"/>
                <w:szCs w:val="22"/>
                <w:b w:val="1"/>
                <w:bCs w:val="1"/>
                <w:color w:val="252525"/>
              </w:rPr>
              <w:t>Georges Gemayel, Ph.D.</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89"/>
        </w:trPr>
        <w:tc>
          <w:tcPr>
            <w:tcW w:w="3000" w:type="dxa"/>
            <w:vAlign w:val="bottom"/>
          </w:tcPr>
          <w:p>
            <w:pPr>
              <w:spacing w:after="0"/>
              <w:rPr>
                <w:sz w:val="20"/>
                <w:szCs w:val="20"/>
                <w:color w:val="auto"/>
              </w:rPr>
            </w:pPr>
            <w:r>
              <w:rPr>
                <w:rFonts w:ascii="Arial" w:cs="Arial" w:eastAsia="Arial" w:hAnsi="Arial"/>
                <w:sz w:val="20"/>
                <w:szCs w:val="20"/>
                <w:i w:val="1"/>
                <w:iCs w:val="1"/>
                <w:color w:val="252525"/>
              </w:rPr>
              <w:t>Former President, CEO &amp;</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6"/>
        </w:trPr>
        <w:tc>
          <w:tcPr>
            <w:tcW w:w="3000" w:type="dxa"/>
            <w:vAlign w:val="bottom"/>
          </w:tcPr>
          <w:p>
            <w:pPr>
              <w:spacing w:after="0"/>
              <w:rPr>
                <w:sz w:val="20"/>
                <w:szCs w:val="20"/>
                <w:color w:val="auto"/>
              </w:rPr>
            </w:pPr>
            <w:r>
              <w:rPr>
                <w:rFonts w:ascii="Arial" w:cs="Arial" w:eastAsia="Arial" w:hAnsi="Arial"/>
                <w:sz w:val="20"/>
                <w:szCs w:val="20"/>
                <w:i w:val="1"/>
                <w:iCs w:val="1"/>
                <w:color w:val="252525"/>
              </w:rPr>
              <w:t>Executive Chairman of the</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6"/>
        </w:trPr>
        <w:tc>
          <w:tcPr>
            <w:tcW w:w="3000" w:type="dxa"/>
            <w:vAlign w:val="bottom"/>
          </w:tcPr>
          <w:p>
            <w:pPr>
              <w:spacing w:after="0"/>
              <w:rPr>
                <w:sz w:val="20"/>
                <w:szCs w:val="20"/>
                <w:color w:val="auto"/>
              </w:rPr>
            </w:pPr>
            <w:r>
              <w:rPr>
                <w:rFonts w:ascii="Arial" w:cs="Arial" w:eastAsia="Arial" w:hAnsi="Arial"/>
                <w:sz w:val="20"/>
                <w:szCs w:val="20"/>
                <w:i w:val="1"/>
                <w:iCs w:val="1"/>
                <w:color w:val="252525"/>
              </w:rPr>
              <w:t>Board, Gemini Therapeutics</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692"/>
        </w:trPr>
        <w:tc>
          <w:tcPr>
            <w:tcW w:w="3000" w:type="dxa"/>
            <w:vAlign w:val="bottom"/>
          </w:tcPr>
          <w:p>
            <w:pPr>
              <w:spacing w:after="0"/>
              <w:rPr>
                <w:sz w:val="20"/>
                <w:szCs w:val="20"/>
                <w:color w:val="auto"/>
              </w:rPr>
            </w:pPr>
            <w:r>
              <w:rPr>
                <w:rFonts w:ascii="Arial" w:cs="Arial" w:eastAsia="Arial" w:hAnsi="Arial"/>
                <w:sz w:val="22"/>
                <w:szCs w:val="22"/>
                <w:b w:val="1"/>
                <w:bCs w:val="1"/>
                <w:color w:val="252525"/>
              </w:rPr>
              <w:t>Liam Ratcliffe, M.D., Ph.D.</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89"/>
        </w:trPr>
        <w:tc>
          <w:tcPr>
            <w:tcW w:w="3000" w:type="dxa"/>
            <w:vAlign w:val="bottom"/>
          </w:tcPr>
          <w:p>
            <w:pPr>
              <w:spacing w:after="0"/>
              <w:rPr>
                <w:sz w:val="20"/>
                <w:szCs w:val="20"/>
                <w:color w:val="auto"/>
              </w:rPr>
            </w:pPr>
            <w:r>
              <w:rPr>
                <w:rFonts w:ascii="Arial" w:cs="Arial" w:eastAsia="Arial" w:hAnsi="Arial"/>
                <w:sz w:val="20"/>
                <w:szCs w:val="20"/>
                <w:i w:val="1"/>
                <w:iCs w:val="1"/>
                <w:color w:val="252525"/>
              </w:rPr>
              <w:t>Head of Biotechnology,</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6"/>
        </w:trPr>
        <w:tc>
          <w:tcPr>
            <w:tcW w:w="3000" w:type="dxa"/>
            <w:vAlign w:val="bottom"/>
          </w:tcPr>
          <w:p>
            <w:pPr>
              <w:spacing w:after="0"/>
              <w:rPr>
                <w:sz w:val="20"/>
                <w:szCs w:val="20"/>
                <w:color w:val="auto"/>
              </w:rPr>
            </w:pPr>
            <w:r>
              <w:rPr>
                <w:rFonts w:ascii="Arial" w:cs="Arial" w:eastAsia="Arial" w:hAnsi="Arial"/>
                <w:sz w:val="20"/>
                <w:szCs w:val="20"/>
                <w:i w:val="1"/>
                <w:iCs w:val="1"/>
                <w:color w:val="252525"/>
              </w:rPr>
              <w:t>Access Industries</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692"/>
        </w:trPr>
        <w:tc>
          <w:tcPr>
            <w:tcW w:w="3000" w:type="dxa"/>
            <w:vAlign w:val="bottom"/>
          </w:tcPr>
          <w:p>
            <w:pPr>
              <w:spacing w:after="0"/>
              <w:rPr>
                <w:sz w:val="20"/>
                <w:szCs w:val="20"/>
                <w:color w:val="auto"/>
              </w:rPr>
            </w:pPr>
            <w:r>
              <w:rPr>
                <w:rFonts w:ascii="Arial" w:cs="Arial" w:eastAsia="Arial" w:hAnsi="Arial"/>
                <w:sz w:val="22"/>
                <w:szCs w:val="22"/>
                <w:b w:val="1"/>
                <w:bCs w:val="1"/>
                <w:color w:val="252525"/>
              </w:rPr>
              <w:t>William White, M.P.P., J.D.</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89"/>
        </w:trPr>
        <w:tc>
          <w:tcPr>
            <w:tcW w:w="3000" w:type="dxa"/>
            <w:vAlign w:val="bottom"/>
          </w:tcPr>
          <w:p>
            <w:pPr>
              <w:spacing w:after="0"/>
              <w:rPr>
                <w:sz w:val="20"/>
                <w:szCs w:val="20"/>
                <w:color w:val="auto"/>
              </w:rPr>
            </w:pPr>
            <w:r>
              <w:rPr>
                <w:rFonts w:ascii="Arial" w:cs="Arial" w:eastAsia="Arial" w:hAnsi="Arial"/>
                <w:sz w:val="20"/>
                <w:szCs w:val="20"/>
                <w:i w:val="1"/>
                <w:iCs w:val="1"/>
                <w:color w:val="252525"/>
              </w:rPr>
              <w:t>Former CFO, Head of Corporate</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6"/>
        </w:trPr>
        <w:tc>
          <w:tcPr>
            <w:tcW w:w="3000" w:type="dxa"/>
            <w:vAlign w:val="bottom"/>
          </w:tcPr>
          <w:p>
            <w:pPr>
              <w:spacing w:after="0"/>
              <w:rPr>
                <w:sz w:val="20"/>
                <w:szCs w:val="20"/>
                <w:color w:val="auto"/>
              </w:rPr>
            </w:pPr>
            <w:r>
              <w:rPr>
                <w:rFonts w:ascii="Arial" w:cs="Arial" w:eastAsia="Arial" w:hAnsi="Arial"/>
                <w:sz w:val="20"/>
                <w:szCs w:val="20"/>
                <w:i w:val="1"/>
                <w:iCs w:val="1"/>
                <w:color w:val="252525"/>
              </w:rPr>
              <w:t>Development &amp; Treasurer,</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6"/>
        </w:trPr>
        <w:tc>
          <w:tcPr>
            <w:tcW w:w="3000" w:type="dxa"/>
            <w:vAlign w:val="bottom"/>
          </w:tcPr>
          <w:p>
            <w:pPr>
              <w:spacing w:after="0"/>
              <w:rPr>
                <w:sz w:val="20"/>
                <w:szCs w:val="20"/>
                <w:color w:val="auto"/>
              </w:rPr>
            </w:pPr>
            <w:r>
              <w:rPr>
                <w:rFonts w:ascii="Arial" w:cs="Arial" w:eastAsia="Arial" w:hAnsi="Arial"/>
                <w:sz w:val="20"/>
                <w:szCs w:val="20"/>
                <w:i w:val="1"/>
                <w:iCs w:val="1"/>
                <w:color w:val="252525"/>
              </w:rPr>
              <w:t>Akero Therapeutics</w:t>
            </w:r>
          </w:p>
        </w:tc>
        <w:tc>
          <w:tcPr>
            <w:tcW w:w="318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ectPr>
          <w:pgSz w:w="12240" w:h="15840" w:orient="portrait"/>
          <w:cols w:equalWidth="0" w:num="1">
            <w:col w:w="9360"/>
          </w:cols>
          <w:pgMar w:left="1440" w:top="1440" w:right="1440"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BR254604-0426-10K</w:t>
      </w:r>
    </w:p>
    <w:sectPr>
      <w:pgSz w:w="12240" w:h="15840" w:orient="portrait"/>
      <w:cols w:equalWidth="0" w:num="1">
        <w:col w:w="1036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շ"/>
      <w:numFmt w:val="bullet"/>
      <w:start w:val="1"/>
    </w:lvl>
  </w:abstractNum>
  <w:abstractNum w:abstractNumId="1">
    <w:nsid w:val="4516DDE9"/>
    <w:multiLevelType w:val="hybridMultilevel"/>
    <w:lvl w:ilvl="0">
      <w:lvlJc w:val="left"/>
      <w:lvlText w:val="ն"/>
      <w:numFmt w:val="bullet"/>
      <w:start w:val="1"/>
    </w:lvl>
  </w:abstractNum>
  <w:abstractNum w:abstractNumId="2">
    <w:nsid w:val="3006C83E"/>
    <w:multiLevelType w:val="hybridMultilevel"/>
    <w:lvl w:ilvl="0">
      <w:lvlJc w:val="left"/>
      <w:lvlText w:val="շ"/>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lvl w:ilvl="1">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1."/>
      <w:numFmt w:val="decimal"/>
      <w:start w:val="2"/>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9"/>
    </w:lvl>
  </w:abstractNum>
  <w:abstractNum w:abstractNumId="54">
    <w:nsid w:val="15B5AF5C"/>
    <w:multiLevelType w:val="hybridMultilevel"/>
    <w:lvl w:ilvl="0">
      <w:lvlJc w:val="left"/>
      <w:lvlText w:val="%1."/>
      <w:numFmt w:val="decimal"/>
      <w:start w:val="14"/>
    </w:lvl>
  </w:abstractNum>
  <w:abstractNum w:abstractNumId="55">
    <w:nsid w:val="741226BB"/>
    <w:multiLevelType w:val="hybridMultilevel"/>
    <w:lvl w:ilvl="0">
      <w:lvlJc w:val="left"/>
      <w:lvlText w:val="%1."/>
      <w:numFmt w:val="decimal"/>
      <w:start w:val="17"/>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2"/>
    </w:lvl>
  </w:abstractNum>
  <w:abstractNum w:abstractNumId="60">
    <w:nsid w:val="7E0C57B1"/>
    <w:multiLevelType w:val="hybridMultilevel"/>
    <w:lvl w:ilvl="0">
      <w:lvlJc w:val="left"/>
      <w:lvlText w:val="%1."/>
      <w:numFmt w:val="decimal"/>
      <w:start w:val="2"/>
    </w:lvl>
  </w:abstractNum>
  <w:abstractNum w:abstractNumId="61">
    <w:nsid w:val="77AE35EB"/>
    <w:multiLevelType w:val="hybridMultilevel"/>
    <w:lvl w:ilvl="0">
      <w:lvlJc w:val="left"/>
      <w:lvlText w:val="*"/>
      <w:numFmt w:val="bullet"/>
      <w:start w:val="1"/>
    </w:lvl>
    <w:lvl w:ilvl="1">
      <w:lvlJc w:val="left"/>
      <w:lvlText w:val="%2"/>
      <w:numFmt w:val="decimal"/>
      <w:start w:val="104"/>
    </w:lvl>
  </w:abstractNum>
  <w:abstractNum w:abstractNumId="62">
    <w:nsid w:val="579BE4F1"/>
    <w:multiLevelType w:val="hybridMultilevel"/>
    <w:lvl w:ilvl="0">
      <w:lvlJc w:val="left"/>
      <w:lvlText w:val="**"/>
      <w:numFmt w:val="bullet"/>
      <w:start w:val="1"/>
    </w:lvl>
    <w:lvl w:ilvl="1">
      <w:lvlJc w:val="left"/>
      <w:lvlText w:val="%2"/>
      <w:numFmt w:val="decimal"/>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2026-04-28T18:36:26Z</dcterms:created>
  <dcterms:modified xsi:type="dcterms:W3CDTF">2026-04-28T18:36:26Z</dcterms:modified>
</cp:coreProperties>
</file>