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7"/>
                </w:rPr>
                <w:t>Ratcliffe Liam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Disc Medicine,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IRON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06/11/2025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DISC MEDICINE,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321 ARSENAL STREET, SUITE 101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WATERTOWN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50.86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06/10/2035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18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underlying this option vest upon the first to occur of (i) the date of the Company's 2026 annual meeting of its stockholders, or (ii) the one-year anniversary of the grant date, subject to the Reporting Person's continued service on such vesting date.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By: /s/ Rahul Khara, as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547100" TargetMode="External"/><Relationship Id="rId14" Type="http://schemas.openxmlformats.org/officeDocument/2006/relationships/hyperlink" Target="http://www.sec.gov/cgi-bin/browse-edgar?action=getcompany&amp;CIK=0001816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2025-06-13T16:38:17Z</dcterms:created>
  <dcterms:modified xsi:type="dcterms:W3CDTF">2025-06-13T16:38:17Z</dcterms:modified>
</cp:coreProperties>
</file>