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940" w:type="dxa"/>
            <w:vAlign w:val="bottom"/>
          </w:tcPr>
          <w:p>
            <w:pPr>
              <w:spacing w:after="0"/>
              <w:rPr>
                <w:sz w:val="15"/>
                <w:szCs w:val="15"/>
                <w:color w:val="auto"/>
              </w:rPr>
            </w:pPr>
          </w:p>
        </w:tc>
        <w:tc>
          <w:tcPr>
            <w:tcW w:w="34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___________to___________</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0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Commission file number: 001-39438</w:t>
            </w:r>
          </w:p>
        </w:tc>
        <w:tc>
          <w:tcPr>
            <w:tcW w:w="4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5"/>
        </w:trPr>
        <w:tc>
          <w:tcPr>
            <w:tcW w:w="3940" w:type="dxa"/>
            <w:vAlign w:val="bottom"/>
          </w:tcPr>
          <w:p>
            <w:pPr>
              <w:spacing w:after="0"/>
              <w:rPr>
                <w:sz w:val="24"/>
                <w:szCs w:val="24"/>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31"/>
                <w:szCs w:val="31"/>
                <w:b w:val="1"/>
                <w:bCs w:val="1"/>
                <w:color w:val="auto"/>
                <w:w w:val="93"/>
              </w:rPr>
              <w:t>Disc Medicine, Inc.</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34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vMerge w:val="restart"/>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20" w:type="dxa"/>
            <w:vAlign w:val="bottom"/>
            <w:vMerge w:val="restart"/>
          </w:tcPr>
          <w:p>
            <w:pPr>
              <w:jc w:val="right"/>
              <w:ind w:right="2412"/>
              <w:spacing w:after="0"/>
              <w:rPr>
                <w:sz w:val="20"/>
                <w:szCs w:val="20"/>
                <w:color w:val="auto"/>
              </w:rPr>
            </w:pPr>
            <w:r>
              <w:rPr>
                <w:rFonts w:ascii="Times New Roman" w:cs="Times New Roman" w:eastAsia="Times New Roman" w:hAnsi="Times New Roman"/>
                <w:sz w:val="13"/>
                <w:szCs w:val="13"/>
                <w:b w:val="1"/>
                <w:bCs w:val="1"/>
                <w:color w:val="auto"/>
              </w:rPr>
              <w:t>85-1612845</w:t>
            </w:r>
          </w:p>
        </w:tc>
        <w:tc>
          <w:tcPr>
            <w:tcW w:w="0" w:type="dxa"/>
            <w:vAlign w:val="bottom"/>
          </w:tcPr>
          <w:p>
            <w:pPr>
              <w:spacing w:after="0"/>
              <w:rPr>
                <w:sz w:val="1"/>
                <w:szCs w:val="1"/>
                <w:color w:val="auto"/>
              </w:rPr>
            </w:pPr>
          </w:p>
        </w:tc>
      </w:tr>
      <w:tr>
        <w:trPr>
          <w:trHeight w:val="179"/>
        </w:trPr>
        <w:tc>
          <w:tcPr>
            <w:tcW w:w="39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20" w:type="dxa"/>
            <w:vAlign w:val="bottom"/>
          </w:tcPr>
          <w:p>
            <w:pPr>
              <w:jc w:val="center"/>
              <w:ind w:right="2132"/>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20" w:type="dxa"/>
            <w:vAlign w:val="bottom"/>
          </w:tcPr>
          <w:p>
            <w:pPr>
              <w:jc w:val="center"/>
              <w:ind w:right="2132"/>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00"/>
        </w:trPr>
        <w:tc>
          <w:tcPr>
            <w:tcW w:w="3940" w:type="dxa"/>
            <w:vAlign w:val="bottom"/>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321 Arsenal Street, Suite 101</w:t>
            </w:r>
          </w:p>
        </w:tc>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Watertown, Massachusetts</w:t>
            </w:r>
          </w:p>
        </w:tc>
        <w:tc>
          <w:tcPr>
            <w:tcW w:w="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tcPr>
          <w:p>
            <w:pPr>
              <w:jc w:val="right"/>
              <w:ind w:right="2572"/>
              <w:spacing w:after="0"/>
              <w:rPr>
                <w:sz w:val="20"/>
                <w:szCs w:val="20"/>
                <w:color w:val="auto"/>
              </w:rPr>
            </w:pPr>
            <w:r>
              <w:rPr>
                <w:rFonts w:ascii="Times New Roman" w:cs="Times New Roman" w:eastAsia="Times New Roman" w:hAnsi="Times New Roman"/>
                <w:sz w:val="13"/>
                <w:szCs w:val="13"/>
                <w:b w:val="1"/>
                <w:bCs w:val="1"/>
                <w:color w:val="auto"/>
              </w:rPr>
              <w:t>02472</w:t>
            </w:r>
          </w:p>
        </w:tc>
        <w:tc>
          <w:tcPr>
            <w:tcW w:w="0" w:type="dxa"/>
            <w:vAlign w:val="bottom"/>
          </w:tcPr>
          <w:p>
            <w:pPr>
              <w:spacing w:after="0"/>
              <w:rPr>
                <w:sz w:val="1"/>
                <w:szCs w:val="1"/>
                <w:color w:val="auto"/>
              </w:rPr>
            </w:pPr>
          </w:p>
        </w:tc>
      </w:tr>
      <w:tr>
        <w:trPr>
          <w:trHeight w:val="176"/>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20" w:type="dxa"/>
            <w:vAlign w:val="bottom"/>
          </w:tcPr>
          <w:p>
            <w:pPr>
              <w:jc w:val="center"/>
              <w:ind w:right="2132"/>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162"/>
        </w:trPr>
        <w:tc>
          <w:tcPr>
            <w:tcW w:w="7820" w:type="dxa"/>
            <w:vAlign w:val="bottom"/>
            <w:gridSpan w:val="5"/>
          </w:tcPr>
          <w:p>
            <w:pPr>
              <w:jc w:val="center"/>
              <w:ind w:left="3352"/>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674-9274</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34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20" w:type="dxa"/>
            <w:vAlign w:val="bottom"/>
          </w:tcPr>
          <w:p>
            <w:pPr>
              <w:spacing w:after="0"/>
              <w:rPr>
                <w:sz w:val="12"/>
                <w:szCs w:val="12"/>
                <w:color w:val="auto"/>
              </w:rPr>
            </w:pPr>
          </w:p>
        </w:tc>
        <w:tc>
          <w:tcPr>
            <w:tcW w:w="342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9"/>
        </w:trPr>
        <w:tc>
          <w:tcPr>
            <w:tcW w:w="39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center"/>
              <w:ind w:right="552"/>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172"/>
        </w:trPr>
        <w:tc>
          <w:tcPr>
            <w:tcW w:w="394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Common Stock, $0.0001 Par Value</w:t>
            </w:r>
          </w:p>
        </w:tc>
        <w:tc>
          <w:tcPr>
            <w:tcW w:w="560" w:type="dxa"/>
            <w:vAlign w:val="bottom"/>
          </w:tcPr>
          <w:p>
            <w:pPr>
              <w:spacing w:after="0"/>
              <w:rPr>
                <w:sz w:val="14"/>
                <w:szCs w:val="14"/>
                <w:color w:val="auto"/>
              </w:rPr>
            </w:pPr>
          </w:p>
        </w:tc>
        <w:tc>
          <w:tcPr>
            <w:tcW w:w="29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IRON</w:t>
            </w:r>
          </w:p>
        </w:tc>
        <w:tc>
          <w:tcPr>
            <w:tcW w:w="420" w:type="dxa"/>
            <w:vAlign w:val="bottom"/>
          </w:tcPr>
          <w:p>
            <w:pPr>
              <w:spacing w:after="0"/>
              <w:rPr>
                <w:sz w:val="14"/>
                <w:szCs w:val="14"/>
                <w:color w:val="auto"/>
              </w:rPr>
            </w:pPr>
          </w:p>
        </w:tc>
        <w:tc>
          <w:tcPr>
            <w:tcW w:w="342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rPr>
              <w:t>The Nasdaq Global Market</w:t>
            </w: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34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0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None</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w w:val="96"/>
              </w:rPr>
              <w:t xml:space="preserve">Yes </w:t>
            </w:r>
            <w:r>
              <w:rPr>
                <w:rFonts w:ascii="MS PGothic" w:cs="MS PGothic" w:eastAsia="MS PGothic" w:hAnsi="MS PGothic"/>
                <w:sz w:val="14"/>
                <w:szCs w:val="14"/>
                <w:color w:val="auto"/>
                <w:w w:val="96"/>
              </w:rPr>
              <w:t>☒</w:t>
            </w:r>
          </w:p>
        </w:tc>
        <w:tc>
          <w:tcPr>
            <w:tcW w:w="3420" w:type="dxa"/>
            <w:vAlign w:val="bottom"/>
            <w:vMerge w:val="restart"/>
          </w:tcPr>
          <w:p>
            <w:pPr>
              <w:jc w:val="center"/>
              <w:ind w:right="2652"/>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74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3420" w:type="dxa"/>
            <w:vAlign w:val="bottom"/>
          </w:tcPr>
          <w:p>
            <w:pPr>
              <w:jc w:val="center"/>
              <w:ind w:right="269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5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60" w:firstLine="509"/>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6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60" w:firstLine="509"/>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3" w:lineRule="exact"/>
        <w:rPr>
          <w:sz w:val="24"/>
          <w:szCs w:val="24"/>
          <w:color w:val="auto"/>
        </w:rPr>
      </w:pPr>
    </w:p>
    <w:p>
      <w:pPr>
        <w:ind w:right="60" w:firstLine="509"/>
        <w:spacing w:after="0" w:line="22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computed by reference to the price of the registrant’s Common Stock as of June 30, 2023, the last business day of the registrant’s most recently completed second fiscal quarter, was approximately $507.8 million (based on the last reported sale price on the Nasdaq Global Market as of such date). For this computation, the registrant has excluded the market value of all shares of Common Stock reported as beneficially owned by its executive officer and directors; such exclusion shall not be deemed to constitute an admission that any such person is an affiliate of the registrant.</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29, 2024, there were 24,681,028 shares of the registrant’s Common Stock, $0.0001 par value per share, outstanding.</w:t>
      </w:r>
    </w:p>
    <w:p>
      <w:pPr>
        <w:spacing w:after="0" w:line="134" w:lineRule="exact"/>
        <w:rPr>
          <w:sz w:val="24"/>
          <w:szCs w:val="24"/>
          <w:color w:val="auto"/>
        </w:rPr>
      </w:pPr>
    </w:p>
    <w:p>
      <w:pPr>
        <w:ind w:left="60"/>
        <w:spacing w:after="0"/>
        <w:tabs>
          <w:tab w:leader="none" w:pos="2240" w:val="left"/>
          <w:tab w:leader="none" w:pos="3040" w:val="left"/>
          <w:tab w:leader="none" w:pos="4760" w:val="left"/>
          <w:tab w:leader="none" w:pos="7460" w:val="left"/>
          <w:tab w:leader="none" w:pos="934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Boston,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15"/>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Disc Medicine, Inc.</w:t>
            </w:r>
          </w:p>
        </w:tc>
        <w:tc>
          <w:tcPr>
            <w:tcW w:w="74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gridSpan w:val="10"/>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40" w:type="dxa"/>
            <w:vAlign w:val="bottom"/>
          </w:tcPr>
          <w:p>
            <w:pPr>
              <w:spacing w:after="0"/>
              <w:rPr>
                <w:sz w:val="20"/>
                <w:szCs w:val="20"/>
                <w:color w:val="auto"/>
              </w:rPr>
            </w:pPr>
          </w:p>
        </w:tc>
      </w:tr>
      <w:tr>
        <w:trPr>
          <w:trHeight w:val="452"/>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gridSpan w:val="12"/>
          </w:tcPr>
          <w:p>
            <w:pPr>
              <w:jc w:val="center"/>
              <w:ind w:right="4960"/>
              <w:spacing w:after="0" w:line="20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740" w:type="dxa"/>
            <w:vAlign w:val="bottom"/>
          </w:tcPr>
          <w:p>
            <w:pPr>
              <w:spacing w:after="0"/>
              <w:rPr>
                <w:sz w:val="17"/>
                <w:szCs w:val="17"/>
                <w:color w:val="auto"/>
              </w:rPr>
            </w:pPr>
          </w:p>
        </w:tc>
      </w:tr>
      <w:tr>
        <w:trPr>
          <w:trHeight w:val="46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3"/>
          </w:tcPr>
          <w:p>
            <w:pPr>
              <w:spacing w:after="0"/>
              <w:rPr>
                <w:sz w:val="24"/>
                <w:szCs w:val="24"/>
                <w:color w:val="auto"/>
              </w:rPr>
            </w:pPr>
          </w:p>
        </w:tc>
        <w:tc>
          <w:tcPr>
            <w:tcW w:w="4960" w:type="dxa"/>
            <w:vAlign w:val="bottom"/>
            <w:gridSpan w:val="9"/>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 w:type="dxa"/>
            <w:vAlign w:val="bottom"/>
            <w:tcBorders>
              <w:bottom w:val="single" w:sz="8" w:color="0000EE"/>
            </w:tcBorders>
          </w:tcPr>
          <w:p>
            <w:pPr>
              <w:spacing w:after="0"/>
              <w:rPr>
                <w:sz w:val="19"/>
                <w:szCs w:val="19"/>
                <w:color w:val="auto"/>
              </w:rPr>
            </w:pPr>
          </w:p>
        </w:tc>
        <w:tc>
          <w:tcPr>
            <w:tcW w:w="8600" w:type="dxa"/>
            <w:vAlign w:val="bottom"/>
            <w:gridSpan w:val="29"/>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40" w:type="dxa"/>
            <w:vAlign w:val="bottom"/>
            <w:tcBorders>
              <w:bottom w:val="single" w:sz="8" w:color="0000EE"/>
            </w:tcBorders>
          </w:tcPr>
          <w:p>
            <w:pPr>
              <w:spacing w:after="0"/>
              <w:rPr>
                <w:sz w:val="19"/>
                <w:szCs w:val="19"/>
                <w:color w:val="auto"/>
              </w:rPr>
            </w:pPr>
          </w:p>
        </w:tc>
        <w:tc>
          <w:tcPr>
            <w:tcW w:w="7460" w:type="dxa"/>
            <w:vAlign w:val="bottom"/>
            <w:gridSpan w:val="19"/>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8500" w:type="dxa"/>
            <w:vAlign w:val="bottom"/>
            <w:gridSpan w:val="28"/>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780" w:type="dxa"/>
            <w:vAlign w:val="bottom"/>
            <w:gridSpan w:val="31"/>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180" w:type="dxa"/>
            <w:vAlign w:val="bottom"/>
            <w:gridSpan w:val="25"/>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466"/>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0" w:type="dxa"/>
            <w:vAlign w:val="bottom"/>
            <w:tcBorders>
              <w:bottom w:val="single" w:sz="8" w:color="0000EE"/>
            </w:tcBorders>
          </w:tcPr>
          <w:p>
            <w:pPr>
              <w:spacing w:after="0"/>
              <w:rPr>
                <w:sz w:val="24"/>
                <w:szCs w:val="24"/>
                <w:color w:val="auto"/>
              </w:rPr>
            </w:pPr>
          </w:p>
        </w:tc>
        <w:tc>
          <w:tcPr>
            <w:tcW w:w="488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r>
      <w:tr>
        <w:trPr>
          <w:trHeight w:val="46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3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w:t>
            </w: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Securities</w:t>
            </w:r>
          </w:p>
        </w:tc>
        <w:tc>
          <w:tcPr>
            <w:tcW w:w="8840" w:type="dxa"/>
            <w:vAlign w:val="bottom"/>
            <w:gridSpan w:val="32"/>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Reserved</w:t>
            </w:r>
          </w:p>
        </w:tc>
        <w:tc>
          <w:tcPr>
            <w:tcW w:w="8840" w:type="dxa"/>
            <w:vAlign w:val="bottom"/>
            <w:gridSpan w:val="32"/>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5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60" w:type="dxa"/>
            <w:vAlign w:val="bottom"/>
            <w:gridSpan w:val="4"/>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95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9"/>
                <w:szCs w:val="19"/>
                <w:color w:val="auto"/>
              </w:rPr>
            </w:pPr>
          </w:p>
        </w:tc>
        <w:tc>
          <w:tcPr>
            <w:tcW w:w="1000" w:type="dxa"/>
            <w:vAlign w:val="bottom"/>
            <w:tcBorders>
              <w:top w:val="single" w:sz="8" w:color="0000FF"/>
            </w:tcBorders>
            <w:gridSpan w:val="5"/>
          </w:tcPr>
          <w:p>
            <w:pPr>
              <w:spacing w:after="0"/>
              <w:rPr>
                <w:sz w:val="19"/>
                <w:szCs w:val="19"/>
                <w:color w:val="auto"/>
              </w:rPr>
            </w:pPr>
          </w:p>
        </w:tc>
        <w:tc>
          <w:tcPr>
            <w:tcW w:w="5200" w:type="dxa"/>
            <w:vAlign w:val="bottom"/>
            <w:gridSpan w:val="10"/>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000" w:type="dxa"/>
            <w:vAlign w:val="bottom"/>
            <w:gridSpan w:val="3"/>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80" w:type="dxa"/>
            <w:vAlign w:val="bottom"/>
            <w:gridSpan w:val="23"/>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9"/>
                <w:szCs w:val="19"/>
                <w:color w:val="auto"/>
              </w:rPr>
            </w:pPr>
          </w:p>
        </w:tc>
        <w:tc>
          <w:tcPr>
            <w:tcW w:w="8220" w:type="dxa"/>
            <w:vAlign w:val="bottom"/>
            <w:gridSpan w:val="26"/>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50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Disclosures Regarding Foreign Jurisdictions That Prevent Inspections</w:t>
            </w:r>
          </w:p>
        </w:tc>
        <w:tc>
          <w:tcPr>
            <w:tcW w:w="4520" w:type="dxa"/>
            <w:vAlign w:val="bottom"/>
            <w:gridSpan w:val="6"/>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r>
      <w:tr>
        <w:trPr>
          <w:trHeight w:val="466"/>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gridSpan w:val="14"/>
          </w:tcPr>
          <w:p>
            <w:pPr>
              <w:jc w:val="center"/>
              <w:ind w:right="488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7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EE"/>
            </w:tcBorders>
            <w:gridSpan w:val="3"/>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60" w:type="dxa"/>
            <w:vAlign w:val="bottom"/>
            <w:gridSpan w:val="11"/>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135</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95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60" w:type="dxa"/>
            <w:vAlign w:val="bottom"/>
            <w:gridSpan w:val="2"/>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149</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100" w:type="dxa"/>
            <w:vAlign w:val="bottom"/>
            <w:gridSpan w:val="5"/>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152</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5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153</w:t>
            </w:r>
          </w:p>
        </w:tc>
      </w:tr>
      <w:tr>
        <w:trPr>
          <w:trHeight w:val="466"/>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gridSpan w:val="14"/>
          </w:tcPr>
          <w:p>
            <w:pPr>
              <w:jc w:val="center"/>
              <w:ind w:right="48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740" w:type="dxa"/>
            <w:vAlign w:val="bottom"/>
          </w:tcPr>
          <w:p>
            <w:pPr>
              <w:spacing w:after="0"/>
              <w:rPr>
                <w:sz w:val="24"/>
                <w:szCs w:val="24"/>
                <w:color w:val="auto"/>
              </w:rPr>
            </w:pPr>
          </w:p>
        </w:tc>
      </w:tr>
      <w:tr>
        <w:trPr>
          <w:trHeight w:val="46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20" w:type="dxa"/>
            <w:vAlign w:val="bottom"/>
            <w:tcBorders>
              <w:top w:val="single" w:sz="8" w:color="0000FF"/>
            </w:tcBorders>
            <w:gridSpan w:val="7"/>
          </w:tcPr>
          <w:p>
            <w:pPr>
              <w:spacing w:after="0"/>
              <w:rPr>
                <w:sz w:val="24"/>
                <w:szCs w:val="24"/>
                <w:color w:val="auto"/>
              </w:rPr>
            </w:pPr>
          </w:p>
        </w:tc>
        <w:tc>
          <w:tcPr>
            <w:tcW w:w="4880" w:type="dxa"/>
            <w:vAlign w:val="bottom"/>
            <w:gridSpan w:val="7"/>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60" w:type="dxa"/>
            <w:vAlign w:val="bottom"/>
            <w:gridSpan w:val="17"/>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158</w:t>
            </w:r>
          </w:p>
        </w:tc>
      </w:tr>
      <w:tr>
        <w:trPr>
          <w:trHeight w:val="223"/>
        </w:trPr>
        <w:tc>
          <w:tcPr>
            <w:tcW w:w="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 w:type="dxa"/>
            <w:vAlign w:val="bottom"/>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159</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81" w:lineRule="exact"/>
        <w:rPr>
          <w:sz w:val="20"/>
          <w:szCs w:val="20"/>
          <w:color w:val="auto"/>
        </w:rPr>
      </w:pPr>
    </w:p>
    <w:p>
      <w:pPr>
        <w:ind w:left="760" w:right="1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right="1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6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117"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economy and the possibility of rapid change in the highly competitive industry in which we operate;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need to raise additional capital to execute our business plan, which may not be available on acceptable terms or at all;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1020" w:right="300" w:hanging="503"/>
        <w:spacing w:after="0" w:line="31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3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ind w:left="1020" w:right="4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Phase 2 clinical trials of bitopertin, Phase 1b/2 clinical trials of DISC-0974 and Phase 1 clinical trial of DISC-3405 (formerly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meet expected deadlines, or if the prior work conducted by these third parties is incomplete, we may not be able to obtain regulatory approval for or commercialize our product candidates and our business could be substantially harmed.</w:t>
      </w:r>
    </w:p>
    <w:p>
      <w:pPr>
        <w:spacing w:after="0" w:line="75"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1020" w:right="10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ii.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or where otherwise indicated, the terms “Disc,” “we,” “us,” “our,” “our company,” “the company,” and “our business” refer to Disc Medicine, Inc. and its consolidated subsidiaries.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expect topline data from AURORA in March or April 2024. Additional analysis of the full population in the BEACON trial is anticipated to be presented in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anticipate additional interim data presentations in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is anticipated to be presented in the first and second halves of 2024. We expect to develop DISC-3405 for the treatment of PV and other hematologic disorders.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Heme Biosynthesis Modulation: Bitopertin</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first therapeutic approach is focused on the modulation of heme biosynthesis, a multistep enzymatic process that is highly active in the formation of new red blood cells. We believe this approach has the potential to address a wide range of hematologic diseases where red blood cell formation becomes dysregulated. This includes a family of rare diseases called porphyrias, which are caused by genetic or acquired defects in the enzymes that mediate heme biosynthesis and result in the accumulation of toxic metabolites called porphyrins. Bitopertin is the most advanced product candidate in our heme biosynthesis portfolio. It is designed to be an oral, selective inhibitor of GlyT1, a key membrane transporter required to supply developing red blood cells with sufficient amounts of the amino acid glycine to support erythropoiesis. Glycine is necessary for the first step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right="760"/>
        <w:spacing w:after="0" w:line="282" w:lineRule="auto"/>
        <w:rPr>
          <w:sz w:val="20"/>
          <w:szCs w:val="20"/>
          <w:color w:val="auto"/>
        </w:rPr>
      </w:pPr>
      <w:r>
        <w:rPr>
          <w:rFonts w:ascii="Times New Roman" w:cs="Times New Roman" w:eastAsia="Times New Roman" w:hAnsi="Times New Roman"/>
          <w:sz w:val="18"/>
          <w:szCs w:val="18"/>
          <w:color w:val="auto"/>
        </w:rPr>
        <w:t>heme biosynthesis, and by limiting glycine uptake in newly forming red blood cells, bitopertin has the potential to reduce the activity of the heme biosynthesis pathway, thereby reducing the pathological accumulation of toxic metabolites.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May 2021, we licensed the worldwide rights to develop and commercialize bitopertin from Roche, a pharmaceutical company that had previously evaluated bitopertin in a comprehensive clinical program in over 4,000 individuals, originally with a focus on treating certain neurologic disorders. The data generated in these clinical trials failed to establish the efficacy of bitopertin in neurologic disorders. However, the data did demonstrate that by limiting glycine uptake in newly forming red blood cells, bitopertin reduced the activity of the heme biosynthesis pathway, and we believe that this effect has the potential to treat many hematologic disorders. In addition, bitopertin was observed to be well tolerated in humans, with adverse events reported to be generally mild and infrequent across all trials conducted by Roche including at daily oral doses well above those that we plan to use in our clinical trials. We are initially focused on developing bitopertin for the treatment of EPP and XLP which are both diseases marked by severe photosensitivity and damage to the hepatobiliary system caused by the accumulation of protoporphyrin IX, or PPIX, a toxic metabolite of the heme biosynthesis pathway. Based on the demonstrated activity of bitopertin as a GlyT1 inhibitor and suppressor of heme biosynthesis in the clinical trials conducted by Roche, as well as the preclinical data we have generated in disease-relevant animal models and human cellular models, we have initiated a clinical program of bitopertin for EPP and XLP. In July 2022, we initiated BEACON, a Phase 2 open-label, parallel-dose clinical trial of bitopertin in EPP and XLP patients that is being conducted at sites in Australia. Interim data was presented in 2023. Separately, in October 2022, we initiated AURORA, a Phase 2, randomized, double-blind, placebo-controlled clinical trial of bitopertin in EPP patients that is being conducted at sites in the United States. Topline data from AURORA is expected by March or April 2024. We also plan to explore the potential of bitopertin to treat other hematologic diseases, and entered into a collaborative research and development agreement with the NIH to conduct an NIH-sponsored clinical trial of bitopertin in DBA. The FDA authorized the clinical trial to proceed and the trial began in July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Targeting the Hepcidin Pathway to Modulate Iron Homeostasis: Anti-Hemojuvelin mAbs and TMPRSS6 inhibitor Programs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also developing a portfolio of product candidates focused on modulating iron homeostasis. Our initial product candidates aim to control the production of hepcidin, which is the master regulator of iron homeostasis. Iron is an essential element that is required for erythropoiesis as well as other important biological functions, and when iron homeostasis becomes dysregulated, it can cause a wide range of diseases. We believe that modulating the production of hepcidin to correct pathologic alterations in iron homeostasis has the potential to be a powerful therapeutic strategy. We are leveraging two approaches that are designed to either suppress or induce hepcidin production in order to increase or decrease serum iron levels, respectively.</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lead product candidate in our iron homeostasis portfolio, DISC-0974, is designed to suppress hepcidin production and is in development for the treatment of anemia associated with inflammatory diseases. DISC-0974, an antibody that we in-licensed from AbbVie, is designed to inhibit HJV, a critical regulator of hepcidin production. We selected this target because the effects of inhibiting HJV, namely decreased hepcidin and increased serum iron levels, have been genetically demonstrated in both animal knockout studies and in patients with juvenile hemochromatosis who lack fully functional genes encoding HJV. We have completed our Phase 1, placebo-controlled, single-ascending dose clinical trial of DISC-0974 in healthy volunteers. Data from the Phase 1 clinical trial showed an acceptable tolerability profile and evidence of target engagement and iron mobilization and augmented erythropoiesis. At the highest dose, a single 56 mg dose delivered by subcutaneous administration, DISC-0974 increased hemoglobin levels by greater than 1 g/dL relative to the placebo group. Data from the Phase 1 trial were presented in 2022. We initiated a Phase 1b/2 open-label clinical trial in patients with anemia of MF in July 2022 and initiated a separate Phase 1b/2 placebo controlled, single- and multiple-ascending dose clinical trial in patients with non-dialysis dependent CKD and anemia in February 2023. Interim data from both of these trials was presented in December 2023. In addition, we are developing a preclinical anti-HJV monoclonal antibody, DISC-0998, which also is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As part of our portfolio to modulate iron homeostasis, we are also advancing DISC-3405, a monoclonal antibody against TMPRSS6 that we in-licensed from Mabwell. DISC-3405 is part of our iron homeostasis portfolio and is designed to induce hepcidin production and reduce serum iron levels. An IND for DISC-3405 has been cleared by the FDA, and a Phase 1 clinical trial in healthy volunteers was initiated in October 2023. We plan to develop DISC-3405 for the treatment of disease where iron restriction may be beneficial, initially for patients with PV as well as diseases of iron overload. We selected this target based on the genetic confirmation of the effects of decreased TMPRSS6 activity in both animal knockout studies and in patients with iron-refractory iron deficiency anemia who lack fully functional genes encoding TMPRSS6.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building an innovative pipeline of product candidates that aim to modify fundamental biological pathways associated with the formation and function of red blood cells. We have obtained exclusive, worldwide licenses for the development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commercialization of bitopertin, DISC-0974, and DISC-0998, and exclusive rights for DISC-3405 and related antibodies in all territories outside of Greater China and Southeast Asia.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Clinical-Stage Product Candidates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diagram below reflects the status of the clinical-stage product candidates, bitopertin, DISC-0974 and DISC-3405, and clinical trials that have been completed, are ongoing or are expected to initiate by the end of 2024. The timelines described reflect our current expectations and beliefs based on our internal plans and certain limited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97790</wp:posOffset>
            </wp:positionV>
            <wp:extent cx="5349240" cy="2348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We also plan to develop bitopertin, DISC-0974 and DISC-3405 for other indications. For example, we are exploring the potential of bitopertin as a treatment for macrocytic anemias, such as DBA and certain types of myelodysplastic syndromes, or MDS, in preclinical studies and have entered into a collaborative research and development agreement with the NIH to conduct an NIH-sponsored clinical trial of bitopertin in DBA. The trial began in July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Product Candidates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also have preclinical-stage programs in development. This includes DISC-0998: a separate, preclinical anti-HJV monoclonal antibody, which is also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Team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and establishing and maintaining our intellectual property portfolio.</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and Tibsovo, as well as numerous late-stage clinical and approved therapies for other therapeutic areas. Our team has significant previous experience at leading biotechnology and pharmaceutical companies, including Acceleron Pharma, Inc., Agios Pharmaceuticals, Inc., Albireo Pharma, Inc., Astellas Pharma, Inc., Bristol-Myers Squibb Company, GlaxoSmithKline, Genzyme Corporation, Johnson &amp; Johnson, Merck &amp; Co., Inc., Pfizer Inc., Replimune Group, Inc., Takeda Pharmaceutical Co., Vertex Pharmaceuticals Incorporated,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suffering from hematologic diseases by developing differentiated product candidates, including ones designed to target fundamental pathways associated with the formation and function of red blood cells. To achieve our mission, we are focused on the following key elements of our strategy:</w:t>
      </w:r>
    </w:p>
    <w:p>
      <w:pPr>
        <w:spacing w:after="0" w:line="185" w:lineRule="exact"/>
        <w:rPr>
          <w:sz w:val="20"/>
          <w:szCs w:val="20"/>
          <w:color w:val="auto"/>
        </w:rPr>
      </w:pPr>
    </w:p>
    <w:p>
      <w:pPr>
        <w:ind w:left="760" w:right="20" w:hanging="378"/>
        <w:spacing w:after="0" w:line="254"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the clinical development of bitopertin for the treatment of patients with EPP and XLP and expand into other diseases characterized by dysregulation of the heme biosynthesis pathway. </w:t>
      </w:r>
      <w:r>
        <w:rPr>
          <w:rFonts w:ascii="Times New Roman" w:cs="Times New Roman" w:eastAsia="Times New Roman" w:hAnsi="Times New Roman"/>
          <w:sz w:val="18"/>
          <w:szCs w:val="18"/>
          <w:color w:val="auto"/>
        </w:rPr>
        <w:t>In multiple clinical trials conducted by Roche in other indications,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bitopertin was observed to be a regulator of heme biosynthesis. We are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and the compelling preclinical data we have generated, we believe bitopertin has the potential to be a disease-modifying treatment for these patients. In July 2022, we initiated BEACON, a Phase 2 open-label, parallel-dose clinical trial of bitopertin in EPP and XLP patients that is being conducted at sites in Australia. Interim data was presented in 2023. Separately, in July 2022, we received IND clearance from the FDA and in October 2022 initiated AURORA. AURORA is a Phase 2, randomized, double-blind, placebo-controlled clinical trial of bitopertin in EPP patients that is being conducted at sites in the United States. Topline data from AURORA is expected by March or April 2024. We also plan to explore the potential of bitopertin to treat other hematologic diseases, including DBA.</w:t>
      </w:r>
    </w:p>
    <w:p>
      <w:pPr>
        <w:spacing w:after="0" w:line="74"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the clinical development of DISC-0974 for the treatment of anemia associated with MF, CKD and other inflammatory diseases. </w:t>
      </w:r>
      <w:r>
        <w:rPr>
          <w:rFonts w:ascii="Times New Roman" w:cs="Times New Roman" w:eastAsia="Times New Roman" w:hAnsi="Times New Roman"/>
          <w:sz w:val="18"/>
          <w:szCs w:val="18"/>
          <w:color w:val="auto"/>
        </w:rPr>
        <w:t>We are initially developing our lead hepcidin-suppressing program, DISC-0974, for the treatment of anemia associated with MF and CKD. We have completed a Phase 1, placebo-controlled, single-ascending dose clinical trial of DISC-0974 in healthy volunteers. Data from the Phase 1 clinical trial showed an acceptable tolerability profile and evidence of target engagement and iron mobilization and augmented erythropoiesis. We initiated a Phase 1b/2 open-label clinical trial in patients with anemia of MF in June 2022 and initiated a separate Phase 1b/2 placebo controlled, single/multiple ascending dose clinical trial in patients with non-dialysis dependent CKD and anemia in February 2023. Interim data from these two trials was presented in December 2023. We also plan to further expand the development of DISC-0974 into anemias associated with other inflammatory diseases, such as inflammatory bowel disease.</w:t>
      </w:r>
    </w:p>
    <w:p>
      <w:pPr>
        <w:spacing w:after="0" w:line="76" w:lineRule="exact"/>
        <w:rPr>
          <w:rFonts w:ascii="Times New Roman" w:cs="Times New Roman" w:eastAsia="Times New Roman" w:hAnsi="Times New Roman"/>
          <w:sz w:val="18"/>
          <w:szCs w:val="18"/>
          <w:color w:val="auto"/>
        </w:rPr>
      </w:pPr>
    </w:p>
    <w:p>
      <w:pPr>
        <w:ind w:left="760" w:right="40" w:hanging="378"/>
        <w:spacing w:after="0" w:line="25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the clinical development of DISC-3405 for the treatment of PV and expand into other diseases associated with excess iron availability. </w:t>
      </w:r>
      <w:r>
        <w:rPr>
          <w:rFonts w:ascii="Times New Roman" w:cs="Times New Roman" w:eastAsia="Times New Roman" w:hAnsi="Times New Roman"/>
          <w:sz w:val="18"/>
          <w:szCs w:val="18"/>
          <w:color w:val="auto"/>
        </w:rPr>
        <w:t>The second program in our iron homeostasis portfolio is DISC-3405, which is designed to induce hepcidin production. We initiated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Phase 1 clinical trial in healthy volunteers in October 2023, which we plan to follow with a study in patients with PV. The inhibition of TMPRSS6 has been shown in non-clinical studies to increase hepcidin levels and restrict iron availability, and DISC-3405 demonstrated activity in disease models of PV and beta-thalassemia. In clinical trials conducted by third parties, iron restriction through a hepcidin mechanism resulted in disease control in patients with PV, which is our initial indication of focus for this program.</w:t>
      </w:r>
    </w:p>
    <w:p>
      <w:pPr>
        <w:spacing w:after="0" w:line="74" w:lineRule="exact"/>
        <w:rPr>
          <w:rFonts w:ascii="Times New Roman" w:cs="Times New Roman" w:eastAsia="Times New Roman" w:hAnsi="Times New Roman"/>
          <w:sz w:val="18"/>
          <w:szCs w:val="18"/>
          <w:color w:val="auto"/>
        </w:rPr>
      </w:pPr>
    </w:p>
    <w:p>
      <w:pPr>
        <w:ind w:left="760" w:right="100" w:hanging="378"/>
        <w:spacing w:after="0" w:line="254"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build our pipeline through internal research or business development. </w:t>
      </w:r>
      <w:r>
        <w:rPr>
          <w:rFonts w:ascii="Times New Roman" w:cs="Times New Roman" w:eastAsia="Times New Roman" w:hAnsi="Times New Roman"/>
          <w:sz w:val="18"/>
          <w:szCs w:val="18"/>
          <w:color w:val="auto"/>
        </w:rPr>
        <w:t>Though we have yet to generate complete clinical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product candidates, we believe that all of our current product candidates, if approved, could have pipeline-in-a-product potential, and for each product candidate, we plan to explore its potential across multiple hematologic diseases. In addition, we plan to leverage our 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80" w:lineRule="exact"/>
        <w:rPr>
          <w:rFonts w:ascii="Times New Roman" w:cs="Times New Roman" w:eastAsia="Times New Roman" w:hAnsi="Times New Roman"/>
          <w:sz w:val="18"/>
          <w:szCs w:val="18"/>
          <w:color w:val="auto"/>
        </w:rPr>
      </w:pPr>
    </w:p>
    <w:p>
      <w:pPr>
        <w:ind w:left="760" w:hanging="378"/>
        <w:spacing w:after="0" w:line="25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Opportunistically evaluate strategic collaborations to maximize the value of our product candidates and preclinical programs.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exclusive, worldwide licenses for the development and commercialization of bitopertin, DISC-0974, and DISC-0998, and exclusive rights for DISC-3405 (formerly MWTX-003) and related antibodies in all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8"/>
          <w:szCs w:val="18"/>
          <w:color w:val="auto"/>
        </w:rPr>
        <w:t>and preclinical programs in order to treat patients in need of new therapies, while also maximizing value for our stockholders.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data, we believe our product candidate portfolio, by targeting fundamental pathways in red blood cell biology, has the potential to address a range of hematologic diseases in which modification of iron and heme plays a critical function.</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focused on therapeutic approaches that modulate heme and iron to address diseases of heme biosynthesis and red blood cell production. Our current pipeline is focused on the following three approaches:</w:t>
      </w:r>
    </w:p>
    <w:p>
      <w:pPr>
        <w:spacing w:after="0" w:line="54" w:lineRule="exact"/>
        <w:rPr>
          <w:sz w:val="20"/>
          <w:szCs w:val="20"/>
          <w:color w:val="auto"/>
        </w:rPr>
      </w:pPr>
    </w:p>
    <w:p>
      <w:pPr>
        <w:ind w:left="760" w:right="1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Modulating the heme biosynthesis pathway, which is anticipated to be useful in diseases caused by excesses in toxic heme pathway metabolites, e.g. EPs;</w:t>
      </w:r>
    </w:p>
    <w:p>
      <w:pPr>
        <w:spacing w:after="0" w:line="53"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iron availability, which is anticipated to lower red blood cell production in diseases of excessive red cell production, e.g. PV.</w:t>
      </w:r>
    </w:p>
    <w:p>
      <w:pPr>
        <w:spacing w:after="0" w:line="18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Additionally, we focus on therapeutic mechanisms that have been validated in humans, through evidence from either human genetics or third-party clinical trials. For example, our lead program, bitopertin, which has been evaluated in over 4,000 individuals, has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7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Heme Biosynthesis Modulation Portfolio</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Fundamental to Erythropoiesis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40"/>
        <w:spacing w:after="0" w:line="282" w:lineRule="auto"/>
        <w:rPr>
          <w:sz w:val="20"/>
          <w:szCs w:val="20"/>
          <w:color w:val="auto"/>
        </w:rPr>
      </w:pPr>
      <w:r>
        <w:rPr>
          <w:rFonts w:ascii="Times New Roman" w:cs="Times New Roman" w:eastAsia="Times New Roman" w:hAnsi="Times New Roman"/>
          <w:sz w:val="18"/>
          <w:szCs w:val="18"/>
          <w:color w:val="auto"/>
        </w:rPr>
        <w:t>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173990</wp:posOffset>
            </wp:positionV>
            <wp:extent cx="4594860" cy="1731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948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as a Therapeutic Target for Diseases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many hematologic diseases, there is abnormal proliferation and differentiation of the progenitor cells that develop into red blood cells.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in any aspect of red blood cell maturation can result in the build-up of metabolic intermediates from heme and hemoglobin biosynthesis,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intermediates can cause a variety of disease states. Defects of the heme biosynthesis enzymes in the erythroid lineage can cause the build-up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metabolic intermediates called porphyrins and lead to a set of diseases referred to as EPs. In EPs, porphyrins accumulate to inappropriately high levels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damage, particularly in the skin, gallbladder, and liver. Similarly, defects in globin biosynthesis, often caused by mutations in the ribosomes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for mediating globin biosynthesis, result in the build-up of heme that is not complexed with globin. This free heme can damage newly forming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blood cells, leading to forms of anemia observed in DBA and in certain types of MDS. In diseases characterized by defects in the genes coding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globins, such as sickle cell disease and beta thalassemia, the reduction of heme biosynthesis has the potential to reduce the production of pathologically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altered globins that aggregate or polymerize, causing oxidative damage and hemolysis. In people without globin abnormalities, excessive production of 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blood cells with normal hemoglobin can cause PV, in which the higher hematocrit can lead to thrombotic disease, including stroke. Restricting heme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formation has the potential to ameliorate symptoms in certain patients with these hemoglobinopathies and disorders of red blood cell excess. Therefore,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that inhibitors of heme biosynthesis have the potential to treat a wide range of hematologic diseases by restricting the production of damaging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metabolites, including porphyrins, heme and globins.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Erythropoietic Porphyrias</w:t>
      </w:r>
    </w:p>
    <w:p>
      <w:pPr>
        <w:spacing w:after="0" w:line="9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182880</wp:posOffset>
            </wp:positionV>
            <wp:extent cx="2880360" cy="2529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036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 and recent analyses we completed of medical claims data using the ICD-10 code for EPP suggests a prevalence ranging from 1 in 100,000 up to 1 in 24,000, depending on the definition used.</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Options for Erythropoietic Porphyrias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right="40"/>
        <w:spacing w:after="0" w:line="254" w:lineRule="auto"/>
        <w:rPr>
          <w:sz w:val="20"/>
          <w:szCs w:val="20"/>
          <w:color w:val="auto"/>
        </w:rPr>
      </w:pPr>
      <w:r>
        <w:rPr>
          <w:rFonts w:ascii="Times New Roman" w:cs="Times New Roman" w:eastAsia="Times New Roman" w:hAnsi="Times New Roman"/>
          <w:sz w:val="18"/>
          <w:szCs w:val="18"/>
          <w:color w:val="auto"/>
        </w:rPr>
        <w:t>are designed to promote melanin production, or tanning, and thereby increase patient tolerance to sunlight. Afamelanotide, an a-melanocyte-stimulating hormone analog delivered by a surgically-administered subcutaneous implant, was approved by the FDA in 2019 for the treatment of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Bitopertin, an Oral, Selective GlyT1 Inhibitor</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Bitopertin May Treat a Range of Hematologic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173990</wp:posOffset>
            </wp:positionV>
            <wp:extent cx="4826000" cy="1165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60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jc w:val="both"/>
        <w:ind w:right="240" w:firstLine="509"/>
        <w:spacing w:after="0" w:line="255" w:lineRule="auto"/>
        <w:rPr>
          <w:sz w:val="20"/>
          <w:szCs w:val="20"/>
          <w:color w:val="auto"/>
        </w:rPr>
      </w:pPr>
      <w:r>
        <w:rPr>
          <w:rFonts w:ascii="Times New Roman" w:cs="Times New Roman" w:eastAsia="Times New Roman" w:hAnsi="Times New Roman"/>
          <w:sz w:val="18"/>
          <w:szCs w:val="18"/>
          <w:color w:val="auto"/>
        </w:rPr>
        <w:t>We are initially focused on the ability of bitopertin to suppress the accumulation of PPIX, as shown below, based on preclinical data from cellular and mouse models of disease. Based on its mechanism of action, we believe bitopertin has the potential to be a disease-modifying treatment for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112395</wp:posOffset>
            </wp:positionV>
            <wp:extent cx="2794635" cy="1877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Bitopertin has been evaluated in an extensive clinical program focused on neurological disease conducted by Roche in over 4,000 individuals, which demonstrated the activity of bitopertin as a GlyT1 inhibitor and suppressor of heme biosynthesis. We have also conducted preclinical studies in cellular models of EPP and animal models of EPP and XLP, which showed that bitopertin significantly decreased PPIX by 45 and 73%, respectively, which is more than the threshold 30% reduction that has been associated with marked symptom improvement in the studies described above. In a separate study, we also demonstrated that bitopertin reduced liver fibrosis in an animal model of EPP. Based on the aggregate of these results, we have initiated a clinical program to study bitopertin in EPP and XLP. In July 2022, we initiated BEACON, a Phase 2 open-label, parallel-dose clinical trial of bitopertin in EPP and XLP patients that is being conducted at sites in Australia. Interim data from BEACON was presented in 2023 and showed dose dependent reductions in PPIX of approximately 40% across the 20 mg and 60 mg dose groups. This PPIX reduction was associated with increases in light tolerance, as measured by participant diary light exposure data, and improvements in quality of life, as assessed by patient reported outcomes. Separately, in July 2022, we received IND clearance from the FDA and initiated AURORA in October 2022. AURORA is a Phase 2, randomized, double-blind, placebo-controlled clinical trial of bitopertin in EPP patients that is being conducted at sites in the United States. Topline data from AURORA is expected by March or April 2024. We also plan to explore the potential of bitopertin to treat other hematologic diseases, and have entered into a collaborative research and development agreement with the NIH to initiate an NIH-sponsored clinical trial of bitopertin in DBA. The trial initiated in July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those indications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This was observed in multiple clinical trials by a mild, dose-dependent decrease in heme biosynthesis, which manifested as a decrease in hemoglobin of approximately 0.5 to 2 g/dL that stabilized after approximately 16 weeks, the approximate lifespan of a red blood cell.</w:t>
      </w:r>
    </w:p>
    <w:p>
      <w:pPr>
        <w:spacing w:after="0" w:line="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Bitopertin Inhibited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182880</wp:posOffset>
            </wp:positionV>
            <wp:extent cx="5006340" cy="1885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063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believe that the findings from our preclinical studies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 Accordingly, we have initiated a clinical program to study bitopertin in EPP and XLP. In July 2022, we initiated BEACON, a Phase 2 open-label, parallel-dose clinical trial of bitopertin in EPP and XLP patients that is being conducted at sites in Australia. Interim data was presented in 2023 and additional data will be presented in 2024. Separately, in October 2022 we initiated AURORA, a Phase 2, randomized, double-blind, placebo-controlled clinical trial of bitopertin in EPP patients being conducted at sites in the United States. We filed an IND for this study with the FDA in April 2022 and were on clinical hold until the study design was finalized with the FDA. In July 2022, we received IND clearance from the FDA to initiate the study and the trial began in October 2022. Topline data from AURORA is expected March or April 2024. We also plan to explore the potential of bitopertin to treat other hematologic diseases, and have entered into a collaborative research and development agreement with the NIH to initiate an NIH-sponsored clinical trial of bitopertin in DBA. The FDA authorized the clinical trial to proceed and the trial began in July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Clinical Development Program in Patients with EPP and XLP</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part of our clinical development program, we have initiated a clinical development program that consists of two separate Phase 2 clinical trials of bitopertin in patients with EPP and XLP.</w:t>
      </w:r>
    </w:p>
    <w:p>
      <w:pPr>
        <w:spacing w:after="0" w:line="54"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July 2022, we initiated BEACON, a Phase 2 clinical trial of bitopertin in EPP and XLP patients that is being conducted at sites in Australia. The study is a randomized, open-label, parallel-dose clinical trial designed to evaluate the safety, tolerability, and efficacy of bitopertin. It was designed to enroll approximately 20 adult patients with EPP or XLP at sites in Australia, and in 2023, upon completion of enrollment for adults, the study was expanded to include adolescents. The study will primarily assess changes in levels of PPIX as well as the PK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Upon completion of the 24-week treatment period, patients may enroll in an open label extension study. The trial design is summarized in the figure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BEACON Trial Design: Open-Label, Phase 2 Clinical Trial of Bitopertin in Patients with EPP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 XLP (N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117475</wp:posOffset>
            </wp:positionV>
            <wp:extent cx="5349240" cy="1483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Interim data from BEACON were presented at the European Hematology Association annual meeting in June 2023 and at the American Society of Hematology annual meeting in December 2023. As of the December 2023 presentation (with a data cutoff of September 18, 2023 for PPIX data and October 20, 2023 for all other endpoints), all 22 adults planned for enrollment had completed at least 6 weeks on study, with 14 having completed 24 weeks of dosing. The average age of participants was 44 years, with 64% being female. Bitopertin significantly reduced whole blood metal-free PPIX by &gt;40% in the overall study population, with greater reductions in the 60 mg group than the 20 mg group. Most of the PPIX reduction occurred in the first 6 weeks of treatment. Overall, there was a 92% reduction in the incidence of patient-reported full phototoxic reactions compared to baseline. The proportion of symptom-free days improved from 33% at baseline to 78% while taking bitopertin. Sunlight tolerance improved in a series of sunlight challenges that participants self-administered weekly, according to the protocol. People with EPP experience prodromes, or early warning symptoms, of an impending full phototoxic reaction. These prodromes are reversible when sunlight exposure is discontinued, and the time until a prodrome starts is an indicator of light tolerance. Combining data from all participants showed a &gt;3-fold improvement in average time to prodrome, as compared to baseline (p&lt;0.001). The proportion of participants who conducted a sunlight challenge that did not elicit a prodrome increased from 7% at baseline to 54% while taking bitopertin. Of the participants that completed the treatment period (n=14), nearly all participants who completed the quality of life responses (n=13) reported improvements in quality of life measures, with 12 of 13 reporting that their EPP was “much better” or “a little better”, 12 of 13 reporting that their EPP was “not at all” or “mild” in severity, and 11 of 13 reporting that EPP impacted their quality of life in the last 7 days “not at all” or “a little bit”. Safety analyses showed no serious adverse events, stable hemoglobin levels, and no anemia adverse events reported. There was one discontinuation due to a Grade 3 headache. Overall, 32% of participants reported dizziness, 23% lightheadedness, 18% headache, and 14% nausea.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118110</wp:posOffset>
            </wp:positionV>
            <wp:extent cx="3454400" cy="1920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44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2273935</wp:posOffset>
            </wp:positionH>
            <wp:positionV relativeFrom="page">
              <wp:posOffset>749300</wp:posOffset>
            </wp:positionV>
            <wp:extent cx="2966085" cy="1611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96608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Separately, in October 2022 we initiated AURORA, a Phase 2, randomized, double-blind, placebo-controlled, parallel dosing trial in 75 adult patients with EPP. We enrolled patients into a placebo group, a 20 mg/day dose group and a 60 mg/day dose group,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will include assessments of blood PPIX levels and patient photosensitivity. Additional study measures will include time to prodromal symptom, hepatobiliary markers, quality of life, safety and tolerability, among others. The FDA has previously approved afamelanotide for the treatment of photosensitivity in EPP patients on the basis of a clinical endpoint measuring a change in pain-free time spent in sunlight in treated patients, relative to patients treated with placebo. Topline data is expected by March or April 2024. The trial design is summarized in the figure below.</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139700</wp:posOffset>
            </wp:positionV>
            <wp:extent cx="4646295" cy="1363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4629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Safety Data from Selected Clinical Trials Conducted by Roche</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Based on the comprehensive data package from Roche’s healthy volunteer trials, we anticipate that bitopertin will have an acceptable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Additional Preclinical Safety Data from Studies Conducted by Roche</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There is also comprehensive nonclinical safety data for bitopertin supporting further development in the EPP and other hematologic diseases. The main targets for bitopertin toxicity in repeat-dose toxicity studies were identified as the CNS and the intended PD effect of altered erythropoiesis. No primary histopathological findings attributable to bitopertin were noted in any organ. The CNS-related effects following repeated treatment with bitopertin were generally mild and reversible upon cessation of treatment. The incidence, severity, and onset of the CNS-related effects were dose-dependent, and histopathology evaluation did not show any morphological lesions. The repeat-dose toxicity studies were performed in rats for up to 26 weeks and in non-human primates, or NHPs, for up to 52 weeks. Two-year carcinogenicity studies showed that bitopertin was not carcinogenic in mice or rats. In juvenile toxicity studies conducted in rats, treatment was generally well-tolerated and no effects specific to the juvenile rat were identified on development or behavior at any dose level tested.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Bitopertin in Additional Indications: Diamond-Blackfan Anemia and Macrocytic Anemias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we expect bitopertin may be therapeutically beneficial in these related conditions. We are continuing to explore the potential of bitopertin in these additional indications in preclinical studies. We have entered into a collaborative research and development agreement with the NIH to conduct an NIH-sponsored clinical trial of bitopertin in DBA. The FDA authorized the clinical trial to proceed and the trial began in July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Iron Homeostasis Portfolio</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Hepcidin: The Master Regulator of Iron Homeostasis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173990</wp:posOffset>
            </wp:positionV>
            <wp:extent cx="5083175" cy="1954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31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Hepcidin is a Therapeutic Target for Diseases of Iron Metabolism</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173990</wp:posOffset>
            </wp:positionV>
            <wp:extent cx="5083175" cy="1577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8317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Hepcidin Suppression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 We have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0" w:name="page21"/>
    <w:bookmarkEnd w:id="20"/>
    <w:p>
      <w:pPr>
        <w:ind w:right="280"/>
        <w:spacing w:after="0" w:line="282" w:lineRule="auto"/>
        <w:rPr>
          <w:sz w:val="20"/>
          <w:szCs w:val="20"/>
          <w:color w:val="auto"/>
        </w:rPr>
      </w:pPr>
      <w:r>
        <w:rPr>
          <w:rFonts w:ascii="Times New Roman" w:cs="Times New Roman" w:eastAsia="Times New Roman" w:hAnsi="Times New Roman"/>
          <w:sz w:val="18"/>
          <w:szCs w:val="18"/>
          <w:color w:val="auto"/>
        </w:rPr>
        <w:t>observed the effects of DISC-0974 on hepcidin and serum iron levels in preclinical studies, and have completed a single ascending dose Phase 1 clinical trial to evaluate these effects in healthy volunteers.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Hepcidin Induction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DISC-3405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 We in-licensed DISC-3405 from Mabwell and an IND for DISC-3405 has been accepted by the FDA. We initiated a Phase 1 clinical trial of DISC-3405 in healthy volunteers in October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Hepcidin Suppression Program: DISC-0974 For the Treatment of Anemia of Inflammatory Diseases</w:t>
      </w:r>
    </w:p>
    <w:p>
      <w:pPr>
        <w:spacing w:after="0" w:line="121"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7"/>
          <w:szCs w:val="17"/>
          <w:color w:val="auto"/>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 In July 2021, we initiated a single ascending dose Phase 1 clinical trial of DISC-0974 in healthy volunteers. We have completed our Phase 1 clinical trial. Data from the Phase 1 clinical trial showed an acceptable tolerability profile and evidence of target engagement and iron mobilization and augmented erythropoiesis. We initiated a Phase 1b/2 clinical trial in patients with anemia of MF in June 2022 and initiated a separate Phase 1b/2 placebo controlled, single/multiple ascending dose clinical trial in patients with non-dialysis dependent CKD and anemia in February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Anemia Associated with Inflammatory Diseases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Anemia of Myelofibrosis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MF is a rare, chronic blood cancer that currently affects an estimated 16,000 to 18,500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75"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173990</wp:posOffset>
            </wp:positionV>
            <wp:extent cx="3497580" cy="2357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9758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182880</wp:posOffset>
            </wp:positionV>
            <wp:extent cx="2537460" cy="1894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746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Anemia of Chronic Kidney Disease</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p>
    <w:p>
      <w:pPr>
        <w:spacing w:after="0" w:line="75"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2" w:name="page23"/>
    <w:bookmarkEnd w:id="22"/>
    <w:p>
      <w:pPr>
        <w:ind w:right="100"/>
        <w:spacing w:after="0" w:line="261" w:lineRule="auto"/>
        <w:rPr>
          <w:sz w:val="20"/>
          <w:szCs w:val="20"/>
          <w:color w:val="auto"/>
        </w:rPr>
      </w:pPr>
      <w:r>
        <w:rPr>
          <w:rFonts w:ascii="Times New Roman" w:cs="Times New Roman" w:eastAsia="Times New Roman" w:hAnsi="Times New Roman"/>
          <w:sz w:val="18"/>
          <w:szCs w:val="18"/>
          <w:color w:val="auto"/>
        </w:rPr>
        <w:t>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Hepcidin Levels Are Elevated in Patients with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182880</wp:posOffset>
            </wp:positionV>
            <wp:extent cx="3231515" cy="2306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151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DISC-0974, an Anti-HJV Monoclonal Antibody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we intend to develop DISC-0974 as a once-monthly, subcutaneous injection.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Hemojuvelin Has a Critical and Specific Role for Hepcidin Regulation and Homeostasis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182880</wp:posOffset>
            </wp:positionV>
            <wp:extent cx="2099945" cy="213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999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182880</wp:posOffset>
            </wp:positionV>
            <wp:extent cx="3008630" cy="2288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863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Clinical Trial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firstLine="509"/>
        <w:spacing w:after="0" w:line="258" w:lineRule="auto"/>
        <w:rPr>
          <w:sz w:val="20"/>
          <w:szCs w:val="20"/>
          <w:color w:val="auto"/>
        </w:rPr>
      </w:pPr>
      <w:r>
        <w:rPr>
          <w:rFonts w:ascii="Times New Roman" w:cs="Times New Roman" w:eastAsia="Times New Roman" w:hAnsi="Times New Roman"/>
          <w:sz w:val="18"/>
          <w:szCs w:val="18"/>
          <w:color w:val="auto"/>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173990</wp:posOffset>
            </wp:positionV>
            <wp:extent cx="5083175" cy="1928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831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this Phase 1 clinical trial. Data from the Phase 1 clinical trial showed an acceptable tolerability profile and evidence of target engagement and iron mobilization and augmented erythropoiesis. Additional data are discussed below.</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DISC-0974 Phase 1 SAD Study in Healthy Volunteers: Effects on Hepcidin and Transferrin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182880</wp:posOffset>
            </wp:positionV>
            <wp:extent cx="5006340" cy="1885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063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Notably, at the 56 mg SC dose level, a single administration of DISC-0974 resulted in a statistically significant improvement in hemoglobin compared to placebo (+1.1 g/dL, p=0.009) at Day 42 and a marked increase in red blood cell count.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DISC-0974 Phase 1 SAD Study in Healthy Volunteers: Single 56 mg SC Dose Increases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182880</wp:posOffset>
            </wp:positionV>
            <wp:extent cx="4732020" cy="17659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3202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European Hematology Association meeting in June 2022 and the 2022 American Society of Hematology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 2 Clinical Development Program in Anemia of Inflammation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Based on these findings, we initiated multiple Phase 1b/2 clinical trials of DISC-0974 in patients with anemia of different inflammatory diseases. This includes a Phase 1b/2 clinical trial of DISC-0974 in patients with anemia of MF, which was initiated in June 2022, and a separate Phase 1b/2 clinical trial of DISC-0974 in patients with non-dialysis dependent CKD, and anemia which was initiated in February 2023. We reported interim data from both of these studies in December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1b/2 Clinical Trial in Myelofibrosis Patients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Janus Kinase (JAK) inhibitors. The study will be conducted in two parts:</w:t>
      </w:r>
    </w:p>
    <w:p>
      <w:pPr>
        <w:spacing w:after="0" w:line="72" w:lineRule="exact"/>
        <w:rPr>
          <w:sz w:val="20"/>
          <w:szCs w:val="20"/>
          <w:color w:val="auto"/>
        </w:rPr>
      </w:pPr>
    </w:p>
    <w:p>
      <w:pPr>
        <w:ind w:left="760" w:right="14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(Dose-Escalation): Ascending, monthly doses of DISC-0974 administered for six months to patients with anemia of MF, (Hb levels &lt; 10 g/dL,), where a dose level will be selected based on optimal increases in hemoglobin and serum iron;</w:t>
      </w:r>
    </w:p>
    <w:p>
      <w:pPr>
        <w:spacing w:after="0" w:line="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(Expansion Stage): Multiple, doses of DISC-0974 administered once-a-month at the dose level selected from the Phase 1b portion of the study to patients with anemia of MF who are transfusion dependent (TD) or non-transfusion dependent (NTD), generally defined according to the baseline transfusion burden in a 12-week period.</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Phase 1b/2 Open-Label, Clinical Trial of DISC-0974 in Myelofibrosis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131445</wp:posOffset>
            </wp:positionV>
            <wp:extent cx="5349240" cy="13373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6" w:name="page27"/>
    <w:bookmarkEnd w:id="26"/>
    <w:p>
      <w:pPr>
        <w:ind w:firstLine="509"/>
        <w:spacing w:after="0" w:line="254" w:lineRule="auto"/>
        <w:rPr>
          <w:sz w:val="20"/>
          <w:szCs w:val="20"/>
          <w:color w:val="auto"/>
        </w:rPr>
      </w:pPr>
      <w:r>
        <w:rPr>
          <w:rFonts w:ascii="Times New Roman" w:cs="Times New Roman" w:eastAsia="Times New Roman" w:hAnsi="Times New Roman"/>
          <w:sz w:val="18"/>
          <w:szCs w:val="18"/>
          <w:color w:val="auto"/>
        </w:rPr>
        <w:t>Interim data from this trial was presented at the American Society of Hematology annual meeting in December 2023. Data from 11 evaluable participants in the first 3 dose cohorts (14 mg, 28, 50 mg) were presented as of an October 20, 2023 data cutoff date. Four of 11 participants were taking concomitant JAK inhibitors, and two were transfusion dependent. Hepcidin data from the 14 mg (n=1) and 28 mg (n=7) groups showed a dose-dependent decrease in hepcidin, exceeding 75% reduction in the 28 mg group. The anticipated reciprocal increase in iron was observed in a dose-dependent manner as well, with sustained 75% increases in serum iron observed in the 28 mg group. Hemoglobin response data in a combined 28 mg (n=7) and 50 mg (n=2 [1 participant at 50 mg had follow up &lt;4 weeks and was not included]) showed a 1.5 g/dL increase in four of seven participants, regardless of concomitant JAK inhibitor use. One of two transfusion dependent participants achieved transfusion independence, defined as no blood transfusion in 12 weeks. Safety analyses showed that DISC-0974 was generally well tolerated. There was one serious adverse event of hip pain, assessed as unrelated to DISC-0974. Grade 3 adverse events included anemia (n=3) and headache (n=1). One DISC-0974-related adverse event of diarrhea (Grade 2) was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131445</wp:posOffset>
            </wp:positionV>
            <wp:extent cx="2966085" cy="5597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6085" cy="559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1b/2 Clinical Trial in Patients with Non-Dialysis Dependent Chronic Kidney Disease (NDD-CKD)</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February 2023, we initiated a Phase 1b/2 clinical trial to evaluate the safety, tolerability and efficacy of DISC-0974 in patients with CKD who are not receiving dialysis and are anemic. The study consists of two parts, including: a Phase 1b,</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160"/>
        <w:spacing w:after="0" w:line="266" w:lineRule="auto"/>
        <w:rPr>
          <w:sz w:val="20"/>
          <w:szCs w:val="20"/>
          <w:color w:val="auto"/>
        </w:rPr>
      </w:pPr>
      <w:r>
        <w:rPr>
          <w:rFonts w:ascii="Times New Roman" w:cs="Times New Roman" w:eastAsia="Times New Roman" w:hAnsi="Times New Roman"/>
          <w:sz w:val="18"/>
          <w:szCs w:val="18"/>
          <w:color w:val="auto"/>
        </w:rPr>
        <w:t>randomized, placebo-controlled, single-ascending dose stage, where a dose level will be selected based on optimal increases in serum iron; followed by a Phase 2, open-label, expansion stage where patients will receive multiple doses of DISC-0974 at the selected dose level. The study endpoints include hepcidin levels, serum iron and markers of iron mobilization and measures of anemia benefit such as hemoglobin.</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Phase 1b/2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156845</wp:posOffset>
            </wp:positionV>
            <wp:extent cx="5349240" cy="1337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Interim data from the initial 28 mg single dose cohort showed consistent suppression of hepcidin that led to iron increases that were comparable to iron increases observed in the 28 mg single dose cohort of the healthy volunteer DISC-0974 study. In the CKD population, DISC-0974 was generally well tolerated as of the October 20, 2023 data cutoff date; two subjects treated with DISC-0974 28 mg had a treatment emergent adverse event (33%) compared to two on placebo (100%); two treated subjects had serious adverse events deemed not related to DISC-0974 (atrial fibrillation and worsening of end stage renal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162560</wp:posOffset>
            </wp:positionV>
            <wp:extent cx="5349240" cy="14662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Second Hepcidin Suppression Program: DISC-0998</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confirmed in humans, it would suggest the potential for an infrequent dosing regimen (such as potentially once every 2 or 3 months). We expect that such a dosing regimen would be perceived as convenient by patients and promote compliance.</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DISC-0998 Dose Response PK / PD Study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182880</wp:posOffset>
            </wp:positionV>
            <wp:extent cx="4928870" cy="2700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887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Hepcidin Induction Program</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also focused on developing product candidates designed to increase hepcidin levels and decrease serum iron levels to address a range of diseases where restricting iron would be beneficial, such as erythrocytosis of PV and diseases of iron overload, including HH, beta-thalassemia, and MDS. Our lead hepcidin induction program, DISC-3405, is a Phase 1 ready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 An IND for DISC-3405 has been accepted by the FDA, and initiated a Phase 1 clinical trial in healthy volunteers in October 2023.</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173990</wp:posOffset>
            </wp:positionV>
            <wp:extent cx="2425700" cy="24771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Polycythemia Vera</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Current management of PV centers around depleting the number of red blood cells to maintain a patient’s hematocrit (a measure of red blood cell mass) below 45%, the target threshold recommended by the National Comprehensive Cancer Network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Hereditary Hemochromatosis</w:t>
      </w:r>
    </w:p>
    <w:p>
      <w:pPr>
        <w:spacing w:after="0" w:line="121" w:lineRule="exact"/>
        <w:rPr>
          <w:sz w:val="20"/>
          <w:szCs w:val="20"/>
          <w:color w:val="auto"/>
        </w:rPr>
      </w:pPr>
    </w:p>
    <w:p>
      <w:pPr>
        <w:ind w:right="120" w:firstLine="517"/>
        <w:spacing w:after="0" w:line="258"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Whites, affecting millions worldwide, including over 1 million individuals in the United States alone.</w:t>
      </w:r>
    </w:p>
    <w:p>
      <w:pPr>
        <w:spacing w:after="0" w:line="7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Iron Overload Disorders: Beta-Thalassemia and Myelodysplastic Syndromes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 increases in iron and, ultimately, accumulation of toxic iron levels in organs such as the heart, liver, and kidneys, as well as in the bone marrow, which exacerbates anemia.</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Based on these response rates, many patients do not respond and would benefit from an alternative treatment. Lentiglobin, marketed as Zynteglo, is a gene therapy that was approved by the FDA and EMA for the treatment of a subset of patients with beta-thalassemia requiring RBC transfusions, but uptake has been limited. Patients with more advanced forms of MDS may receive additional therapies such as lenalidomide, demethylating agents such as 5-azacitidine and decitabine, and chemotherapy.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DISC-3405 (MWTX-003), an anti-TMPRSS6 monoclonal antibody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2023, we in-licensed MWTX-003 and other related molecules from Mabwell. In the Disc compound catalog, MWTX-003 is named DISC-3405. DISC-3405 is a monoclonal antibody designed to inhibit TMPRSS6, a serine protease that degrades HJV, a receptor required for hepcidin expression. TMPRSS6 plays a critical and specific function in iron metabolism by limiting the production of hepcidin. By inhibiting TMPRSS6, DISC-3405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We are initially focused on developing our anti-TMPRSS6 programs as a potential treatment for PV with plans to expand development to encompass diseases of iron overload and other conditions where restriction of iron would have therapeutic benefit.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Preclinical studies of MWTX-003 have demonstrated that TMPRSS6 inhibition with a monoclonal antibody can induce hepcidin expression and consequently restrict iron availability. Specifically, preclinical studies have demonstrated:</w:t>
      </w:r>
    </w:p>
    <w:p>
      <w:pPr>
        <w:spacing w:after="0" w:line="5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induction of endogenous hepcidin production in rodent and NHP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hepcidin, reductions in serum and liver iron, and increases in red blood cells in a murine model of beta-thalassemia;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iron and hematocrit in a murine model of PV.</w:t>
      </w:r>
    </w:p>
    <w:p>
      <w:pPr>
        <w:spacing w:after="0" w:line="18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88265</wp:posOffset>
            </wp:positionV>
            <wp:extent cx="3429000" cy="2117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 Additionally, a study was conducted assessing the efficacy of MWTX-003 in PV using a Jak2</w:t>
      </w:r>
      <w:r>
        <w:rPr>
          <w:rFonts w:ascii="Times New Roman" w:cs="Times New Roman" w:eastAsia="Times New Roman" w:hAnsi="Times New Roman"/>
          <w:sz w:val="24"/>
          <w:szCs w:val="24"/>
          <w:color w:val="auto"/>
          <w:vertAlign w:val="superscript"/>
        </w:rPr>
        <w:t>V617F</w:t>
      </w:r>
      <w:r>
        <w:rPr>
          <w:rFonts w:ascii="Times New Roman" w:cs="Times New Roman" w:eastAsia="Times New Roman" w:hAnsi="Times New Roman"/>
          <w:sz w:val="18"/>
          <w:szCs w:val="18"/>
          <w:color w:val="auto"/>
        </w:rPr>
        <w:t xml:space="preserve"> bone marrow transplantation mouse model. In these mice, treatment with MWTX-003 at 2-10 mg/kg every 4 days for 3 weeks led to significantly increased serum hepcidin with reduced hematocrit levels, red blood cell counts, and hemoglobin concentration that were comparable to that of wildtype control mice.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believe our preclinical studies have demonstrated that DISC-3405 has the potential to increase hepcidin levels sufficiently to reduce iron availability in a variety of animal models. DISC-3405 received clearance of an IND from the FDA in November 2022. We initiated a Phase 1 clinical trial of DISC-3405 in healthy volunteers in October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DISC-3405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7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Manufacturing biologics is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 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planned Phase 2 trials for bitopertin and DISC-0974.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8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 commercial-scale production process has been designed for bitopertin, including a four-step chemical synthesis and an optimized oral formulation. The API has been shown to be highly stable for at least 5 years, and we have access to substantial drug substance supplies of bitopertin manufactured and stored by Roche under cGMP conditions. To support our Phase 2 clinical trials, we have requalified, including establishing a shelf-life that would enable its use in clinical trials, Roche-manufactured drug substance and formulating it as film-coated tablets. To support pivotal clinical trials and commercial launch, if approved, we are establishing the manufacturing process at a CDMO.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face competition more specifically from companies that discover, develop, and market therapies for the treatment of hematologic diseases, including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Agios Pharmaceuticals, Inc., Akebia Therapeutics, Inc., Amgen, Inc., Astellas Pharma, Inc., Bristol-Myers Squibb Company, FibroGen,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Inc., GlaxoSmithKline, plc, Incyte Corporation, Ionis Pharmaceuticals, Inc., Keros Therapeutics, Inc., Merck &amp; Co., Inc., Otsuka Pharmaceutical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Vifor Pharma AG, among others.</w:t>
      </w:r>
    </w:p>
    <w:p>
      <w:pPr>
        <w:spacing w:after="0" w:line="9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and dersimelagon, an oral therapy in Phase 3 development by Mitsubishi Tanabe Pharma Corporation.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Bitopertin is a selective inhibitor of GlyT1 that we are developing to treat porphyrias and hematologic diseases. GlyT1 inhibition has been pursued in the past as an approach to treat schizophrenia. We are aware that Boehringer Ingelheim is conducting a Phase 3 clinical study of BI 425809 (iclepertin), a GlyT1 inhibitor, for the improvement of cognition in patients with schizophrenia.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 such a program would be a potential competitor to bitopertin. Additionally, BridgeBio Pharma, Inc. is developing an ABCG2 inhibitor for EPP.</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developing DISC-0974, our lead program in our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myelofibrosis Phase 3 trial by Bristol-Myers Squibb, and KER-050, which is in a Phase 2 trial by Keros, Inc. In addition, multiple ALK2 inhibitors, which work by a hepcidin-lowering mechanism similar to, but less specific than that of DISC-0974, are in Phase 1/2 development, including INCB00928 (zilurgisertib) by Incyte Corporation. Sierra Oncology, Inc. (recently acquired by GlaxoSmithKline) is developing a JAK2 kinase inhibitor, momelotinib, which was approved by the FDA to treat myelofibrosis with anemia.</w:t>
      </w:r>
    </w:p>
    <w:p>
      <w:pPr>
        <w:spacing w:after="0" w:line="84"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For the treatment of non-dialysis dependent CKD and anemia, there are several therapies approved or in clinical development, including, but not limited to, ESAs, oral hypoxia inducible factor-prolyl hydroxylase inhibitors, or HIF-PHIs, which are approved in ex-U.S. territories but not in the U.S., and various forms of intravenous iron. We are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our ability to compete.</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developing DISC-3405, an anti-TMPRSS6 monoclonal antibody designed to induce hepcidin production and restrict serum iron levels. There are several therapies in development that are also designed to increase hepcidin production or mimic hepcidin activity, such as hepcidin mimetics, TMPRSS6 inhibitors, and ferroportin inhibitors. These are in various stages of development by companies, including Regeneron, Silence Therapeutics plc, Ionis Pharmaceuticals, Inc., Rallybio, Protagonist Therapeutics, Inc., and CSL Vifor, among others. We may also face competition from therapies that are currently marketed or in development that affect pathways unrelated to hepcidin, including growth and differentiation factor-based therapies, cytoreductive therapies, and chemotherapeutic agents, among others.</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Exclusive License Agreement with AbbVie Deutschland GmbH &amp; Co. KG</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200"/>
        <w:spacing w:after="0" w:line="258" w:lineRule="auto"/>
        <w:rPr>
          <w:sz w:val="20"/>
          <w:szCs w:val="20"/>
          <w:color w:val="auto"/>
        </w:rPr>
      </w:pPr>
      <w:r>
        <w:rPr>
          <w:rFonts w:ascii="Times New Roman" w:cs="Times New Roman" w:eastAsia="Times New Roman" w:hAnsi="Times New Roman"/>
          <w:sz w:val="18"/>
          <w:szCs w:val="18"/>
          <w:color w:val="auto"/>
        </w:rPr>
        <w:t>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terms of the AbbVie Agreement, we made an initial license payment to AbbVie of $0.6 million. Additionally, we are required to pay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development milestone payments for each licensed product, which milestone payments are up to $18.0 million in the aggregate, certain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payments for each licensed product, which milestone payments are up to $45.0 million in the aggregate, and certain milestone payments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net sales of all licensed products worldwide, which milestone payments are up to $87.5 million in aggregate. The first potential milestone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 million payment payable upon the initiation of the first Phase 2 clinical trial with a licensed product. We are also obligated to pay a royalty on net sales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licensed products at a low-single digit rate. The royalty rates are subject to up to a high first decile percentage reduction for lack of a valid claim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country-by-country basis. See “Business-Intellectual Property-Iron Homeostasis Portfolio” for additional information concerning the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AbbVie Agreement.</w:t>
      </w:r>
    </w:p>
    <w:p>
      <w:pPr>
        <w:spacing w:after="0" w:line="9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pacing w:after="0" w:line="7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5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Exclusive License Agreement with F. Hoffmann-La Roche Ltd and Hoffmann-La Roche Inc.</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8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Roche Agreement, we paid Roche an initial license payment of $4.5 million and we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 is a $10.0 million payment upon the initiation of the first Phase 3 clinical trial with a licensed product in a first indication. We will also pay Roche up to an aggregate of $120.0 million based on achievement of certain thresholds for annual net sales of licensed products. We are also obligated to pay a royalty on net sales of licensed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0"/>
        <w:spacing w:after="0" w:line="261" w:lineRule="auto"/>
        <w:rPr>
          <w:sz w:val="20"/>
          <w:szCs w:val="20"/>
          <w:color w:val="auto"/>
        </w:rPr>
      </w:pPr>
      <w:r>
        <w:rPr>
          <w:rFonts w:ascii="Times New Roman" w:cs="Times New Roman" w:eastAsia="Times New Roman" w:hAnsi="Times New Roman"/>
          <w:sz w:val="18"/>
          <w:szCs w:val="18"/>
          <w:color w:val="auto"/>
        </w:rPr>
        <w:t>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Exclusive License Agreement with Mabwell Therapeutics, Inc.</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Mabwell Agreement requires us to pay Mabwell an upfront payment of $10.0 million dollars, and certain development and regulatory milestone payments for the licensed antibody products, for up to three indications, up to a maximum aggregate amount of $127.5 million dollars, as well as certain commercial milestone payments for certain licensed antibody product net sales achievements, up to a maximum aggregate amount of $275 million dollars. In October 2023, the first patient was dosed in the Phase 1 clinical trial of polycythemia vera for DISC-3405, resulting in a milestone payment of $5.0 million due to Mabwell. We are further obligated to pay a tiered percentage of revenue that we receive from our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60"/>
        <w:spacing w:after="0" w:line="282" w:lineRule="auto"/>
        <w:rPr>
          <w:sz w:val="20"/>
          <w:szCs w:val="20"/>
          <w:color w:val="auto"/>
        </w:rPr>
      </w:pPr>
      <w:r>
        <w:rPr>
          <w:rFonts w:ascii="Times New Roman" w:cs="Times New Roman" w:eastAsia="Times New Roman" w:hAnsi="Times New Roman"/>
          <w:sz w:val="18"/>
          <w:szCs w:val="18"/>
          <w:color w:val="auto"/>
        </w:rPr>
        <w:t>containing the licensed antibodies. In such circumstances, we and Mabwell will negotiate a royalty to be paid by Mabwell on the net sales of such products in the licensed territory.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7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pharmaceutical compositions, methods of treatment, methods of manufacture or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7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patent portfolio includes patents and patent applications in the United States and selected jurisdictions outside of the United States. As of February 29, 2024, our patent portfolio in total consisted of 15 issued U.S. patents and 211 issued patents in foreign jurisdictions (e.g., Australia, China, United Kingdom, Germany, Mexico, Japan, and others), five PCT applications, 107 pending non-provisional applications (U.S., EP and other jurisdictions), and eight pending U.S. provisional applications, which include claims directed to compositions and methods of 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 includes patents and applications with claims related to the following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Heme Biosynthesis Modulation Portfolio - GlyT1 Inhibition - Bitopertin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With regard to our heme biosynthesis modulation program, we own eleven pending patent families directed to GlyT1 inhibitors (e.g., bitopertin) and various methods of treatment and use claims related, but not limited to EPP, XLP, CEP, DBA, PV, and hepatic porphyrias. Patents and pending applications directed to GlyT1 inhibitors (e.g., bitopertin) and methods of making and using them are expected to expire between 2041 and 2044,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The first family has entered the national phase in the U.S. Australia,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18"/>
          <w:szCs w:val="18"/>
          <w:color w:val="auto"/>
        </w:rPr>
        <w:t>Canada, China, Europe, Hong Kong, Japan, and Korea. One U.S patent has granted from the first patent family and is directed to methods of treating EPP or XLP with bitopertin. This patent is expected to expire in 2041, without accounting for any potential terminal disclaimers, available patent term adjustments or extensions. The second family has entered the national phase in the U.S., Australia, Canada, China, Europe, and Japan. Our third family is directed to methods of treating polycythemias, including PV, with bitopertin and related compounds, and this family, upon grant, will have a twenty-year statutory expiration date of 2042, without accounting for any potential terminal disclaimers, available patent term adjustments or extensions. The third patent family has entered the national phase in the U.S. Australia, Brazil, Canada, China, Europe, Israel, Japan, Korea, and Mexico. Our fourth family is directed to methods of treating anemia associated with a ribosomal disorder (e.g., DBA) with bitopertin and related compounds, and this family, upon grant, will have a twenty-year statutory expiration date of 2042, without accounting for any potential terminal disclaimers, available patent term adjustments or extensions. The fourth patent family has entered the national phase in the U.S. Australia, Brazil, Canada, China, Europe, Israel, Japan, Korea, and Mexico. Our fifth family is directed to methods of treating hepatic porphyrias with bitopertin and related compounds, and this family, upon grant, will have a twenty-year statutory expiration date of 2043, without accounting for any potential terminal disclaimers, available patent term adjustments or extensions. The fifth family is a pending PCT application. Our sixth family is directed to methods of treating EPP, XLP, and CEP with additional GlyT1 inhibitors, and this family, upon grant, will have a twenty-year statutory expiration date of 2042, without accounting for any potential terminal disclaimers, available patent term adjustments or extensions. The sixth patent family has entered the national phase in the U.S. Australia, Canada, China, Europe, Japan. Our remaining five patent families are all U.S. provisional applications directed to GlyT1 inhibitors (e.g., bitopertin) and methods of treating various disorders and conditions. These provisional patent families, upon grant, will have a twenty-year statutory expiration date of 2044. We have also in-licensed multiple patent families from F. Hoffmann-La Roche Ltd and Hoffmann-La Roche Inc. comprising eight issued U.S. patents and additional granted patents in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Malta, Mexico, Monaco, Montenegro, Morocco, Netherlands, New Zealand, Norway, Philippines, Poland, Portugal, Republic of Korea, Republic of Serbia, Romania, Russian Federation, Singapore, Slovak Republic, Slovenia, South Africa, Spain, Sweden, Switzerland, Taiwan, Thailand,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2024 and 2035, without accounting for any potential terminal disclaimers, available patent term adjustments or extensions. In particular, the first family is directed to composition of matter of bitopertin and processes of preparation, and this family has a twenty-year statutory expiration date of 2024. This family has issued patents in the U.S. and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Mexico, Monaco, Montenegro, Morocco, Netherlands, New Zealand, Norway, Philippines, Poland, Portugal, Republic of Korea, Republic of Serbia, Romania, Russian Federation, Singapore, Slovak Republic, Slovenia, South Africa, Spain, Sweden, Switzerland, Taiwan, Thailand, Turkey, Ukraine, and Vietnam.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Philippines,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8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Several of the indications that we expect to pursue with bitopertin, including EPP, XLP and DBA, are rare diseases. We have received orphan drug designation from the FDA for bitopertin for the treatment of EPP and the European Committee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480"/>
        <w:spacing w:after="0" w:line="261" w:lineRule="auto"/>
        <w:rPr>
          <w:sz w:val="20"/>
          <w:szCs w:val="20"/>
          <w:color w:val="auto"/>
        </w:rPr>
      </w:pPr>
      <w:r>
        <w:rPr>
          <w:rFonts w:ascii="Times New Roman" w:cs="Times New Roman" w:eastAsia="Times New Roman" w:hAnsi="Times New Roman"/>
          <w:sz w:val="18"/>
          <w:szCs w:val="18"/>
          <w:color w:val="auto"/>
        </w:rPr>
        <w:t>Orphan Medical Products adopted a positive opinion on Orphan Designation for bitopertin for treatment of EPP. We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Homeostasis Portfolio – Hepcidin Suppression – DISC-0974 and DISC-0998</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With regard to our iron homeostasis portfolio, including our DISC-0974 and DISC-0998 programs, we own seven patent families, including one PCT patent application that has entered the national phase in Australia, Canada, China, Europe, Hong Kong, Israel, Japan, Korea, and United States, one PCT patent application that has entered the national phase in Europe, and United States, one PCT patent application that has entered the national phase in Australia, Canada, China, Europe, Hong Kong, Israel, Japan, Korea, and United States, one PCT patent application that has entered the national phase in Australia, Brazil, Canada, China, Europe, Hong Kong, Israel, India, Japan, Korea, Mexico, New Zealand, Singapore, and United States, two pending PCT patent applications, and one pending U.S. provisional application containing composition of matter, method of treatment and use claims related to our initial indications, anemia of myelofibrosis and chronic kidney disease as well as other indications, e.g., anemia of inflammatory bowel disease and other anemias of chronic disease involving iron restriction from elevated hepcidin. Patents issuing from these PCT applications are expected to expire between, 2040 and 2044 without accounting for any potential terminal disclaimers, available patent term adjustments or extensions. Further, several of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8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also in-license a patent family from AbbVie comprised of two issued U.S. patents that are expected to expire in 2032 and 2035, and issued patents in Australia, Canada, Brazil,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eight pending non-provisional applications in the United States, Australia, Brazil, Canada, China, Europe, Japan, and Mexico. Any patents that issue on these pending non-provisional applications are likewise expected to expire in 2032, without accounting for any potential terminal disclaimers, available patent term adjustments or extensions.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Homeostasis Portfolio – Hepcidin Induction – MWTX-001, MWTX-002, and DISC-3405 (formerly MWTX-003)</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 regard to our TMPRSS6 inhibitor program, we in-license a patent family from Mabwell comprised of eight pending non-provisional applications in Australia, Canada, Europe, India, Japan, Korea, and United States, one pending PCT application, and one pending U.S. provisional application. These in-licensed patent applications include composition of matter claims to antibodies designed to inhibit TMPRSS6, including MWTX-001, MWTX-002, and DISC-3405, as well as method of treatment and use claims related to diseases of iron metabolism (e.g., PV). One U.S patent has granted from the in-licensed patent family and is directed to the DISC-3405 TMPRSS antibody. This patent is expected to expire in 2041, without accounting for any potential terminal disclaimers, available patent term adjustments or extensions. We also own one provisional patent application directed to methods of treatment claims related to diseases of iron metabolism. This application, upon grant, will have a twenty-year statutory expiration date of 2044, without accounting for any potential terminal disclaimers, available patent term adjustments or extensions.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own a patent family comprising seven pending non-provisional applications in U.S., Europe, Japan, Australia, Canada, China, and India and a second patent family comprising one pending PCT international application and one non-provisional application in the U.S. directed to compounds that inhibit TMPRSS6 and methods of using the same. Any patents that issue on the non-provisional applications in the first family are expected to expire in 2039, without accounting for any potential terminal disclaimers, available patent term adjustments or extensions. Any patent that issue on applications claiming priority to the PCT application or patents that issue from the non-provisional application in the second family are expected to expire in 2041, without accounting for any potential terminal disclaimers, available patent term adjustments or extensions.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40"/>
        <w:spacing w:after="0" w:line="255" w:lineRule="auto"/>
        <w:rPr>
          <w:sz w:val="20"/>
          <w:szCs w:val="20"/>
          <w:color w:val="auto"/>
        </w:rPr>
      </w:pPr>
      <w:r>
        <w:rPr>
          <w:rFonts w:ascii="Times New Roman" w:cs="Times New Roman" w:eastAsia="Times New Roman" w:hAnsi="Times New Roman"/>
          <w:sz w:val="18"/>
          <w:szCs w:val="18"/>
          <w:color w:val="auto"/>
        </w:rPr>
        <w:t>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8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DISC-0974, DISC-0998 and DISC-3405,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8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an NDA. For biologic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680"/>
        <w:spacing w:after="0" w:line="282" w:lineRule="auto"/>
        <w:rPr>
          <w:sz w:val="20"/>
          <w:szCs w:val="20"/>
          <w:color w:val="auto"/>
        </w:rPr>
      </w:pPr>
      <w:r>
        <w:rPr>
          <w:rFonts w:ascii="Times New Roman" w:cs="Times New Roman" w:eastAsia="Times New Roman" w:hAnsi="Times New Roman"/>
          <w:sz w:val="18"/>
          <w:szCs w:val="18"/>
          <w:color w:val="auto"/>
        </w:rPr>
        <w:t>regulated under the FD&amp;C Act and PHSA, FDA must approve a Biologics License Application, or BLA. The process is similar for both drugs and biologics and generally involves the following:</w:t>
      </w:r>
    </w:p>
    <w:p>
      <w:pPr>
        <w:spacing w:after="0" w:line="54" w:lineRule="exact"/>
        <w:rPr>
          <w:sz w:val="20"/>
          <w:szCs w:val="20"/>
          <w:color w:val="auto"/>
        </w:rPr>
      </w:pPr>
    </w:p>
    <w:p>
      <w:pPr>
        <w:ind w:left="1020" w:right="2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and when certain changes are made;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the application for review;</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 of the clinical trial sites that generated the data in support of the NDA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waiver is applicable;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where applicable, consideration of the views of any FDA advisory committee, prior to any commercial marketing or sale of the drug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 and Biologics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8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320"/>
        <w:spacing w:after="0" w:line="258" w:lineRule="auto"/>
        <w:rPr>
          <w:sz w:val="20"/>
          <w:szCs w:val="20"/>
          <w:color w:val="auto"/>
        </w:rPr>
      </w:pPr>
      <w:r>
        <w:rPr>
          <w:rFonts w:ascii="Times New Roman" w:cs="Times New Roman" w:eastAsia="Times New Roman" w:hAnsi="Times New Roman"/>
          <w:sz w:val="18"/>
          <w:szCs w:val="18"/>
          <w:color w:val="auto"/>
        </w:rPr>
        <w:t>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and BLAs for marketing approval are typically conducted in three sequential phases, which may overlap.</w:t>
      </w:r>
    </w:p>
    <w:p>
      <w:pPr>
        <w:spacing w:after="0" w:line="52" w:lineRule="exact"/>
        <w:rPr>
          <w:sz w:val="20"/>
          <w:szCs w:val="20"/>
          <w:color w:val="auto"/>
        </w:rPr>
      </w:pPr>
    </w:p>
    <w:p>
      <w:pPr>
        <w:ind w:left="1020" w:right="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 volunteers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1"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spacing w:after="0" w:line="7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 and Biologics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It is unclear as to how, if at all, the FDA may change the orphan drug regulations and policies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 and Biologics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320"/>
        <w:spacing w:after="0" w:line="282" w:lineRule="auto"/>
        <w:rPr>
          <w:sz w:val="20"/>
          <w:szCs w:val="20"/>
          <w:color w:val="auto"/>
        </w:rPr>
      </w:pPr>
      <w:r>
        <w:rPr>
          <w:rFonts w:ascii="Times New Roman" w:cs="Times New Roman" w:eastAsia="Times New Roman" w:hAnsi="Times New Roman"/>
          <w:sz w:val="18"/>
          <w:szCs w:val="18"/>
          <w:color w:val="auto"/>
        </w:rPr>
        <w:t>these programs is to either expedite the development or review of important new drugs and biologics to get them to patients more quickly than standard FDA review timelines typically permit.</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as appropriate,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8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340"/>
        <w:spacing w:after="0" w:line="266" w:lineRule="auto"/>
        <w:rPr>
          <w:sz w:val="20"/>
          <w:szCs w:val="20"/>
          <w:color w:val="auto"/>
        </w:rPr>
      </w:pPr>
      <w:r>
        <w:rPr>
          <w:rFonts w:ascii="Times New Roman" w:cs="Times New Roman" w:eastAsia="Times New Roman" w:hAnsi="Times New Roman"/>
          <w:sz w:val="18"/>
          <w:szCs w:val="18"/>
          <w:color w:val="auto"/>
        </w:rPr>
        <w:t>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product can also obtain pediatric market exclusivity in the United States. Pediatric exclusivity, if granted, adds six months to existing exclusivity periods for biologics and drugs and patent terms for drugs. This six-month exclusivity, which runs from the end of other exclusivity protection for biologics and drugs or patent term for drugs, may be granted based on the voluntary completion of a pediatric study in accordance with an FDA-issued “Written Request” for such a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 and Biologics</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Biosimilars and Exclusivity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8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Affordable Care Act and Legislative Reform Measures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On June 17, 2021, for example, the U.S. Supreme Court dismissed the most recent judicial challenge to the ACA brought by several states without specifically ruling on the constitutionality of the ACA.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ind w:right="260"/>
        <w:spacing w:after="0" w:line="282" w:lineRule="auto"/>
        <w:rPr>
          <w:sz w:val="20"/>
          <w:szCs w:val="20"/>
          <w:color w:val="auto"/>
        </w:rPr>
      </w:pPr>
      <w:r>
        <w:rPr>
          <w:rFonts w:ascii="Times New Roman" w:cs="Times New Roman" w:eastAsia="Times New Roman" w:hAnsi="Times New Roman"/>
          <w:sz w:val="18"/>
          <w:szCs w:val="18"/>
          <w:color w:val="auto"/>
        </w:rPr>
        <w:t>continue to seek new legislative measures to control drug costs. It is unclear how other healthcare reform measures of the Biden administrations or other efforts, if any, to challenge repeal or replace the ACA, will impact our business.</w:t>
      </w:r>
    </w:p>
    <w:p>
      <w:pPr>
        <w:spacing w:after="0" w:line="5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7"/>
          <w:szCs w:val="17"/>
          <w:color w:val="auto"/>
        </w:rPr>
        <w:t>Other legislative changes have been proposed and adopted in the United States since the Affordable Care Act was enacted. For example, the U.S. American Rescue Plan Act of 2021 eliminated the statutory Medicaid drug rebate cap, currently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 Further, the U.S. Budget Control Act of 2011, included aggregate reductions of Medicare payments to providers of 2% per fiscal year that will remain in effect through 2031.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6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the Right to Try Act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will impact our business to varying degrees,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 of IRA on our business and the healthcare industry in general is not yet known.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As of February 29, 2024, we had 74 full-time employees, including 31 who hold Ph.D. or M.D. degrees, and no part-time employees. Of the full-time employees, 54 employees are engaged in research and development and 20 employees are engaged in management or general and administrative activities. None of our employees are subject to a collective bargaining agreement or represented by a trade or labor union. We consider our relationship with our employees to be good.</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321 Arsenal Street, Suite 101, Watertown, MA 02472, where we lease and sublease a total of approximately 16,847 square feet of office space. The lease and sublease terms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other claims and legal proceedings relating to claims arising out of our operations. We are not currently a party to any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9" w:name="page50"/>
    <w:bookmarkEnd w:id="4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net losses were $76.4 million and $46.8 million for the twelve months ended December 31, 2023 and 2022, respectively. We had an accumulated deficit of $188.6 million as of December 31, 2023.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we have cash and cash equivalents that will enable us to fund operating expenses and capital expenditure requirements well into 2026.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68"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regulatory approval or be unable to expand our operations or otherwise capitalize on our business opportunities as desired, which could materially affect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5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three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initiated a Phase 1 clinical trial of DISC-3405 in healthy volunteers in October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right="120"/>
        <w:spacing w:after="0" w:line="256" w:lineRule="auto"/>
        <w:rPr>
          <w:sz w:val="20"/>
          <w:szCs w:val="20"/>
          <w:color w:val="auto"/>
        </w:rPr>
      </w:pPr>
      <w:r>
        <w:rPr>
          <w:rFonts w:ascii="Times New Roman" w:cs="Times New Roman" w:eastAsia="Times New Roman" w:hAnsi="Times New Roman"/>
          <w:sz w:val="18"/>
          <w:szCs w:val="18"/>
          <w:color w:val="auto"/>
        </w:rPr>
        <w:t>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8"/>
          <w:szCs w:val="18"/>
          <w:color w:val="auto"/>
        </w:rPr>
        <w:t>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and initial data from our Phase 2 BEACON clinical trial of bitopertin in June 2023. We also announced updated data from our Phase 2 BEACON clinical trial of bitopertin and initial data from our Phase 1b/2 DISC-0974 trials in patients with anemia of MF and patients with anemia and NDD-CKD in December 2023.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interim, top-line, initial or preliminary data and final data could significantly harm our business prospects and may cause the price of our common stock to fluctuate or decline.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we initiated a Phase 1 clinical trial of DISC-3405 in healthy adult volunteers in October 2023,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initiated a separate Phase 1b/2 clinical trial in the February 2023 in patients with non-dialysis dependent CKD and anemia, and initiated a Phase 1 clinical trial of DISC-3405 in healthy adult volunteers in October 2023.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19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It is unclear what effect, if any, the American Rescue Plan will have on the number of covered individuals.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Phase 2 clinical trials of bitopertin, Phase 1b/2 clinical trials of DISC-0974 and Phase 1 clinical trial of DISC-3405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Phase 1 trial of DISC-3405,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18"/>
          <w:szCs w:val="18"/>
          <w:color w:val="auto"/>
        </w:rPr>
        <w:t>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our ongoing Phase 1b/2 clinical trials of DISC-0974, ongoing Phase 2 clinical trials of bitopertin, and ongoing Phase 1 clinical trial of DISC-3405,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left="760"/>
        <w:spacing w:after="0" w:line="282" w:lineRule="auto"/>
        <w:rPr>
          <w:sz w:val="20"/>
          <w:szCs w:val="20"/>
          <w:color w:val="auto"/>
        </w:rPr>
      </w:pPr>
      <w:r>
        <w:rPr>
          <w:rFonts w:ascii="Times New Roman" w:cs="Times New Roman" w:eastAsia="Times New Roman" w:hAnsi="Times New Roman"/>
          <w:sz w:val="18"/>
          <w:szCs w:val="18"/>
          <w:color w:val="auto"/>
        </w:rPr>
        <w:t>and/or clinical trial results, changes in their strategic focus, availability of funding or other factors, such as a business combination that diverts resources or creates competing priorities;</w:t>
      </w:r>
    </w:p>
    <w:p>
      <w:pPr>
        <w:spacing w:after="0" w:line="54" w:lineRule="exact"/>
        <w:rPr>
          <w:sz w:val="20"/>
          <w:szCs w:val="20"/>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Phase 1 trial of DISC-3405,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Phase 1 trial of DISC-3405.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being imposed on it, including clinical holds, fines, injunctions, civil penalties, delays, suspension or withdrawal of approvals, license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revocation, seizures or recalls of product candidates or products, if approved, operating restrictions and criminal prosecutions, any of which could significantly and adversely affect our business and supplies of our product candidates.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Efforts to discourage such contracting have included U.S. legislative proposals and a recent call from certain U.S. legislators to add WuXi AppTec Co., Ltd., WuXi’s parent company, and the affiliated WuXi Biologics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either or both previously mentioned WuXi entities on any or all of the aforementioned lists or other geopolitical tensions with China could lead to material supply chain disruptions or delays for our biologic drug candidates manufactured by WuXi Biologics. We may incur added costs and delays in identifying and qualifying any replacement CDMOs.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Any negative impact of such matters on our third-party suppliers and manufacturers may also have an adverse impact on our results of operations or financial condition.</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0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t>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18"/>
          <w:szCs w:val="18"/>
          <w:color w:val="auto"/>
        </w:rPr>
        <w:t>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t>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20"/>
        <w:spacing w:after="0" w:line="266" w:lineRule="auto"/>
        <w:rPr>
          <w:sz w:val="20"/>
          <w:szCs w:val="20"/>
          <w:color w:val="auto"/>
        </w:rPr>
      </w:pPr>
      <w:r>
        <w:rPr>
          <w:rFonts w:ascii="Times New Roman" w:cs="Times New Roman" w:eastAsia="Times New Roman" w:hAnsi="Times New Roman"/>
          <w:sz w:val="18"/>
          <w:szCs w:val="18"/>
          <w:color w:val="auto"/>
        </w:rPr>
        <w:t>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0"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 without specifically ruling on the constitutionality of the ACA.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It is unclear how other healthcare reform measures of the Biden administrations or other efforts, if any, to challenge repeal or replace the ACA, will impact our business.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ind w:left="900" w:right="2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2031.</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Try Act (2018) provides a federal framework for certain patients to access certain investigational new drug products that have completed a Phase 1 clinical trial and that are undergoing investigation for FDA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jc w:val="both"/>
        <w:ind w:left="900" w:right="360"/>
        <w:spacing w:after="0" w:line="266" w:lineRule="auto"/>
        <w:rPr>
          <w:sz w:val="20"/>
          <w:szCs w:val="20"/>
          <w:color w:val="auto"/>
        </w:rPr>
      </w:pPr>
      <w:r>
        <w:rPr>
          <w:rFonts w:ascii="Times New Roman" w:cs="Times New Roman" w:eastAsia="Times New Roman" w:hAnsi="Times New Roman"/>
          <w:sz w:val="18"/>
          <w:szCs w:val="18"/>
          <w:color w:val="auto"/>
        </w:rPr>
        <w:t>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8"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published a final rule that allows Medicare Advantage Plans the option of using step therapy for Part B drugs, effective January 1, 2020.</w:t>
      </w:r>
    </w:p>
    <w:p>
      <w:pPr>
        <w:spacing w:after="0" w:line="117"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which eliminates the statutory Medicaid drug rebate cap, currently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which is currently subject to ongoing litigation challenging the constitutionality of the IRA’s Medicare drug price negotiation program. The effects of the IRA on our business and the healthcare industry in general is not yet known.</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recently increased their scrutiny of interactions between healthcare companies and healthcare providers, which has led to a number of investigations, prosecutions, convictions and settlements in the healthcare industry.</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which took effect on January 1, 2020, and became enforceable by the California Attorney General on July 1, 2020. This law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California Privacy Rights Act, or CPRA, which became effective on January 1, 2023, significantly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modified the CCPA by expanding consumer rights with respect to certain sensitive information, and creating a new state agency that is vested with authority to implement and enforce the CCPA.</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use and integrate artificial intelligence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European Union’s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incidents or breaches,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employees, contractors or other third-parties and industrial espionage, wire fraud and other forms of cyber fraud, the deployment of harmful malware, denial-of-service, social engineering fraud or other means to threaten or compromise the security,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ind w:right="20"/>
        <w:spacing w:after="0" w:line="253" w:lineRule="auto"/>
        <w:rPr>
          <w:sz w:val="20"/>
          <w:szCs w:val="20"/>
          <w:color w:val="auto"/>
        </w:rPr>
      </w:pPr>
      <w:r>
        <w:rPr>
          <w:rFonts w:ascii="Times New Roman" w:cs="Times New Roman" w:eastAsia="Times New Roman" w:hAnsi="Times New Roman"/>
          <w:sz w:val="18"/>
          <w:szCs w:val="18"/>
          <w:color w:val="auto"/>
        </w:rPr>
        <w:t>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security breaches, compromises or incidents or improper access to, use of, or disclosure of protected information, including our clinical data or patients’ personal data could result in significant liability through litigation and regulatory investigations and enforcement actions, including under state (e.g., state breach notification and consumer protection laws), federal (e.g., HIPAA, as amended by HITECH), and international law (e.g., the GDPR), and may cause a material adverse impact to our reputation, affect our ability to conduct new studies and potentially disrupt our business.</w:t>
      </w:r>
    </w:p>
    <w:p>
      <w:pPr>
        <w:spacing w:after="0" w:line="19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incidents or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security breaches, compromises or incidents or improper access to or disclosure of such information could have similarly adverse consequences for us. If we are unable to prevent or adequately mitigate the impact of such security or data privacy incidents, compromises or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February 29, 2024, we had 74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8"/>
          <w:szCs w:val="18"/>
          <w:color w:val="auto"/>
        </w:rPr>
        <w:t>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$88.1 million and $91.7 million, respectively. Substantially all of the federal NOLs are not subject to expiration and the state NOLs begin to expire in 2037. As of December 31, 2023, we also had federal and state research and development tax credit carryforwards of $5.8 million and $1.8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8"/>
          <w:szCs w:val="18"/>
          <w:color w:val="auto"/>
        </w:rPr>
        <w:t>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on Form 10-K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December 31, 2023, we had 24,360,233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53%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and cash equivalents and may invest or spend our cash and cash equivalents in ways with which you do not agree and in ways that may not increase the value of your investment.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Disc Medicine, under the oversight of the audit committee of the board of directors, has implemented and maintains processes to review and manage enterprise risks, including annual assessments of cybersecurity risks, across the Company.</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which is informed by and incorporates elements of recognized industry standards, is designed to identify, assess, and mitigate critical risks from cybersecurity threats. This program includes, but is not limited to, ongoing monitoring for potential critical risks from cybersecurity threats using automated tools. To support our cybersecurity risk management program, we leverage a managed service provider (MSP) that provides ongoing support for the protection of our information technology infrastructure as well as a virtual Chief Information Security Officer, or vCISO. Our cybersecurity risk management strategy is informed by periodic conversations with, and risk assessments conducted by, our vCISO.</w:t>
      </w:r>
    </w:p>
    <w:p>
      <w:pPr>
        <w:spacing w:after="0" w:line="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an employee security awareness training program, offered upon employee onboarding and on an annual basis, that is designed to raise awareness of cybersecurity threats across functions as well as to encourage consideration of cybersecurity risks across our Company. As part of this employee training program, we periodically conduct phishing simulations designed to raise employee awareness of such risks.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also implemented a process to review contractual requirements related to information security obligations included in our agreements with certain third-party vendors and service providers, as appropriate.</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Item 1A -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Head of Information Technology (IT), under the oversight of our General Counsel, is responsible for the administration and maintenance of our cybersecurity risk management program, including the day-to-day oversight of the assessment and management of cybersecurity risks. The individual who currently holds the title of Head of IT has more than 20 years of experience in information security and cybersecurity risk management.</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Head of IT directly reports to, and meets periodically with, our General Counsel to discuss and review our cybersecurity risk management processes, with input from the Company’s MSP and vCISO, as appropriate.</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oversight of the Company’s cybersecurity program to the audit committee of the board of directors. As provided in the audit committee charter, the audit committee is responsible for reviewing and discussing the Company’s information security and risk management programs, controls, and procedures, including high-level review of the threat landscape facing the Company and the Company’s strategy to mitigate cybersecurity risks and potential breaches. Under the audit committee charter, the audit committee is also responsible for reviewing the recovery and communication plans for any unplanned outage or security breach.</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Head of IT, twice a year, provides reports to the audit committee on the status of our cybersecurity program, including measures implemented to monitor and address risks from cybersecurity threats, as appropriate. He also reports on a quarterly basis to the executive committee on cybersecurity and information technology matters. The chair of the audit committee provides periodic reports on cybersecurity risk management to the full board of directors. Our General Counsel, on an annual basis, discusses the results of our enterprise risk assessment processes, including risks related to cybersecurity, with the full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321 Arsenal Street, Suite 101, Watertown, MA 02472, where we lease and sublease a total of approximately 16,847 square feet of office space. The lease and sublease terms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32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29, 2024, there were 19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Except as previously disclosed in our Form 8-K filed with the SEC on December 29, 2022, we did not sell any other securities that have not been registered under the Securities Act during the period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expect topline data from AURORA in March or April 2024. Additional analysis of the full population in the BEACON trial is anticipated to be presented in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anticipate additional interim data presentations in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8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is anticipated to be presented in the first and second halves of 2024. We expect to develop DISC-3405 for the treatment of PV and other hematologic disorders.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Merger with Gemini</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99" w:lineRule="exact"/>
        <w:rPr>
          <w:sz w:val="20"/>
          <w:szCs w:val="20"/>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4" w:name="page105"/>
    <w:bookmarkEnd w:id="104"/>
    <w:p>
      <w:pPr>
        <w:ind w:right="20"/>
        <w:spacing w:after="0" w:line="282" w:lineRule="auto"/>
        <w:rPr>
          <w:sz w:val="20"/>
          <w:szCs w:val="20"/>
          <w:color w:val="auto"/>
        </w:rPr>
      </w:pPr>
      <w:r>
        <w:rPr>
          <w:rFonts w:ascii="Times New Roman" w:cs="Times New Roman" w:eastAsia="Times New Roman" w:hAnsi="Times New Roman"/>
          <w:sz w:val="18"/>
          <w:szCs w:val="18"/>
          <w:color w:val="auto"/>
        </w:rPr>
        <w:t>product candidates we may develop. The successful development of any product candidate is highly uncertain. This is due to the numerous risks and uncertainties associated with product development, including the following:</w:t>
      </w:r>
    </w:p>
    <w:p>
      <w:pPr>
        <w:spacing w:after="0" w:line="54"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in the future as we increase our headcount to support our continued research and development and potential commercialization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notes and certificates of deposit.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Value Right Liability</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December 2022, we entered into the CVR Agreement, described in more detail in Notes 1 and 4 to our consolidated financial statements, which provided a CVR to Gemini’s pre-merger common stockholders to receive common stock from the Company upon its receipt of certain proceeds, calculated in accordance with the CVR Agreement, resulting from a disposition of Gemini’s pre-merger assets within one year after the closing of the merger. The disposition period ended December 29, 2023 and no dispositions of Gemini's pre-merger assets were made during the disposition period. Therefore, there were no CVR payments made to the holders and there will not be any future CVR payments to the holders. The CVR liability was measured at fair value as of each reporting date and the change in the fair value for the period was recorded in the consolidated statements of operations and comprehensive loss in the change in fair value of contingent value right liability.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2021, we entered into the Roche Agreement, described in more detail in Notes 4 and 8 to our consolidated financial statements, which included an obligation to issue a variable number of shares of our common stock to Roche for no additional consideration upon the completion of a Roche Qualified Transaction as defined by the Roche Agreement. The liability was measured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18"/>
          <w:szCs w:val="18"/>
          <w:color w:val="auto"/>
        </w:rPr>
        <w:t>at fair value as of each reporting date and the change in the fair value for the period was recorded in the consolidated statements of operations and comprehensive loss in the change in fair value of derivative liability. The liability was settled upon the completion of the merger on December 29,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69,264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33,437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35,827</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21,861</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14,038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7,823</w:t>
            </w: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91,125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47,475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43,650</w:t>
            </w: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(91,125 )</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(47,475 )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(43,650 )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14,797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14,088</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14,795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14,147</w:t>
            </w: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(76,330 )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(46,827 )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(29,503 )</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(76,429 )</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(46,827 )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-1619250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-1619250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-676910</wp:posOffset>
            </wp:positionV>
            <wp:extent cx="102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-676910</wp:posOffset>
            </wp:positionV>
            <wp:extent cx="93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2023 and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DISC-3405</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20,168</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20,168</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Bitopertin</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17,271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8,488</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DISC-0974</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9,136</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10,241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7,066</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1,830</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15,623</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6,446</w:t>
            </w: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69,264</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33,437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35,827</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were $69.3 million for the year ended December 31, 2023, compared to $33.4 million for the year ended December 31, 2022. The increase of $35.8 million in research and development expenses was primarily due to a $20.2 million increase related to the DISC-3405 program which incurred $15.0 million in upfront and milestone license fees in 2023, a $8.5 million increase in bitopertin development expense related to increased clinical study and drug manufacturing activity, and a $6.4 million increase in personnel-related costs related to higher research and development headcount, including an increase of $1.2 million in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2023 and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26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10,481</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7,448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3,932</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4"/>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21,861</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14,038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7,823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-1096645</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-1096645</wp:posOffset>
            </wp:positionV>
            <wp:extent cx="93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$21.9 million for the year ended December 31, 2023, compared to $14.0 million for the year ended December 31, 2022. The increase of $7.8 million in general and administrative expenses was primarily due to an increase of $3.5 million in personnel-related costs due to higher general and administrative headcount, including an increase of $2.3 million in stock-based compensation, and an increase of $3.1 million in other expenses related to increased costs as a public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$14.8 million for the year ended December 31, 2023, compared to other income, net of $0.6 million for the year ended December 31, 2022. The change of $14.1 million in other income (expense), net was primarily due to an increase in interest income based on a larger cash and cash equivalents balance and higher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firstLine="561"/>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for the year ended December 31, 2023, compared to no expense for the year ended December 31, 2022. The increase in expense relates to state income tax resulting from an increase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at-the-market offerings, proceeds from a registered direct offering and proceeds from a follow-on public offering. Through December 31, 2023,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and $26.4 million from at-the-market offerings. As of December 31, 2023, we had cash and cash equivalents of $360.4 million.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December 31, 2023, had an accumulated deficit of $188.6 million. In addition, we expect to continue to incur significant and increasing expenses and operating losses for the foreseeable future. We believe that our current cash resources will enable us to fund our current planned operating expense and capital expenditure requirements well into 2026. We may also pursue additional cash resources through public or private equity offerings, collaborations or debt financings.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(73,462 )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(42,252 )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239,379</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148,978</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165,828</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7" w:name="page108"/>
    <w:bookmarkEnd w:id="107"/>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of $73.5 million was primarily due to our net loss of $76.4 million and changes in operating assets and liabilities of $3.0 million, offset by non-cash expenses of $5.9 million primarily related to stock-based compensation expense of $5.5 million.</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used in operating activities of $42.3 million was primarily due to our net loss of $46.8 million, offset by non-cash expenses of $2.4 million and changes in operating assets and liabilities of $2.1 million primarily related to accounts payable and accrued expenses assumed in the merger.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2023 and 2022, net cash used in investing activities was due to purchases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of $239.4 million consisted primarily of net proceeds of $147.9 million from sales of common stock and pre-funded warrants in a public follow-on offering, net proceeds of $62.4 million from sales of common stock and pre-funded warrants in a registered direct offering and aggregate net proceeds of $26.4 million from the at-the-market offerings.</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of $149.0 million consisted primarily of $97.4 million of net cash proceeds from the completion of the merger with Gemini and $53.5 million of net cash proceeds from the pre-closing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success. Our commercial revenues, if any, will be derived from sales of products that we do not expect to be commercially available for many years, if ever.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obtain substantial additional funds to achieve our business objectives.</w:t>
      </w:r>
    </w:p>
    <w:p>
      <w:pPr>
        <w:spacing w:after="0" w:line="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2023 and the effects that such obligations are expected to have on our liquidity and cash flows in future periods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1 to 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3 to 5</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spacing w:after="0"/>
              <w:rPr>
                <w:sz w:val="11"/>
                <w:szCs w:val="11"/>
                <w:color w:val="auto"/>
              </w:rPr>
            </w:pPr>
          </w:p>
        </w:tc>
        <w:tc>
          <w:tcPr>
            <w:tcW w:w="104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More Than</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1,579</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5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1,579</w:t>
            </w:r>
          </w:p>
        </w:tc>
        <w:tc>
          <w:tcPr>
            <w:tcW w:w="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-156845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-156845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-156845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-156845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5715</wp:posOffset>
            </wp:positionV>
            <wp:extent cx="41148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6" w:lineRule="exact"/>
        <w:rPr>
          <w:sz w:val="20"/>
          <w:szCs w:val="20"/>
          <w:color w:val="auto"/>
        </w:rPr>
      </w:pPr>
    </w:p>
    <w:p>
      <w:pPr>
        <w:ind w:right="20" w:firstLine="8"/>
        <w:spacing w:after="0" w:line="261" w:lineRule="auto"/>
        <w:tabs>
          <w:tab w:leader="none" w:pos="20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payments due for our leased and subleased office spaces in Watertown, Massachusetts as of December 31, 2023. The lease terms began in November 2021 and June 2023, and both end in November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-215900</wp:posOffset>
            </wp:positionV>
            <wp:extent cx="41148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consolidated financial statements, we believe that the following accounting policies are those most critical to the judgments and estimates used in the preparation of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and Accruals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and prepaid research and development expenses. This process involves reviewing open contracts and purchase orders, communicating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ind w:right="100"/>
        <w:spacing w:after="0" w:line="256" w:lineRule="auto"/>
        <w:rPr>
          <w:sz w:val="20"/>
          <w:szCs w:val="20"/>
          <w:color w:val="auto"/>
        </w:rPr>
      </w:pPr>
      <w:r>
        <w:rPr>
          <w:rFonts w:ascii="Times New Roman" w:cs="Times New Roman" w:eastAsia="Times New Roman" w:hAnsi="Times New Roman"/>
          <w:sz w:val="18"/>
          <w:szCs w:val="18"/>
          <w:color w:val="auto"/>
        </w:rPr>
        <w:t>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79"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CDMOs in connection with the production of preclinical study and clinical trial materials.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Liability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May 2021, we entered into a license agreement (the “Roche Agreement”) with F. Hoffmann-La Roche Ltd. and Hoffmann-La Roche Inc. (together, “Roche”) pursuant to which Roche granted us an exclusive and sublicensable worldwide license under certain patent rights and know-how to develop, manufacture and commercialize certain compounds (the “Compounds”) as further described in Note 8. We recognized a liability in connection with the Roche Agreement which included an obligation to issue a variable number of shares of our common stock to Roche for no additional consideration upon our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our estimated shares outstanding and fair value per share upon completion of a Roche Qualified Transaction and (2) the probability of us completing a Roche Qualified Transaction.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We remeasured the derivative liability based on the stock price of its publicly-traded common stock on December 29, 2022. The change in the fair value for the period was recorded in the consolidated statements of operations and comprehensive loss in the change in fair value of derivative liability. Upon completion of the merger, we issued 482,313 shares of common stock to Roche, thereby settling the derivative liability, with the fair value of the common stock at the time of issuance recorded as additional paid-in capital.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 The fair value of each stock option grant is estimated on the date of grant using the Black-Scholes option-pricing model, which requires inputs based on certain subjective assumptions, including the fair value of our common stock, the expected stock price volatility, the expected term of the option, the risk-free interest rate for a period that approximates the expected term of the option, and the expected dividend yield. Due to the lack of company-specific historical and implied volatility data, we determine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 The expected term of our stock options granted to employees has been determined utilizing the “simplified” method for awards that qualify as “plain-vanilla” options, using the average between the vesting date and the contractual term. The fair value of each restricted common stock award is estimated on the date of grant based on the estimated fair value of our common stock on the date of grant.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and certain recently adopted accounting pronouncements that have or may potentially impact our financial position and results of operations is included in Note 2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we had cash and cash equivalents of $360.4 million and $194.6 million, respectively, which consisted of cash, money market funds and U.S. treasury notes.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twelve months ended December 31, 2023 and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7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83"/>
        </w:trPr>
        <w:tc>
          <w:tcPr>
            <w:tcW w:w="5520" w:type="dxa"/>
            <w:vAlign w:val="bottom"/>
            <w:tcBorders>
              <w:bottom w:val="single" w:sz="8" w:color="0000FF"/>
            </w:tcBorders>
            <w:gridSpan w:val="5"/>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108</w:t>
            </w:r>
          </w:p>
        </w:tc>
      </w:tr>
      <w:tr>
        <w:trPr>
          <w:trHeight w:val="223"/>
        </w:trPr>
        <w:tc>
          <w:tcPr>
            <w:tcW w:w="10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4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76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Preferred Stock and Stockholders’ Equity (Deficit)</w:t>
            </w:r>
          </w:p>
        </w:tc>
        <w:tc>
          <w:tcPr>
            <w:tcW w:w="4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6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10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682"/>
        </w:trPr>
        <w:tc>
          <w:tcPr>
            <w:tcW w:w="3160" w:type="dxa"/>
            <w:vAlign w:val="bottom"/>
            <w:tcBorders>
              <w:top w:val="single" w:sz="8" w:color="0000FF"/>
            </w:tcBorders>
            <w:gridSpan w:val="3"/>
          </w:tcPr>
          <w:p>
            <w:pPr>
              <w:spacing w:after="0"/>
              <w:rPr>
                <w:sz w:val="24"/>
                <w:szCs w:val="24"/>
                <w:color w:val="auto"/>
              </w:rPr>
            </w:pPr>
          </w:p>
        </w:tc>
        <w:tc>
          <w:tcPr>
            <w:tcW w:w="7300" w:type="dxa"/>
            <w:vAlign w:val="bottom"/>
            <w:gridSpan w:val="4"/>
          </w:tcPr>
          <w:p>
            <w:pPr>
              <w:jc w:val="right"/>
              <w:ind w:right="4700"/>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and Board of Directors of Disc Medicine,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Disc Medicine, Inc. (the Company) as of December 31, 2023 and 2022, the related consolidated statements of operations and comprehensive loss, convertible preferred stock and stockholders' equity (deficit)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194,611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198,491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2023 and 2022; 24,360,233 and 17,405,231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as of December 31, 2023 and 2022, respectively;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24,360,233 and 17,403,315 shares outstanding as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533,764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288,814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(188,645 )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(112,216 )</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345,121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-2948305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-2931160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5080</wp:posOffset>
            </wp:positionV>
            <wp:extent cx="21602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1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(91,125 )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(47,475 )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(76,330 )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(46,827 )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(76,429 )</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(46,827 )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(76,429 )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(46,827 )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22,315,877</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1,039,490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(45.05 )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130175</wp:posOffset>
            </wp:positionV>
            <wp:extent cx="81280" cy="4457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280" cy="4457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980" w:type="dxa"/>
            <w:vAlign w:val="bottom"/>
          </w:tcPr>
          <w:p>
            <w:pPr>
              <w:ind w:left="192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Convertible Preferred Stock</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90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9"/>
                <w:szCs w:val="9"/>
                <w:b w:val="1"/>
                <w:bCs w:val="1"/>
                <w:color w:val="auto"/>
              </w:rPr>
              <w:t>Series Seed</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left="475"/>
              <w:spacing w:after="0" w:line="102" w:lineRule="exact"/>
              <w:rPr>
                <w:sz w:val="20"/>
                <w:szCs w:val="20"/>
                <w:color w:val="auto"/>
              </w:rPr>
            </w:pPr>
            <w:r>
              <w:rPr>
                <w:rFonts w:ascii="Times New Roman" w:cs="Times New Roman" w:eastAsia="Times New Roman" w:hAnsi="Times New Roman"/>
                <w:sz w:val="9"/>
                <w:szCs w:val="9"/>
                <w:b w:val="1"/>
                <w:bCs w:val="1"/>
                <w:color w:val="auto"/>
              </w:rPr>
              <w:t>Series A</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left="415"/>
              <w:spacing w:after="0" w:line="102" w:lineRule="exact"/>
              <w:rPr>
                <w:sz w:val="20"/>
                <w:szCs w:val="20"/>
                <w:color w:val="auto"/>
              </w:rPr>
            </w:pPr>
            <w:r>
              <w:rPr>
                <w:rFonts w:ascii="Times New Roman" w:cs="Times New Roman" w:eastAsia="Times New Roman" w:hAnsi="Times New Roman"/>
                <w:sz w:val="9"/>
                <w:szCs w:val="9"/>
                <w:b w:val="1"/>
                <w:bCs w:val="1"/>
                <w:color w:val="auto"/>
              </w:rPr>
              <w:t>Series B</w:t>
            </w: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ind w:left="240"/>
              <w:spacing w:after="0" w:line="102" w:lineRule="exact"/>
              <w:rPr>
                <w:sz w:val="20"/>
                <w:szCs w:val="20"/>
                <w:color w:val="auto"/>
              </w:rPr>
            </w:pPr>
            <w:r>
              <w:rPr>
                <w:rFonts w:ascii="Times New Roman" w:cs="Times New Roman" w:eastAsia="Times New Roman" w:hAnsi="Times New Roman"/>
                <w:sz w:val="9"/>
                <w:szCs w:val="9"/>
                <w:b w:val="1"/>
                <w:bCs w:val="1"/>
                <w:color w:val="auto"/>
                <w:w w:val="94"/>
              </w:rPr>
              <w:t>Common Stock</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195"/>
              <w:spacing w:after="0" w:line="102"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175"/>
              <w:spacing w:after="0" w:line="102"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108"/>
        </w:trPr>
        <w:tc>
          <w:tcPr>
            <w:tcW w:w="1980" w:type="dxa"/>
            <w:vAlign w:val="bottom"/>
          </w:tcPr>
          <w:p>
            <w:pPr>
              <w:ind w:left="192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$0.0001 Par Value</w:t>
            </w: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Borders>
              <w:bottom w:val="single" w:sz="8" w:color="auto"/>
            </w:tcBorders>
            <w:gridSpan w:val="5"/>
          </w:tcPr>
          <w:p>
            <w:pPr>
              <w:jc w:val="center"/>
              <w:ind w:right="75"/>
              <w:spacing w:after="0"/>
              <w:rPr>
                <w:sz w:val="20"/>
                <w:szCs w:val="20"/>
                <w:color w:val="auto"/>
              </w:rPr>
            </w:pPr>
            <w:r>
              <w:rPr>
                <w:rFonts w:ascii="Times New Roman" w:cs="Times New Roman" w:eastAsia="Times New Roman" w:hAnsi="Times New Roman"/>
                <w:sz w:val="9"/>
                <w:szCs w:val="9"/>
                <w:b w:val="1"/>
                <w:bCs w:val="1"/>
                <w:color w:val="auto"/>
                <w:w w:val="99"/>
              </w:rPr>
              <w:t>$0.0001 Par Value</w:t>
            </w:r>
          </w:p>
        </w:tc>
        <w:tc>
          <w:tcPr>
            <w:tcW w:w="12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4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9"/>
                <w:szCs w:val="9"/>
                <w:b w:val="1"/>
                <w:bCs w:val="1"/>
                <w:color w:val="auto"/>
                <w:w w:val="96"/>
              </w:rPr>
              <w:t>$0.0001 Par Value</w:t>
            </w:r>
          </w:p>
        </w:tc>
        <w:tc>
          <w:tcPr>
            <w:tcW w:w="420" w:type="dxa"/>
            <w:vAlign w:val="bottom"/>
            <w:tcBorders>
              <w:bottom w:val="single" w:sz="8" w:color="auto"/>
            </w:tcBorders>
          </w:tcPr>
          <w:p>
            <w:pPr>
              <w:spacing w:after="0"/>
              <w:rPr>
                <w:sz w:val="9"/>
                <w:szCs w:val="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$0.0001 Par Value</w:t>
            </w: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ind w:right="175"/>
              <w:spacing w:after="0"/>
              <w:rPr>
                <w:sz w:val="20"/>
                <w:szCs w:val="20"/>
                <w:color w:val="auto"/>
              </w:rPr>
            </w:pPr>
            <w:r>
              <w:rPr>
                <w:rFonts w:ascii="Times New Roman" w:cs="Times New Roman" w:eastAsia="Times New Roman" w:hAnsi="Times New Roman"/>
                <w:sz w:val="9"/>
                <w:szCs w:val="9"/>
                <w:b w:val="1"/>
                <w:bCs w:val="1"/>
                <w:color w:val="auto"/>
                <w:w w:val="96"/>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15"/>
        </w:trPr>
        <w:tc>
          <w:tcPr>
            <w:tcW w:w="1980" w:type="dxa"/>
            <w:vAlign w:val="bottom"/>
          </w:tcPr>
          <w:p>
            <w:pPr>
              <w:ind w:left="192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b w:val="1"/>
                <w:bCs w:val="1"/>
                <w:color w:val="auto"/>
              </w:rPr>
              <w:t>Shares</w:t>
            </w:r>
          </w:p>
        </w:tc>
        <w:tc>
          <w:tcPr>
            <w:tcW w:w="4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10"/>
                <w:szCs w:val="10"/>
                <w:color w:val="auto"/>
              </w:rPr>
            </w:pPr>
          </w:p>
        </w:tc>
        <w:tc>
          <w:tcPr>
            <w:tcW w:w="5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rPr>
              <w:t>Deficit</w:t>
            </w:r>
          </w:p>
        </w:tc>
        <w:tc>
          <w:tcPr>
            <w:tcW w:w="0" w:type="dxa"/>
            <w:vAlign w:val="bottom"/>
          </w:tcPr>
          <w:p>
            <w:pPr>
              <w:spacing w:after="0"/>
              <w:rPr>
                <w:sz w:val="1"/>
                <w:szCs w:val="1"/>
                <w:color w:val="auto"/>
              </w:rPr>
            </w:pPr>
          </w:p>
        </w:tc>
      </w:tr>
      <w:tr>
        <w:trPr>
          <w:trHeight w:val="154"/>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December 31, 2021</w:t>
            </w:r>
          </w:p>
        </w:tc>
        <w:tc>
          <w:tcPr>
            <w:tcW w:w="7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5,000,000</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2,350</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41,666,666</w:t>
            </w: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49,762</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37,499,999</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89,744</w:t>
            </w: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909,418</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1,186</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(65,389 )</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(64,203 )</w:t>
            </w:r>
          </w:p>
        </w:tc>
        <w:tc>
          <w:tcPr>
            <w:tcW w:w="0" w:type="dxa"/>
            <w:vAlign w:val="bottom"/>
          </w:tcPr>
          <w:p>
            <w:pPr>
              <w:spacing w:after="0"/>
              <w:rPr>
                <w:sz w:val="1"/>
                <w:szCs w:val="1"/>
                <w:color w:val="auto"/>
              </w:rPr>
            </w:pPr>
          </w:p>
        </w:tc>
      </w:tr>
      <w:tr>
        <w:trPr>
          <w:trHeight w:val="80"/>
        </w:trPr>
        <w:tc>
          <w:tcPr>
            <w:tcW w:w="1980" w:type="dxa"/>
            <w:vAlign w:val="bottom"/>
          </w:tcPr>
          <w:p>
            <w:pPr>
              <w:ind w:left="20"/>
              <w:spacing w:after="0" w:line="80" w:lineRule="exact"/>
              <w:rPr>
                <w:sz w:val="20"/>
                <w:szCs w:val="20"/>
                <w:color w:val="auto"/>
              </w:rPr>
            </w:pPr>
            <w:r>
              <w:rPr>
                <w:rFonts w:ascii="Times New Roman" w:cs="Times New Roman" w:eastAsia="Times New Roman" w:hAnsi="Times New Roman"/>
                <w:sz w:val="9"/>
                <w:szCs w:val="9"/>
                <w:color w:val="auto"/>
              </w:rPr>
              <w:t>Issuance of common stock</w:t>
            </w:r>
          </w:p>
        </w:tc>
        <w:tc>
          <w:tcPr>
            <w:tcW w:w="78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6"/>
                <w:szCs w:val="6"/>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6"/>
                <w:szCs w:val="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6"/>
                <w:szCs w:val="6"/>
                <w:color w:val="auto"/>
              </w:rPr>
            </w:pPr>
          </w:p>
        </w:tc>
        <w:tc>
          <w:tcPr>
            <w:tcW w:w="4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53,224</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219</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219</w:t>
            </w:r>
          </w:p>
        </w:tc>
        <w:tc>
          <w:tcPr>
            <w:tcW w:w="0" w:type="dxa"/>
            <w:vAlign w:val="bottom"/>
          </w:tcPr>
          <w:p>
            <w:pPr>
              <w:spacing w:after="0"/>
              <w:rPr>
                <w:sz w:val="1"/>
                <w:szCs w:val="1"/>
                <w:color w:val="auto"/>
              </w:rPr>
            </w:pPr>
          </w:p>
        </w:tc>
      </w:tr>
      <w:tr>
        <w:trPr>
          <w:trHeight w:val="62"/>
        </w:trPr>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9"/>
                <w:szCs w:val="9"/>
                <w:color w:val="auto"/>
              </w:rPr>
              <w:t>upon exercise of stock options</w:t>
            </w: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9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Vesting of restricted common stock</w:t>
            </w:r>
          </w:p>
        </w:tc>
        <w:tc>
          <w:tcPr>
            <w:tcW w:w="7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8,254</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1980" w:type="dxa"/>
            <w:vAlign w:val="bottom"/>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2,089</w:t>
            </w:r>
          </w:p>
        </w:tc>
        <w:tc>
          <w:tcPr>
            <w:tcW w:w="0" w:type="dxa"/>
            <w:vAlign w:val="bottom"/>
          </w:tcPr>
          <w:p>
            <w:pPr>
              <w:spacing w:after="0"/>
              <w:rPr>
                <w:sz w:val="1"/>
                <w:szCs w:val="1"/>
                <w:color w:val="auto"/>
              </w:rPr>
            </w:pPr>
          </w:p>
        </w:tc>
      </w:tr>
      <w:tr>
        <w:trPr>
          <w:trHeight w:val="99"/>
        </w:trPr>
        <w:tc>
          <w:tcPr>
            <w:tcW w:w="19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Issuance of common stock</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980" w:type="dxa"/>
            <w:vAlign w:val="bottom"/>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for cash in pre-closing</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financing</w:t>
            </w:r>
          </w:p>
        </w:tc>
        <w:tc>
          <w:tcPr>
            <w:tcW w:w="7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2,336,092</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53,500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53,500</w:t>
            </w:r>
          </w:p>
        </w:tc>
        <w:tc>
          <w:tcPr>
            <w:tcW w:w="0" w:type="dxa"/>
            <w:vAlign w:val="bottom"/>
          </w:tcPr>
          <w:p>
            <w:pPr>
              <w:spacing w:after="0"/>
              <w:rPr>
                <w:sz w:val="1"/>
                <w:szCs w:val="1"/>
                <w:color w:val="auto"/>
              </w:rPr>
            </w:pPr>
          </w:p>
        </w:tc>
      </w:tr>
      <w:tr>
        <w:trPr>
          <w:trHeight w:val="99"/>
        </w:trPr>
        <w:tc>
          <w:tcPr>
            <w:tcW w:w="19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Conversion of preferred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80" w:type="dxa"/>
            <w:vAlign w:val="bottom"/>
          </w:tcPr>
          <w:p>
            <w:pPr>
              <w:ind w:left="80"/>
              <w:spacing w:after="0"/>
              <w:rPr>
                <w:sz w:val="20"/>
                <w:szCs w:val="20"/>
                <w:color w:val="auto"/>
              </w:rPr>
            </w:pPr>
            <w:r>
              <w:rPr>
                <w:rFonts w:ascii="Times New Roman" w:cs="Times New Roman" w:eastAsia="Times New Roman" w:hAnsi="Times New Roman"/>
                <w:sz w:val="9"/>
                <w:szCs w:val="9"/>
                <w:color w:val="auto"/>
              </w:rPr>
              <w:t>stock to common stock</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(5,000,000 )</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(2,350 )</w:t>
            </w:r>
          </w:p>
        </w:tc>
        <w:tc>
          <w:tcPr>
            <w:tcW w:w="120" w:type="dxa"/>
            <w:vAlign w:val="bottom"/>
          </w:tcPr>
          <w:p>
            <w:pPr>
              <w:spacing w:after="0"/>
              <w:rPr>
                <w:sz w:val="10"/>
                <w:szCs w:val="1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(41,666,666 )</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(49,762 )</w:t>
            </w:r>
          </w:p>
        </w:tc>
        <w:tc>
          <w:tcPr>
            <w:tcW w:w="120" w:type="dxa"/>
            <w:vAlign w:val="bottom"/>
          </w:tcPr>
          <w:p>
            <w:pPr>
              <w:spacing w:after="0"/>
              <w:rPr>
                <w:sz w:val="10"/>
                <w:szCs w:val="10"/>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(37,499,999 )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(89,744 )</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9,224,653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141,855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141,856</w:t>
            </w:r>
          </w:p>
        </w:tc>
        <w:tc>
          <w:tcPr>
            <w:tcW w:w="0" w:type="dxa"/>
            <w:vAlign w:val="bottom"/>
          </w:tcPr>
          <w:p>
            <w:pPr>
              <w:spacing w:after="0"/>
              <w:rPr>
                <w:sz w:val="1"/>
                <w:szCs w:val="1"/>
                <w:color w:val="auto"/>
              </w:rPr>
            </w:pPr>
          </w:p>
        </w:tc>
      </w:tr>
      <w:tr>
        <w:trPr>
          <w:trHeight w:val="99"/>
        </w:trPr>
        <w:tc>
          <w:tcPr>
            <w:tcW w:w="19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Issuance of common stock</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80" w:type="dxa"/>
            <w:vAlign w:val="bottom"/>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to Gemini shareholders</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 reverse recapitalization</w:t>
            </w:r>
          </w:p>
        </w:tc>
        <w:tc>
          <w:tcPr>
            <w:tcW w:w="7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4,389,361</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91,390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91,391</w:t>
            </w:r>
          </w:p>
        </w:tc>
        <w:tc>
          <w:tcPr>
            <w:tcW w:w="0" w:type="dxa"/>
            <w:vAlign w:val="bottom"/>
          </w:tcPr>
          <w:p>
            <w:pPr>
              <w:spacing w:after="0"/>
              <w:rPr>
                <w:sz w:val="1"/>
                <w:szCs w:val="1"/>
                <w:color w:val="auto"/>
              </w:rPr>
            </w:pPr>
          </w:p>
        </w:tc>
      </w:tr>
      <w:tr>
        <w:trPr>
          <w:trHeight w:val="99"/>
        </w:trPr>
        <w:tc>
          <w:tcPr>
            <w:tcW w:w="19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Reverse recapitalization</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80" w:type="dxa"/>
            <w:vAlign w:val="bottom"/>
          </w:tcPr>
          <w:p>
            <w:pPr>
              <w:ind w:left="80"/>
              <w:spacing w:after="0"/>
              <w:rPr>
                <w:sz w:val="20"/>
                <w:szCs w:val="20"/>
                <w:color w:val="auto"/>
              </w:rPr>
            </w:pPr>
            <w:r>
              <w:rPr>
                <w:rFonts w:ascii="Times New Roman" w:cs="Times New Roman" w:eastAsia="Times New Roman" w:hAnsi="Times New Roman"/>
                <w:sz w:val="9"/>
                <w:szCs w:val="9"/>
                <w:color w:val="auto"/>
              </w:rPr>
              <w:t>transaction costs</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(7,936 )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(7,936 )</w:t>
            </w:r>
          </w:p>
        </w:tc>
        <w:tc>
          <w:tcPr>
            <w:tcW w:w="0" w:type="dxa"/>
            <w:vAlign w:val="bottom"/>
          </w:tcPr>
          <w:p>
            <w:pPr>
              <w:spacing w:after="0"/>
              <w:rPr>
                <w:sz w:val="1"/>
                <w:szCs w:val="1"/>
                <w:color w:val="auto"/>
              </w:rPr>
            </w:pPr>
          </w:p>
        </w:tc>
      </w:tr>
      <w:tr>
        <w:trPr>
          <w:trHeight w:val="99"/>
        </w:trPr>
        <w:tc>
          <w:tcPr>
            <w:tcW w:w="19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Issuance of common stock</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to Roche</w:t>
            </w:r>
          </w:p>
        </w:tc>
        <w:tc>
          <w:tcPr>
            <w:tcW w:w="7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482,313</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6,511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6,511</w:t>
            </w:r>
          </w:p>
        </w:tc>
        <w:tc>
          <w:tcPr>
            <w:tcW w:w="0" w:type="dxa"/>
            <w:vAlign w:val="bottom"/>
          </w:tcPr>
          <w:p>
            <w:pPr>
              <w:spacing w:after="0"/>
              <w:rPr>
                <w:sz w:val="1"/>
                <w:szCs w:val="1"/>
                <w:color w:val="auto"/>
              </w:rPr>
            </w:pPr>
          </w:p>
        </w:tc>
      </w:tr>
      <w:tr>
        <w:trPr>
          <w:trHeight w:val="121"/>
        </w:trPr>
        <w:tc>
          <w:tcPr>
            <w:tcW w:w="198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7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(46,827 )</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(46,827 )</w:t>
            </w:r>
          </w:p>
        </w:tc>
        <w:tc>
          <w:tcPr>
            <w:tcW w:w="0" w:type="dxa"/>
            <w:vAlign w:val="bottom"/>
          </w:tcPr>
          <w:p>
            <w:pPr>
              <w:spacing w:after="0"/>
              <w:rPr>
                <w:sz w:val="1"/>
                <w:szCs w:val="1"/>
                <w:color w:val="auto"/>
              </w:rPr>
            </w:pPr>
          </w:p>
        </w:tc>
      </w:tr>
      <w:tr>
        <w:trPr>
          <w:trHeight w:val="155"/>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December 31, 2022</w:t>
            </w:r>
          </w:p>
        </w:tc>
        <w:tc>
          <w:tcPr>
            <w:tcW w:w="7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17,403,315</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288,814</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(112,216 )</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176,600</w:t>
            </w:r>
          </w:p>
        </w:tc>
        <w:tc>
          <w:tcPr>
            <w:tcW w:w="0" w:type="dxa"/>
            <w:vAlign w:val="bottom"/>
          </w:tcPr>
          <w:p>
            <w:pPr>
              <w:spacing w:after="0"/>
              <w:rPr>
                <w:sz w:val="1"/>
                <w:szCs w:val="1"/>
                <w:color w:val="auto"/>
              </w:rPr>
            </w:pPr>
          </w:p>
        </w:tc>
      </w:tr>
      <w:tr>
        <w:trPr>
          <w:trHeight w:val="238"/>
        </w:trPr>
        <w:tc>
          <w:tcPr>
            <w:tcW w:w="1980" w:type="dxa"/>
            <w:vAlign w:val="bottom"/>
          </w:tcPr>
          <w:p>
            <w:pPr>
              <w:ind w:left="192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Convertible Preferred Stock</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90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9"/>
                <w:szCs w:val="9"/>
                <w:b w:val="1"/>
                <w:bCs w:val="1"/>
                <w:color w:val="auto"/>
              </w:rPr>
              <w:t>Series Seed</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left="475"/>
              <w:spacing w:after="0" w:line="102" w:lineRule="exact"/>
              <w:rPr>
                <w:sz w:val="20"/>
                <w:szCs w:val="20"/>
                <w:color w:val="auto"/>
              </w:rPr>
            </w:pPr>
            <w:r>
              <w:rPr>
                <w:rFonts w:ascii="Times New Roman" w:cs="Times New Roman" w:eastAsia="Times New Roman" w:hAnsi="Times New Roman"/>
                <w:sz w:val="9"/>
                <w:szCs w:val="9"/>
                <w:b w:val="1"/>
                <w:bCs w:val="1"/>
                <w:color w:val="auto"/>
              </w:rPr>
              <w:t>Series A</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left="415"/>
              <w:spacing w:after="0" w:line="102" w:lineRule="exact"/>
              <w:rPr>
                <w:sz w:val="20"/>
                <w:szCs w:val="20"/>
                <w:color w:val="auto"/>
              </w:rPr>
            </w:pPr>
            <w:r>
              <w:rPr>
                <w:rFonts w:ascii="Times New Roman" w:cs="Times New Roman" w:eastAsia="Times New Roman" w:hAnsi="Times New Roman"/>
                <w:sz w:val="9"/>
                <w:szCs w:val="9"/>
                <w:b w:val="1"/>
                <w:bCs w:val="1"/>
                <w:color w:val="auto"/>
              </w:rPr>
              <w:t>Series B</w:t>
            </w: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ind w:left="240"/>
              <w:spacing w:after="0" w:line="102" w:lineRule="exact"/>
              <w:rPr>
                <w:sz w:val="20"/>
                <w:szCs w:val="20"/>
                <w:color w:val="auto"/>
              </w:rPr>
            </w:pPr>
            <w:r>
              <w:rPr>
                <w:rFonts w:ascii="Times New Roman" w:cs="Times New Roman" w:eastAsia="Times New Roman" w:hAnsi="Times New Roman"/>
                <w:sz w:val="9"/>
                <w:szCs w:val="9"/>
                <w:b w:val="1"/>
                <w:bCs w:val="1"/>
                <w:color w:val="auto"/>
                <w:w w:val="94"/>
              </w:rPr>
              <w:t>Common Stock</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195"/>
              <w:spacing w:after="0" w:line="102"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175"/>
              <w:spacing w:after="0" w:line="102"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108"/>
        </w:trPr>
        <w:tc>
          <w:tcPr>
            <w:tcW w:w="1980" w:type="dxa"/>
            <w:vAlign w:val="bottom"/>
          </w:tcPr>
          <w:p>
            <w:pPr>
              <w:ind w:left="192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$0.0001 Par Value</w:t>
            </w: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Borders>
              <w:bottom w:val="single" w:sz="8" w:color="auto"/>
            </w:tcBorders>
            <w:gridSpan w:val="5"/>
          </w:tcPr>
          <w:p>
            <w:pPr>
              <w:jc w:val="center"/>
              <w:ind w:right="75"/>
              <w:spacing w:after="0"/>
              <w:rPr>
                <w:sz w:val="20"/>
                <w:szCs w:val="20"/>
                <w:color w:val="auto"/>
              </w:rPr>
            </w:pPr>
            <w:r>
              <w:rPr>
                <w:rFonts w:ascii="Times New Roman" w:cs="Times New Roman" w:eastAsia="Times New Roman" w:hAnsi="Times New Roman"/>
                <w:sz w:val="9"/>
                <w:szCs w:val="9"/>
                <w:b w:val="1"/>
                <w:bCs w:val="1"/>
                <w:color w:val="auto"/>
                <w:w w:val="99"/>
              </w:rPr>
              <w:t>$0.0001 Par Value</w:t>
            </w:r>
          </w:p>
        </w:tc>
        <w:tc>
          <w:tcPr>
            <w:tcW w:w="12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4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9"/>
                <w:szCs w:val="9"/>
                <w:b w:val="1"/>
                <w:bCs w:val="1"/>
                <w:color w:val="auto"/>
                <w:w w:val="96"/>
              </w:rPr>
              <w:t>$0.0001 Par Value</w:t>
            </w:r>
          </w:p>
        </w:tc>
        <w:tc>
          <w:tcPr>
            <w:tcW w:w="420" w:type="dxa"/>
            <w:vAlign w:val="bottom"/>
            <w:tcBorders>
              <w:bottom w:val="single" w:sz="8" w:color="auto"/>
            </w:tcBorders>
          </w:tcPr>
          <w:p>
            <w:pPr>
              <w:spacing w:after="0"/>
              <w:rPr>
                <w:sz w:val="9"/>
                <w:szCs w:val="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$0.0001 Par Value</w:t>
            </w: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ind w:right="175"/>
              <w:spacing w:after="0"/>
              <w:rPr>
                <w:sz w:val="20"/>
                <w:szCs w:val="20"/>
                <w:color w:val="auto"/>
              </w:rPr>
            </w:pPr>
            <w:r>
              <w:rPr>
                <w:rFonts w:ascii="Times New Roman" w:cs="Times New Roman" w:eastAsia="Times New Roman" w:hAnsi="Times New Roman"/>
                <w:sz w:val="9"/>
                <w:szCs w:val="9"/>
                <w:b w:val="1"/>
                <w:bCs w:val="1"/>
                <w:color w:val="auto"/>
                <w:w w:val="96"/>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15"/>
        </w:trPr>
        <w:tc>
          <w:tcPr>
            <w:tcW w:w="1980" w:type="dxa"/>
            <w:vAlign w:val="bottom"/>
          </w:tcPr>
          <w:p>
            <w:pPr>
              <w:ind w:left="192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b w:val="1"/>
                <w:bCs w:val="1"/>
                <w:color w:val="auto"/>
              </w:rPr>
              <w:t>Shares</w:t>
            </w:r>
          </w:p>
        </w:tc>
        <w:tc>
          <w:tcPr>
            <w:tcW w:w="4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12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10"/>
                <w:szCs w:val="10"/>
                <w:color w:val="auto"/>
              </w:rPr>
            </w:pPr>
          </w:p>
        </w:tc>
        <w:tc>
          <w:tcPr>
            <w:tcW w:w="5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0" w:type="dxa"/>
            <w:vAlign w:val="bottom"/>
          </w:tcPr>
          <w:p>
            <w:pPr>
              <w:spacing w:after="0"/>
              <w:rPr>
                <w:sz w:val="1"/>
                <w:szCs w:val="1"/>
                <w:color w:val="auto"/>
              </w:rPr>
            </w:pPr>
          </w:p>
        </w:tc>
      </w:tr>
      <w:tr>
        <w:trPr>
          <w:trHeight w:val="155"/>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December 31, 2022</w:t>
            </w:r>
          </w:p>
        </w:tc>
        <w:tc>
          <w:tcPr>
            <w:tcW w:w="7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17,403,315</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288,814</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(112,216 )</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176,600</w:t>
            </w:r>
          </w:p>
        </w:tc>
        <w:tc>
          <w:tcPr>
            <w:tcW w:w="0" w:type="dxa"/>
            <w:vAlign w:val="bottom"/>
          </w:tcPr>
          <w:p>
            <w:pPr>
              <w:spacing w:after="0"/>
              <w:rPr>
                <w:sz w:val="1"/>
                <w:szCs w:val="1"/>
                <w:color w:val="auto"/>
              </w:rPr>
            </w:pPr>
          </w:p>
        </w:tc>
      </w:tr>
      <w:tr>
        <w:trPr>
          <w:trHeight w:val="80"/>
        </w:trPr>
        <w:tc>
          <w:tcPr>
            <w:tcW w:w="1980" w:type="dxa"/>
            <w:vAlign w:val="bottom"/>
          </w:tcPr>
          <w:p>
            <w:pPr>
              <w:ind w:left="20"/>
              <w:spacing w:after="0" w:line="80" w:lineRule="exact"/>
              <w:rPr>
                <w:sz w:val="20"/>
                <w:szCs w:val="20"/>
                <w:color w:val="auto"/>
              </w:rPr>
            </w:pPr>
            <w:r>
              <w:rPr>
                <w:rFonts w:ascii="Times New Roman" w:cs="Times New Roman" w:eastAsia="Times New Roman" w:hAnsi="Times New Roman"/>
                <w:sz w:val="9"/>
                <w:szCs w:val="9"/>
                <w:color w:val="auto"/>
              </w:rPr>
              <w:t>Issuance of common stock upon</w:t>
            </w:r>
          </w:p>
        </w:tc>
        <w:tc>
          <w:tcPr>
            <w:tcW w:w="78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6"/>
                <w:szCs w:val="6"/>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6"/>
                <w:szCs w:val="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6"/>
                <w:szCs w:val="6"/>
                <w:color w:val="auto"/>
              </w:rPr>
            </w:pPr>
          </w:p>
        </w:tc>
        <w:tc>
          <w:tcPr>
            <w:tcW w:w="4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254,432</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2,763</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2,763</w:t>
            </w:r>
          </w:p>
        </w:tc>
        <w:tc>
          <w:tcPr>
            <w:tcW w:w="0" w:type="dxa"/>
            <w:vAlign w:val="bottom"/>
          </w:tcPr>
          <w:p>
            <w:pPr>
              <w:spacing w:after="0"/>
              <w:rPr>
                <w:sz w:val="1"/>
                <w:szCs w:val="1"/>
                <w:color w:val="auto"/>
              </w:rPr>
            </w:pPr>
          </w:p>
        </w:tc>
      </w:tr>
      <w:tr>
        <w:trPr>
          <w:trHeight w:val="62"/>
        </w:trPr>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9"/>
                <w:szCs w:val="9"/>
                <w:color w:val="auto"/>
              </w:rPr>
              <w:t>exercise of stock options</w:t>
            </w: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9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Vesting of restricted common stock</w:t>
            </w:r>
          </w:p>
        </w:tc>
        <w:tc>
          <w:tcPr>
            <w:tcW w:w="7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1,916</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1980" w:type="dxa"/>
            <w:vAlign w:val="bottom"/>
          </w:tcPr>
          <w:p>
            <w:pPr>
              <w:ind w:left="20"/>
              <w:spacing w:after="0"/>
              <w:rPr>
                <w:sz w:val="20"/>
                <w:szCs w:val="20"/>
                <w:color w:val="auto"/>
              </w:rPr>
            </w:pPr>
            <w:r>
              <w:rPr>
                <w:rFonts w:ascii="Times New Roman" w:cs="Times New Roman" w:eastAsia="Times New Roman" w:hAnsi="Times New Roman"/>
                <w:sz w:val="9"/>
                <w:szCs w:val="9"/>
                <w:color w:val="auto"/>
              </w:rPr>
              <w:t>Stock-based compensation expense</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5,530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5,530</w:t>
            </w:r>
          </w:p>
        </w:tc>
        <w:tc>
          <w:tcPr>
            <w:tcW w:w="0" w:type="dxa"/>
            <w:vAlign w:val="bottom"/>
          </w:tcPr>
          <w:p>
            <w:pPr>
              <w:spacing w:after="0"/>
              <w:rPr>
                <w:sz w:val="1"/>
                <w:szCs w:val="1"/>
                <w:color w:val="auto"/>
              </w:rPr>
            </w:pPr>
          </w:p>
        </w:tc>
      </w:tr>
      <w:tr>
        <w:trPr>
          <w:trHeight w:val="99"/>
        </w:trPr>
        <w:tc>
          <w:tcPr>
            <w:tcW w:w="19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Sale of common stock in</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80" w:type="dxa"/>
            <w:vAlign w:val="bottom"/>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registered direct offering,</w:t>
            </w:r>
          </w:p>
        </w:tc>
        <w:tc>
          <w:tcPr>
            <w:tcW w:w="78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80" w:type="dxa"/>
            <w:vAlign w:val="bottom"/>
            <w:gridSpan w:val="2"/>
            <w:shd w:val="clear" w:color="auto" w:fill="CFF0FC"/>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1,488,166</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34,148</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34,148</w:t>
            </w:r>
          </w:p>
        </w:tc>
        <w:tc>
          <w:tcPr>
            <w:tcW w:w="0" w:type="dxa"/>
            <w:vAlign w:val="bottom"/>
          </w:tcPr>
          <w:p>
            <w:pPr>
              <w:spacing w:after="0"/>
              <w:rPr>
                <w:sz w:val="1"/>
                <w:szCs w:val="1"/>
                <w:color w:val="auto"/>
              </w:rPr>
            </w:pPr>
          </w:p>
        </w:tc>
      </w:tr>
      <w:tr>
        <w:trPr>
          <w:trHeight w:val="117"/>
        </w:trPr>
        <w:tc>
          <w:tcPr>
            <w:tcW w:w="1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net of issuance costs of $80</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Sale of pre-funded warrants</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9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in registered direct offering,</w:t>
            </w:r>
          </w:p>
        </w:tc>
        <w:tc>
          <w:tcPr>
            <w:tcW w:w="780" w:type="dxa"/>
            <w:vAlign w:val="bottom"/>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8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28,206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28,206</w:t>
            </w:r>
          </w:p>
        </w:tc>
        <w:tc>
          <w:tcPr>
            <w:tcW w:w="0" w:type="dxa"/>
            <w:vAlign w:val="bottom"/>
          </w:tcPr>
          <w:p>
            <w:pPr>
              <w:spacing w:after="0"/>
              <w:rPr>
                <w:sz w:val="1"/>
                <w:szCs w:val="1"/>
                <w:color w:val="auto"/>
              </w:rPr>
            </w:pPr>
          </w:p>
        </w:tc>
      </w:tr>
      <w:tr>
        <w:trPr>
          <w:trHeight w:val="117"/>
        </w:trPr>
        <w:tc>
          <w:tcPr>
            <w:tcW w:w="1980" w:type="dxa"/>
            <w:vAlign w:val="bottom"/>
          </w:tcPr>
          <w:p>
            <w:pPr>
              <w:ind w:left="80"/>
              <w:spacing w:after="0"/>
              <w:rPr>
                <w:sz w:val="20"/>
                <w:szCs w:val="20"/>
                <w:color w:val="auto"/>
              </w:rPr>
            </w:pPr>
            <w:r>
              <w:rPr>
                <w:rFonts w:ascii="Times New Roman" w:cs="Times New Roman" w:eastAsia="Times New Roman" w:hAnsi="Times New Roman"/>
                <w:sz w:val="9"/>
                <w:szCs w:val="9"/>
                <w:color w:val="auto"/>
              </w:rPr>
              <w:t>net of issuance costs of $66</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Sale of common stock in</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80" w:type="dxa"/>
            <w:vAlign w:val="bottom"/>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at-the-market offerings, net</w:t>
            </w:r>
          </w:p>
        </w:tc>
        <w:tc>
          <w:tcPr>
            <w:tcW w:w="78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80" w:type="dxa"/>
            <w:vAlign w:val="bottom"/>
            <w:gridSpan w:val="2"/>
            <w:shd w:val="clear" w:color="auto" w:fill="CFF0FC"/>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967,264</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26,422</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26,422</w:t>
            </w:r>
          </w:p>
        </w:tc>
        <w:tc>
          <w:tcPr>
            <w:tcW w:w="0" w:type="dxa"/>
            <w:vAlign w:val="bottom"/>
          </w:tcPr>
          <w:p>
            <w:pPr>
              <w:spacing w:after="0"/>
              <w:rPr>
                <w:sz w:val="1"/>
                <w:szCs w:val="1"/>
                <w:color w:val="auto"/>
              </w:rPr>
            </w:pPr>
          </w:p>
        </w:tc>
      </w:tr>
      <w:tr>
        <w:trPr>
          <w:trHeight w:val="117"/>
        </w:trPr>
        <w:tc>
          <w:tcPr>
            <w:tcW w:w="1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of issuance costs of $742</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Sale of common stock in</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follow-on public offering, net</w:t>
            </w:r>
          </w:p>
        </w:tc>
        <w:tc>
          <w:tcPr>
            <w:tcW w:w="780" w:type="dxa"/>
            <w:vAlign w:val="bottom"/>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8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3,015,919</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138,508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138,508</w:t>
            </w:r>
          </w:p>
        </w:tc>
        <w:tc>
          <w:tcPr>
            <w:tcW w:w="0" w:type="dxa"/>
            <w:vAlign w:val="bottom"/>
          </w:tcPr>
          <w:p>
            <w:pPr>
              <w:spacing w:after="0"/>
              <w:rPr>
                <w:sz w:val="1"/>
                <w:szCs w:val="1"/>
                <w:color w:val="auto"/>
              </w:rPr>
            </w:pPr>
          </w:p>
        </w:tc>
      </w:tr>
      <w:tr>
        <w:trPr>
          <w:trHeight w:val="117"/>
        </w:trPr>
        <w:tc>
          <w:tcPr>
            <w:tcW w:w="1980" w:type="dxa"/>
            <w:vAlign w:val="bottom"/>
          </w:tcPr>
          <w:p>
            <w:pPr>
              <w:ind w:left="80"/>
              <w:spacing w:after="0"/>
              <w:rPr>
                <w:sz w:val="20"/>
                <w:szCs w:val="20"/>
                <w:color w:val="auto"/>
              </w:rPr>
            </w:pPr>
            <w:r>
              <w:rPr>
                <w:rFonts w:ascii="Times New Roman" w:cs="Times New Roman" w:eastAsia="Times New Roman" w:hAnsi="Times New Roman"/>
                <w:sz w:val="9"/>
                <w:szCs w:val="9"/>
                <w:color w:val="auto"/>
              </w:rPr>
              <w:t>of issuance costs of $9,272</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Sale of pre-funded warrants</w:t>
            </w:r>
          </w:p>
        </w:tc>
        <w:tc>
          <w:tcPr>
            <w:tcW w:w="7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80" w:type="dxa"/>
            <w:vAlign w:val="bottom"/>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in follow-on public offering,</w:t>
            </w:r>
          </w:p>
        </w:tc>
        <w:tc>
          <w:tcPr>
            <w:tcW w:w="78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80" w:type="dxa"/>
            <w:vAlign w:val="bottom"/>
            <w:gridSpan w:val="2"/>
            <w:shd w:val="clear" w:color="auto" w:fill="CFF0FC"/>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ind w:right="9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4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FF0FC"/>
          </w:tcPr>
          <w:p>
            <w:pPr>
              <w:spacing w:after="0"/>
              <w:rPr>
                <w:sz w:val="8"/>
                <w:szCs w:val="8"/>
                <w:color w:val="auto"/>
              </w:rPr>
            </w:pPr>
          </w:p>
        </w:tc>
        <w:tc>
          <w:tcPr>
            <w:tcW w:w="3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9,373</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Times New Roman" w:cs="Times New Roman" w:eastAsia="Times New Roman" w:hAnsi="Times New Roman"/>
                <w:sz w:val="9"/>
                <w:szCs w:val="9"/>
                <w:color w:val="auto"/>
              </w:rPr>
              <w:t>9,373</w:t>
            </w:r>
          </w:p>
        </w:tc>
        <w:tc>
          <w:tcPr>
            <w:tcW w:w="0" w:type="dxa"/>
            <w:vAlign w:val="bottom"/>
          </w:tcPr>
          <w:p>
            <w:pPr>
              <w:spacing w:after="0"/>
              <w:rPr>
                <w:sz w:val="1"/>
                <w:szCs w:val="1"/>
                <w:color w:val="auto"/>
              </w:rPr>
            </w:pPr>
          </w:p>
        </w:tc>
      </w:tr>
      <w:tr>
        <w:trPr>
          <w:trHeight w:val="117"/>
        </w:trPr>
        <w:tc>
          <w:tcPr>
            <w:tcW w:w="1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net of issuance costs of $627</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Issuance of common stock</w:t>
            </w:r>
          </w:p>
        </w:tc>
        <w:tc>
          <w:tcPr>
            <w:tcW w:w="78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4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1,229,221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17"/>
        </w:trPr>
        <w:tc>
          <w:tcPr>
            <w:tcW w:w="1980" w:type="dxa"/>
            <w:vAlign w:val="bottom"/>
          </w:tcPr>
          <w:p>
            <w:pPr>
              <w:ind w:left="80"/>
              <w:spacing w:after="0"/>
              <w:rPr>
                <w:sz w:val="20"/>
                <w:szCs w:val="20"/>
                <w:color w:val="auto"/>
              </w:rPr>
            </w:pPr>
            <w:r>
              <w:rPr>
                <w:rFonts w:ascii="Times New Roman" w:cs="Times New Roman" w:eastAsia="Times New Roman" w:hAnsi="Times New Roman"/>
                <w:sz w:val="9"/>
                <w:szCs w:val="9"/>
                <w:color w:val="auto"/>
              </w:rPr>
              <w:t>upon exercise of warrants</w:t>
            </w: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7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(76,429 )</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(76,429 )</w:t>
            </w:r>
          </w:p>
        </w:tc>
        <w:tc>
          <w:tcPr>
            <w:tcW w:w="0" w:type="dxa"/>
            <w:vAlign w:val="bottom"/>
          </w:tcPr>
          <w:p>
            <w:pPr>
              <w:spacing w:after="0"/>
              <w:rPr>
                <w:sz w:val="1"/>
                <w:szCs w:val="1"/>
                <w:color w:val="auto"/>
              </w:rPr>
            </w:pPr>
          </w:p>
        </w:tc>
      </w:tr>
      <w:tr>
        <w:trPr>
          <w:trHeight w:val="115"/>
        </w:trPr>
        <w:tc>
          <w:tcPr>
            <w:tcW w:w="198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December 31, 2023</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24,360,233</w:t>
            </w:r>
          </w:p>
        </w:tc>
        <w:tc>
          <w:tcPr>
            <w:tcW w:w="1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w:t>
            </w:r>
          </w:p>
        </w:tc>
        <w:tc>
          <w:tcPr>
            <w:tcW w:w="22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533,764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(188,645 )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345,121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-3419475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-3402330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-3419475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-3402330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-3419475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-3402330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-3419475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-3402330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-3419475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-3402330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-3419475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-3402330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-3419475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-3402330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-3419475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-3402330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-3419475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-3402330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-2134235</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-2116455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-2134235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-2116455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-2134235</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-2116455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-2134235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-2116455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-2134235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-2116455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-2309495</wp:posOffset>
            </wp:positionV>
            <wp:extent cx="4800600" cy="7194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00600" cy="7194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-111125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-111125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-111125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-111125</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-111125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-111125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-111125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-111125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-111125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-200660</wp:posOffset>
            </wp:positionV>
            <wp:extent cx="81280" cy="2139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280" cy="21399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(76,429 )</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(46,827 )</w:t>
            </w: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5,530</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2,089</w:t>
            </w:r>
          </w:p>
        </w:tc>
      </w:tr>
      <w:tr>
        <w:trPr>
          <w:trHeight w:val="23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r>
      <w:tr>
        <w:trPr>
          <w:trHeight w:val="23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3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(1,166 )</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r>
      <w:tr>
        <w:trPr>
          <w:trHeight w:val="23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r>
      <w:tr>
        <w:trPr>
          <w:trHeight w:val="247"/>
        </w:trPr>
        <w:tc>
          <w:tcPr>
            <w:tcW w:w="73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(3,741 )</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526</w:t>
            </w:r>
          </w:p>
        </w:tc>
      </w:tr>
      <w:tr>
        <w:trPr>
          <w:trHeight w:val="23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1,502</w:t>
            </w:r>
          </w:p>
        </w:tc>
      </w:tr>
      <w:tr>
        <w:trPr>
          <w:trHeight w:val="243"/>
        </w:trPr>
        <w:tc>
          <w:tcPr>
            <w:tcW w:w="73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36"/>
        </w:trPr>
        <w:tc>
          <w:tcPr>
            <w:tcW w:w="7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(73,462 )</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(42,252 )</w:t>
            </w:r>
          </w:p>
        </w:tc>
      </w:tr>
      <w:tr>
        <w:trPr>
          <w:trHeight w:val="241"/>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10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offerings, net of issuance costs paid</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199,078</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pre-funded warrants in offerings, net of issuance costs paid</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37,579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in pre-closing financing</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53,500</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acquired in connection with the reverse recapitalization</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97,403</w:t>
            </w: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reverse recapitalization transaction costs</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(2,144 )</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r>
      <w:tr>
        <w:trPr>
          <w:trHeight w:val="23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239,379</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148,978</w:t>
            </w:r>
          </w:p>
        </w:tc>
      </w:tr>
      <w:tr>
        <w:trPr>
          <w:trHeight w:val="237"/>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165,828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106,575</w:t>
            </w:r>
          </w:p>
        </w:tc>
      </w:tr>
      <w:tr>
        <w:trPr>
          <w:trHeight w:val="24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194,788</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88,213</w:t>
            </w:r>
          </w:p>
        </w:tc>
      </w:tr>
      <w:tr>
        <w:trPr>
          <w:trHeight w:val="23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360,616</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194,788</w:t>
            </w:r>
          </w:p>
        </w:tc>
      </w:tr>
      <w:tr>
        <w:trPr>
          <w:trHeight w:val="20"/>
        </w:trPr>
        <w:tc>
          <w:tcPr>
            <w:tcW w:w="7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1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1"/>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right-of-use assets related to lease modifications and reassessment events</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operating lease liabilities due to lease modifications and reassessment events</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 for proceeds from stock option exercises included in other current assets</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issuance costs on sale of common stock and pre-funded warrants in</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48"/>
        </w:trPr>
        <w:tc>
          <w:tcPr>
            <w:tcW w:w="7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offerings included in accounts payable and accrued expenses</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5,792</w:t>
            </w:r>
          </w:p>
        </w:tc>
      </w:tr>
      <w:tr>
        <w:trPr>
          <w:trHeight w:val="234"/>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 of derivative liability upon issuance of common stock to Roche</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-4211320</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-3568700</wp:posOffset>
            </wp:positionV>
            <wp:extent cx="1200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-2317115</wp:posOffset>
            </wp:positionV>
            <wp:extent cx="1200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-1999615</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Merger with Gemini</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 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(specifically, Gemini’s intellectual property assets (“Gemini IP”), which the Company assumed in the merger) during the period that is one year after the closing of the merger, calculated in accordance with the CVR Agreement. In accordance with the CVR Agreement, the holders of the CVRs would receive proceeds from any disposition of the Gemini pre-merger assets, net of costs incurred by the Company in performance of its obligations under the CVR Agreement in excess of $250,000, paid in the form of common stock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9" w:name="page120"/>
    <w:bookmarkEnd w:id="11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based on the weighted average stock price of the Company for the five trading days prior to the issuance of the payment to the holders of the CVRs.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satisfy its obligations with respect to the CVRs and the Gemini IP, the Company hired an outside firm to attempt to sell the Gemini IP, which firm previously was unsuccessful in finding a buyer for the Gemini IP. In June 2023, the Company received an offer for the Gemini IP and recorded a $1.5 million liability representing the estimated fair value of the Company’s obligation to the holders of the CVRs based on the offer. However, the counterparty and the Company were unable to come to an agreement on the terms of the offer.</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disposition period ended December 29, 2023 and no dispositions of Gemini's pre-merger assets were made during the disposition period. Therefore, there were no CVR payments made to the holders and there will not be any future CVR payments to the holders (See Note 4). As such, the Company’s obligations under the CVR Agreement have expired and the CVRs are valueless. In December 2023, the Company recognized the reversal of the $1.5 million liability in the consolidated statements of operations and comprehensive loss within the change in fair value of contingent value right liability.</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no additional obligations or plans with respect to Gemini’s pre-merger assets. The Company has generated no revenue from Gemini’s pre-merger assets and has incurred approximately $1.6 million in aggregate costs (including maintenance of license agreements, storage, legal and other fees) for the twelve months ended December 31, 2023, to maintain Gemini’s pre-merger assets solely in order to fulfill the Company’s obligations under the CVR Agreement.</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Merger Agreement, certain third parties entered into a subscription agreement with Private Disc to purchase shares of Private Disc’s common stock for an aggregate purchase price of $53.5 million (the “pre-closing financing”). Shares of Private Disc’s common stock issued pursuant to the pre-closing financing were converted into shares of the Company’s common stock based on the Exchange Ratio.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spacing w:after="0" w:line="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terms of the Roche Agreement (see Note 4), immediately following the Effective Time, the Company issued 482,313 shares of the combined company to Roche for no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 and Exchange Ratio</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issued and outstanding Private Disc common stock, convertible preferred stock and options prior to the effective date of the merger have been retroactively adjusted to reflect the 0.1096 Exchange Ratio, which reflects the impact of the reverse stock split,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The Company expects that its existing cash and cash equivalents as of December 31, 2023 of $360.4 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2023, the Company had an accumulated deficit of $188.6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right="160" w:firstLine="509"/>
        <w:spacing w:after="0" w:line="289" w:lineRule="auto"/>
        <w:rPr>
          <w:sz w:val="20"/>
          <w:szCs w:val="20"/>
          <w:color w:val="auto"/>
        </w:rPr>
      </w:pPr>
      <w:r>
        <w:rPr>
          <w:rFonts w:ascii="Times New Roman" w:cs="Times New Roman" w:eastAsia="Times New Roman" w:hAnsi="Times New Roman"/>
          <w:sz w:val="17"/>
          <w:szCs w:val="17"/>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5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4); the fair value of Gemini’s development programs at the Effective Time; the fair value of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assembled a portfolio of clinical and preclinical product candidates that aim to modify fundamental biological pathways associated with the formation and function of red blood cells, specifically heme biosynthesis and iron homeostasis.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Cash and cash equivalents include cash in readily available checking and money market accounts and U.S. treasury notes with original maturities of three months or less at the date of purchase. Cash equivalents are reflected at fair value based on quoted market prices as further described in Note 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letters of credit totaling $0.2 million for the benefit of its landlords related to its current leased and subleased office space in Watertown, Massachusetts which is classified within other assets.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1" w:name="page122"/>
    <w:bookmarkEnd w:id="121"/>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maintained a letter of credit of less than $0.1 million for leased space in Cambridge, Massachusetts, which was classified within prepaids and other current assets as of December 31, 2022. This lease was terminated in 2021 and the letter of credit was subsequently returned and released from restricted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(deficit)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Private Disc had capitalized deferred transaction costs of $1.7 million related to a planned equity financing. During </w:t>
      </w:r>
      <w:r>
        <w:rPr>
          <w:rFonts w:ascii="Times New Roman" w:cs="Times New Roman" w:eastAsia="Times New Roman" w:hAnsi="Times New Roman"/>
          <w:sz w:val="18"/>
          <w:szCs w:val="18"/>
          <w:color w:val="242424"/>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Private Disc </w:t>
      </w:r>
      <w:r>
        <w:rPr>
          <w:rFonts w:ascii="Times New Roman" w:cs="Times New Roman" w:eastAsia="Times New Roman" w:hAnsi="Times New Roman"/>
          <w:sz w:val="18"/>
          <w:szCs w:val="18"/>
          <w:color w:val="000000"/>
        </w:rPr>
        <w:t>concluded not to proceed with the planned equity financing and expensed the related deferred transaction costs of $2.2 million to general and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administrative expenses</w:t>
      </w:r>
      <w:r>
        <w:rPr>
          <w:rFonts w:ascii="Times New Roman" w:cs="Times New Roman" w:eastAsia="Times New Roman" w:hAnsi="Times New Roman"/>
          <w:sz w:val="18"/>
          <w:szCs w:val="18"/>
          <w:color w:val="242424"/>
        </w:rPr>
        <w:t>. During 2022, the Company capitalized deferred transaction costs related to the merger of $7.9 million. At the Effective Time,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Company reclassified the capitalized deferred transaction costs to reduce additional paid-in capital generated as a result of the merger. As of December 31, 2023, the Company capitalized deferred costs related to its at-the-market program and shelf registration of $0.5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79"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in which little or no market activity exists, therefore requiring an entity to develop its own assumptions about the assumptions that market participants would use in pricing.</w:t>
      </w:r>
    </w:p>
    <w:p>
      <w:pPr>
        <w:spacing w:after="0" w:line="5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equivalents are determined according to the fair value hierarchy described above (see Note 4). The carrying values of the Company’s prepaid expenses and other current assets, accounts payable and accrued expenses approximate their fair values due to the short-term nature of these assets and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lives of the assets. Depreciation on leasehold improvements is recognized over the shorter of the useful life of the assets or the estimated remaining term of the associated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r>
      <w:tr>
        <w:trPr>
          <w:trHeight w:val="187"/>
        </w:trPr>
        <w:tc>
          <w:tcPr>
            <w:tcW w:w="9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37"/>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 years</w:t>
            </w: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9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in depreciation expense over the estimated useful life of the related asset of 3.0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required under the applicable accounting guidance, the Company periodically reevaluates the original assumptions and rationale used in the establishment of the carrying value and estimated lives of all of its long-lived assets, including property and equipment. 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twelve months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its leases under ASC 842. 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for any class of underlying asset.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Leases are classified at their lease commencement date, which is defined as the date on which the lessor makes the underlying asset available for use by the lessee, as either operating or finance leases based on the economic substance of the agreement. All of the Company’s leases are classified as operating leases. Operating lease liabilities and their corresponding ROU assets are recorded based on the present value of future lease payments over the expected remaining lease term. Fixed lease cost for operating leases is recognized on a straight-line basis over the lease term as an operating expense. Variable lease costs, such as common area maintenance expenses, are recognized in the period incurred. Certain adjustments to the ROU asset may be required for items such as lease prepayments or incentives received. The interest rate implicit in lease contracts is typically not readily determinable. As a result, the Company utilizes its estimated incremental borrowing rate, which reflects the estimated fixed rate at which the Company could borrow on a collateralized basis the amount of the lease payments in the same currency, for a similar term, in a similar economic environment.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elected to account for the lease and non-lease components together for existing classes of underlying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the guidance of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when determining the classification and measurement of its preferred stock. Preferred stock subject to mandatory redemption (if any) are classified as liability instruments and are measured at fair value. The Company classifies contingently redeemable preferred stock (if any),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 (deficit).</w:t>
      </w:r>
    </w:p>
    <w:p>
      <w:pPr>
        <w:spacing w:after="0" w:line="7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Prior to the merger, Private Disc classified its convertible preferred stock as temporary equity due to terms that allowed for redemption of the shares upon the occurrence of a contingent event that was not solely within the Private Disc's control. Private Disc did not accrete the carrying values of the preferred stock to the redemption values since the contingent event was not considered probable prior to their conversion to common stock at the Effective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the acquired in-process research and development does not have an alternative future use, any related upfront license payment is expensed as incurred in accordance with guidance in ASC Topic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3" w:name="page124"/>
    <w:bookmarkEnd w:id="123"/>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 xml:space="preserve">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In general, contingent payments are recognized when it becomes probable the payment will be required.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7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general and administrative expenses within the Company’s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Company accounts for all stock-based awards granted to employees and non-employees as stock-based compensation expense at fair value.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The fair value of each restricted stock award is estimated on the date of grant based on the fair value of the Company’s common stock on that same date.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7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11 for a summary of the stock-based award activity under the Company’s stock-based compensation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 on Grant Dates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 Company Equity Securities Issued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24" w:name="page125"/>
    <w:bookmarkEnd w:id="124"/>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as Compensation</w:t>
      </w:r>
      <w:r>
        <w:rPr>
          <w:rFonts w:ascii="Times New Roman" w:cs="Times New Roman" w:eastAsia="Times New Roman" w:hAnsi="Times New Roman"/>
          <w:sz w:val="18"/>
          <w:szCs w:val="18"/>
          <w:color w:val="auto"/>
        </w:rPr>
        <w:t>. In determining the exercise prices for options granted, Private Disc considered the estimated fair value of the common stock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1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2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 Company’s comprehensive loss was equal to net loss for the twelve months ended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at December 31, 2023 or 2022.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Massachusetts. The Company’s income tax returns are subject to review and tax assessment from an income tax examination. As of December 31, 2023, the Company was not under examination by the Internal Revenue Service or other jurisdictions for any tax year.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Net loss per share attributable to common stockholders is calculated using the two-class method, which is an earnings allocation formula that determines net loss per share for the holders of the Company’s common shares and participating securities. The Company’s Preferred Stock contained participation rights in any dividend paid by the Company and was deemed to be a participating security. Net income attributable to common stockholders and participating preferred shares, if applicable, are allocated to each share as if all of the earnings for the period had been distributed. The participating securities did not include a contractual obligation to share in losses of the Company and were not included in the calculation of net loss per share in the periods in which a net loss is recorded. Net loss attributable to common stockholders is equal to the net loss for the period.</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treasury stock method and if-converted method. The Company allocates earnings first to preferred stockholders, if applicable, based on dividend rights and then to common and preferred stockholders, if applicable, based on ownership interests. The weighted-average number of common shares included in the computation of diluted net loss gives effect to all potentially dilutive common equivalent shares, including outstanding stock options and Preferred Stock. 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consolidated balance sheet date but prior to the issuance of the consolidated financial statements to provide additional evidence for certain estimates or to identify matters that require additional disclosure. The Company has evaluated events occurring after the date of its consolidated balance sheet, through March 21, 2024, the date these consolidated financial statements were available to be issued (see Note 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has been subsequently amended by ASU 2018-19, ASU 2019-04, ASU 2019-05, ASU 2019-10, ASU 2019-11, ASU 2020-03, and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The Company adopted ASU 2016-13 on January 1, 2023 using the modified retrospective approach. The adoption of this standard did not have a material effect on the Company’s financial position, results of operations or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3. Reverse Merger with Gemini</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 goodwill or intangible assets were recognized. Consequently, the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p>
    <w:p>
      <w:pPr>
        <w:spacing w:after="0" w:line="18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part of the reverse recapitalization, the Company acquired $97.4 million of cash and cash equivalents. The Company also obtained prepaids and other assets of $1.8 million and assumed accounts payable and accrued expenses of $7.8 million. Gemini’s development programs had ceased prior to the merger and were deemed to be de minimis in value at the transaction date.</w:t>
      </w:r>
    </w:p>
    <w:p>
      <w:pPr>
        <w:spacing w:after="0" w:line="17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recognized $0.6 million in share-based compensation expense as a result of the acceleration of vesting of stock options, performance stock units and restricted stock units at the time of merger. This amount was recorded in general and administrative expense in the accompanying consolidated statements of operations and comprehensive loss for the year ended December 31, 2022. The Company also incurred transaction costs of $7.9 million and this amount is recorded in additional paid-in capital in the accompanying consolidated statements of convertible preferred stock and stockholders’ equity (deficit) for the year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55,001</w:t>
            </w:r>
          </w:p>
        </w:tc>
        <w:tc>
          <w:tcPr>
            <w:tcW w:w="4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255,419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55,001</w:t>
            </w:r>
          </w:p>
        </w:tc>
        <w:tc>
          <w:tcPr>
            <w:tcW w:w="4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255,419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484"/>
        </w:trPr>
        <w:tc>
          <w:tcPr>
            <w:tcW w:w="6640" w:type="dxa"/>
            <w:vAlign w:val="bottom"/>
            <w:tcBorders>
              <w:top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top w:val="single" w:sz="8" w:color="CFF0FC"/>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169"/>
        </w:trPr>
        <w:tc>
          <w:tcPr>
            <w:tcW w:w="6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40,783</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40,783</w:t>
            </w:r>
          </w:p>
        </w:tc>
        <w:tc>
          <w:tcPr>
            <w:tcW w:w="4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-1122045</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-1104900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-1122045</wp:posOffset>
            </wp:positionV>
            <wp:extent cx="93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-1104900</wp:posOffset>
            </wp:positionV>
            <wp:extent cx="93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notes with original maturities of three months or less, is determined through third-party pricing services. The amortized cost of the U.S. treasury notes approximates the fair value. There have been no impairments of the Company’s assets measured and carried at fair value during the twelve months ended December 31, 2023 and 2022. In addition, there were no changes in valuation techniques or transfers between Level 1, Level 2 and Level 3 financial assets during the twelve months ended December 31, 2023 and 2022. The Company did not have any non-recurring fair value measurements on any assets or liabilities during the twelve months ended December 31, 2023 and 2022.</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8. The Company recognized a liability in connection with the Roche Agreement which included an obligation to issue a variable number of shares of the Company’s common stock to Roche for no additional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7" w:name="page128"/>
    <w:bookmarkEnd w:id="127"/>
    <w:p>
      <w:pPr>
        <w:ind w:right="20"/>
        <w:spacing w:after="0" w:line="253" w:lineRule="auto"/>
        <w:rPr>
          <w:sz w:val="20"/>
          <w:szCs w:val="20"/>
          <w:color w:val="auto"/>
        </w:rPr>
      </w:pPr>
      <w:r>
        <w:rPr>
          <w:rFonts w:ascii="Times New Roman" w:cs="Times New Roman" w:eastAsia="Times New Roman" w:hAnsi="Times New Roman"/>
          <w:sz w:val="18"/>
          <w:szCs w:val="18"/>
          <w:color w:val="auto"/>
        </w:rPr>
        <w:t>consideration upon the Company’s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the Company’s estimated shares outstanding and fair value per share upon completion of a Roche Qualified Transaction and (2) the probability of the Company completing a Roche Qualified Transaction.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The Company remeasured the derivative liability based on the stock price of its publicly-traded common stock on December 29, 2022. The change in the fair value for the period was recorded in the consolidated statements of operations and comprehensive loss in the change in fair value of derivative liability. Upon completion of the merger, the Company issued 482,313 shares of common stock to Roche, thereby settling the derivative liability, with the fair value of the common stock at the time of issuance recorded as additional paid-in capital.</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Level 3 liabilities related to the Roche Agreement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8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9"/>
        </w:trPr>
        <w:tc>
          <w:tcPr>
            <w:tcW w:w="8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Derivative liability</w:t>
            </w:r>
          </w:p>
        </w:tc>
      </w:tr>
      <w:tr>
        <w:trPr>
          <w:trHeight w:val="237"/>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6,450</w:t>
            </w: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400" w:type="dxa"/>
            <w:vAlign w:val="bottom"/>
          </w:tcPr>
          <w:p>
            <w:pPr>
              <w:spacing w:after="0"/>
              <w:rPr>
                <w:sz w:val="20"/>
                <w:szCs w:val="20"/>
                <w:color w:val="auto"/>
              </w:rPr>
            </w:pPr>
          </w:p>
        </w:tc>
        <w:tc>
          <w:tcPr>
            <w:tcW w:w="2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 of derivative liability upon issuance of common stock to Roche</w:t>
            </w:r>
          </w:p>
        </w:tc>
        <w:tc>
          <w:tcPr>
            <w:tcW w:w="400" w:type="dxa"/>
            <w:vAlign w:val="bottom"/>
            <w:tcBorders>
              <w:bottom w:val="single" w:sz="8" w:color="auto"/>
            </w:tcBorders>
            <w:shd w:val="clear" w:color="auto" w:fill="CFF0FC"/>
          </w:tcPr>
          <w:p>
            <w:pPr>
              <w:spacing w:after="0"/>
              <w:rPr>
                <w:sz w:val="21"/>
                <w:szCs w:val="21"/>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(6,511 )</w:t>
            </w:r>
          </w:p>
        </w:tc>
      </w:tr>
      <w:tr>
        <w:trPr>
          <w:trHeight w:val="237"/>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described in Note 1, in connection with the merger, the stockholders of Gemini at the Effective Time received a CVR to receive consideration from the Company upon its receipt of certain proceeds, resulting from a disposition of Gemini’s pre-merger assets within one year after the closing of the merger, calculated in accordance with the CVR Agreement. The disposition period ended December 29, 2023 and no dispositions of Gemini's pre-merger assets were made during the disposition period. Therefore, there were no CVR payments made to the holders and there will not be any future CVR payments to the holders. The fair value of the CVR liability was zero and de minimis as of December 31, 2023 and 2022, respectively. The fair value of the CVR liability was determined based on significant inputs not observable in the market, which represents a Level 3 measurement within the fair value hierarchy. The Company used a discounted cash flow approach to value the CVR liability. As inputs into the valuation, the Company considered the probabilities of success of certain potential payments, the amount of the payments, and a discount rate of 13.2% determined using an implied credit spread adjusted based on companies with similar credit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360,382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194,611</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on the</w:t>
            </w:r>
          </w:p>
        </w:tc>
        <w:tc>
          <w:tcPr>
            <w:tcW w:w="960" w:type="dxa"/>
            <w:vAlign w:val="bottom"/>
            <w:vMerge w:val="restart"/>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360,616</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194,788</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960" w:type="dxa"/>
            <w:vAlign w:val="bottom"/>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400" w:type="dxa"/>
            <w:vAlign w:val="bottom"/>
            <w:gridSpan w:val="2"/>
            <w:vMerge w:val="continue"/>
            <w:shd w:val="clear" w:color="auto" w:fill="CFF0FC"/>
          </w:tcPr>
          <w:p>
            <w:pPr>
              <w:spacing w:after="0"/>
              <w:rPr>
                <w:sz w:val="21"/>
                <w:szCs w:val="21"/>
                <w:color w:val="auto"/>
              </w:rPr>
            </w:pPr>
          </w:p>
        </w:tc>
        <w:tc>
          <w:tcPr>
            <w:tcW w:w="144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20" w:type="dxa"/>
            <w:vAlign w:val="bottom"/>
          </w:tcPr>
          <w:p>
            <w:pPr>
              <w:spacing w:after="0"/>
              <w:rPr>
                <w:sz w:val="24"/>
                <w:szCs w:val="2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9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7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-2510790</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-2493645</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-1087755</wp:posOffset>
            </wp:positionV>
            <wp:extent cx="1111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5,790</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3,623</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1,817</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463</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206</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8,145</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Development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and Master Service Agreement with Aurigene Discoveries Technology Limited (“Aurigene”)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 incurred basis. The Company terminated the master service agreement effective in March 2023.</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2023 and 2022, the Company recorded research and development expense of $0.3 million and $0.8 million, respectively, related to its arrangements with Aurigene.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Private Disc entered into an agreement with AbbVie, pursuant to which AbbVie granted Private Disc an exclusive license, with the right to grant sublicenses, to certain AbbVie intellectual property.</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this agreement, Private Disc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December 31, 2023, none of the milestones had been achieved.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Roche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Roche Agreement, the Company paid Roche an upfront, non-refundable exclusivity payment of $0.5 million in March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execution of the Roche Agreement in May 2021, the Company paid Roche an additional upfront, non-refundable payment of $4.0 million.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As of December 31, 2023, none of the milestones had been achieved. Roche is also eligible to receive tiered royalties on net sales of commercialized products, at rates ranging from high single-digits to high teens.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8"/>
          <w:szCs w:val="18"/>
          <w:color w:val="auto"/>
        </w:rPr>
        <w:t>A description of the derivative liability related to the Roche agreement settled in 2022 is included in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October 2023, the Company dosed the first patient in the Phase 1 clinical trial of polycythemia vera for DISC-3405, resulting in a milestone payment of $5.0 million due to Mabwell.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was authorized to issue up to 10,000,000 shares of preferred stock at a par value of $0.0001, with no shares issued or outstanding.</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At the closing of the merger, the shares of Private Disc’s common stock were converted into shares of the Company’s common stock based on the Exchange Ratio.</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authorized capital stock of the Company included 100,000,000 shares of common stock, $0.0001 par value per share. Prior to the merger, the holders of Private Disc’s common stock were subject to and qualified by the rights, powers and preferences of the holders of the Preferred Stock. Each share of common stock entitles the holder to one vote on all matters submitted to the stockholders for a vote.</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reserved 2,459,037 and 2,640,590, respectively, of common stock for the exercise of stock options and 204,081 shares of common stock were reserved for the exercise of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Resulting from the Merger</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Employee Stock Purchase Plan (the “2021 ESPP”).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issuance costs of $0.3 million as general and administrative expense in the consolidated statements of operations and comprehensive loss for the nine months ended September 30, 2023.</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had sold an aggregate of 825,350 shares of common stock in ATM offerings under the January 2023 Shelf and pursuant to the Sales Agreement. Aggregate gross proceeds from the transactions were $20.0 million and the Company received $19.5 million in net proceeds, after deducting placement agent fees and offering expenses.</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sold an aggregate of 141,914 shares of common stock in ATM offerings under the November 2023 Shelf and pursuant to the ATM Agreement. Aggregate gross proceeds from the transactions were $7.2 million and the Company received $7.0 million in net proceeds, after deducting placement agent fees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pre-funded warrants meet the condition for equity classification and were therefore recorded as a component of stockholders’ equity within additional paid-in capital at the time of their issuance.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2023, all of the pre-funded warrants were exercised in a cashless transaction which resulted in 1,229,221 shares of common stock being issued to the investor.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December 31, 2023, none of the 204,081 pre-funded warrants had been exercised.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1" w:name="page132"/>
    <w:bookmarkEnd w:id="131"/>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Private Disc adopted the 2017 Stock Option and Grant Plan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 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as of December 31, 2023 and 2022 was 1,505,624 and 1,672,599 shares, respectively. As of December 31, 2023 and 2022, there are no options available for grant. Upon completion of the merger, the Company ceased granting awards under the Private Disc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121"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December 31, 2023, 1,561,926 shares remained available for future issuance under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w:t>
      </w:r>
    </w:p>
    <w:p>
      <w:pPr>
        <w:spacing w:after="0" w:line="7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July 2021, Gemini’s board of directors approved the 2021 Employee Stock Purchase Plan (the "2021 ESPP"). The first offering period under the 2021 ESPP began on December 1, 2021. As of December 31, 2023, 222,953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Company’s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From the completion of the merger through December 31, 2023, the Company had not granted awards under the 2021 Inducement Plan. As of December 31, 2023, 153,712 shares remained available for future issuance under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Merger with Gemini</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merger, each option to purchase shares of Private Disc common stock that was outstanding and unexercised under the Private Disc Plan immediately prior to the Effective Time, whether or not vested, was converted into an option to purchase shares of Gemini common stock and became eligible to be registered on Form S-8. Gemini assumed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Private Disc Plan, as amended, and each such outstanding option to purchase shares of Private Disc common stock in accordance with the terms (as in effect as of the date of the Merger Agreement) of the Private Disc Plan and the terms of the stock option agreement by which such option to purchase shares of Private Disc common stock is evidenced.</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December 29, 2022, Gemini's shareholders approved amendments to the 2021 Plan and the 2021 ESPP to (i) increase the number of shares of common stock reserved for issuance under the 2021 Plan to a number of shares representing approximately 9% of the fully diluted capitalization of the Company, determined as of immediately following the merger and (ii) increase the number of shares of common stock reserved for issuance under the 2021 ESPP to a number of shares representing approximately 0.84% of the fully diluted capitalization of the Company, determined as of immediately following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Prior to the merger, Private Disc lacked company-specific historical and implied volatility information. Therefore, Private Disc estimated its expected stock volatility based on the historical volatility of a publicly traded set of peer public companies and the Company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5740" w:type="dxa"/>
            <w:vAlign w:val="bottom"/>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2,640,590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16.19</w:t>
            </w:r>
          </w:p>
        </w:tc>
        <w:tc>
          <w:tcPr>
            <w:tcW w:w="1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25,513</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236,503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(142,451 )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111.15</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2,459,037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13.82</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109,078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1,271,208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9.78</w:t>
            </w:r>
          </w:p>
        </w:tc>
        <w:tc>
          <w:tcPr>
            <w:tcW w:w="1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-342265</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2023 and 2022 was $8.3 million and $0.6 million, respectively.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granted were as follows: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Pr>
          <w:p>
            <w:pPr>
              <w:spacing w:after="0"/>
              <w:rPr>
                <w:sz w:val="20"/>
                <w:szCs w:val="20"/>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per share of common stock</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43.42</w:t>
            </w:r>
          </w:p>
        </w:tc>
        <w:tc>
          <w:tcPr>
            <w:tcW w:w="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13.94</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in the years ended December 31, 2023 and 2022 was $26.54 and $8.13 per share, respectively.</w:t>
      </w:r>
    </w:p>
    <w:p>
      <w:pPr>
        <w:spacing w:after="0" w:line="5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2023 and 2022 was $3.7 million and $1.9 million, respectively.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Restricted Common Stock</w:t>
      </w:r>
    </w:p>
    <w:p>
      <w:pPr>
        <w:spacing w:after="0" w:line="121"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As of December 31, 2023,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 As of December 31, 2023, all awards of restricted common stock were fully vested.</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restricted common stock activity is as follows:</w:t>
      </w:r>
    </w:p>
    <w:p>
      <w:pPr>
        <w:spacing w:after="0" w:line="23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beginning of the year</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10,170</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(1,916 )</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(8,254 )</w:t>
            </w: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end of the period</w:t>
            </w:r>
          </w:p>
        </w:tc>
        <w:tc>
          <w:tcPr>
            <w:tcW w:w="10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general and administrative expenses, respectively, for employees, directors and non-employees is as follows (in thousands):</w:t>
      </w:r>
    </w:p>
    <w:p>
      <w:pPr>
        <w:spacing w:after="0" w:line="16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1,767</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1,508</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5,530</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unrecognized stock-based compensation expense related to outstanding awards was $11.5 million and is expected to be recognized over a weighted-average period of 2.63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3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16510</wp:posOffset>
            </wp:positionV>
            <wp:extent cx="22631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1"/>
                <w:szCs w:val="21"/>
                <w:color w:val="auto"/>
              </w:rPr>
            </w:pPr>
          </w:p>
        </w:tc>
      </w:tr>
      <w:tr>
        <w:trPr>
          <w:trHeight w:val="250"/>
        </w:trPr>
        <w:tc>
          <w:tcPr>
            <w:tcW w:w="8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1"/>
                <w:szCs w:val="21"/>
                <w:color w:val="auto"/>
              </w:rPr>
            </w:pPr>
          </w:p>
        </w:tc>
      </w:tr>
      <w:tr>
        <w:trPr>
          <w:trHeight w:val="239"/>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tcPr>
          <w:p>
            <w:pPr>
              <w:spacing w:after="0"/>
              <w:rPr>
                <w:sz w:val="20"/>
                <w:szCs w:val="20"/>
                <w:color w:val="auto"/>
              </w:rPr>
            </w:pPr>
          </w:p>
        </w:tc>
      </w:tr>
      <w:tr>
        <w:trPr>
          <w:trHeight w:val="247"/>
        </w:trPr>
        <w:tc>
          <w:tcPr>
            <w:tcW w:w="8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60" w:type="dxa"/>
            <w:vAlign w:val="bottom"/>
          </w:tcPr>
          <w:p>
            <w:pPr>
              <w:spacing w:after="0"/>
              <w:rPr>
                <w:sz w:val="20"/>
                <w:szCs w:val="20"/>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2023, the Company recorded income tax expense of $0.1 million due to state income tax resulting from higher interest income. For the twelve months ended December 31, 2022, the Company recorded no income tax expense due to the Company’s net operating loss (“NOL”) and full valuation allowance.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134" w:name="page135"/>
    <w:bookmarkEnd w:id="134"/>
    <w:p>
      <w:pPr>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4"/>
                <w:szCs w:val="14"/>
                <w:color w:val="auto"/>
              </w:rPr>
            </w:pPr>
          </w:p>
        </w:tc>
        <w:tc>
          <w:tcPr>
            <w:tcW w:w="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24,312</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18,882</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20,598</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7,608</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98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licenses</w:t>
            </w: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6,890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3,142</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2,416</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62,323</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36,522</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(61,768 )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(36,102 )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9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420</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-822325</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for the twelve months ended December 31, 2023 related to state and foreign income taxes.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2023, the valuation allowance increased by $25.7 million primarily due to the increase in the Company’s net operating loss, capitalized expenditures and tax credit carryforwards during the period.</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$88.1 million and $91.7 million of federal and state operating loss carryforwards, respectively. The pre-merger net operating loss carryforwards of Gemini were written off in the transaction as these would be permanently restricted from use as a result of Section 382 of the Internal Revenue Code of 1986 (“Section 382”). Substantially all of the federal NOLs are not subject to expiration and the state NOLs begin to expire in 2037. These loss carryforwards are available to reduce future federal taxable income, if any. As of December 31, 2023, the Company also had federal and state research and development tax credit carryforwards of $5.8 million and $1.8 million respectively, to offset future income taxes, which will begin to expire beginning in December 2032. These loss carryforwards are subject to review and possible adjustment by the appropriate taxing authorities.</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2023, would limit or otherwise restrict its ability to utilize its NOL and research and development credit carryforwards. In addition, future changes in ownership occurring after December 31, 2023 could affect the limitation in future years, and any limitation may result in expiration of a portion of the NOL or research and development credit carryforwards before utilization.</w:t>
      </w:r>
    </w:p>
    <w:p>
      <w:pPr>
        <w:spacing w:after="0" w:line="8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Beginning in 2022, the Tax Cuts and Jobs Act ("TCJA") amended Section 174 and now requires U.S.-based and non-U.S.-based research and experimental expenditures to be capitalized and amortized over a period of five or 15 years, respectively, for amounts paid in tax years starting after December 31, 2021. Prior to the TCJA amendment, Section 174 allowed taxpayers to immediately deduct research and experimental expenditures in the year paid or incurred. The Company has applied this required change in accounting method beginning in 2022 and the computation may be adjusted pending future IRS guidance.</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December 18, 2015, the Protecting Americans from Tax Hikes (“PATH”) Act of 2015 was signed into law. The PATH Act has created several research and development credit provisions, including allowing a qualified small business to utilize the research credit against the employer portion of payroll tax (i.e., FICA tax) not exceeding $0.3 million per year. This provision 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ind w:right="220"/>
        <w:spacing w:after="0" w:line="282" w:lineRule="auto"/>
        <w:rPr>
          <w:sz w:val="20"/>
          <w:szCs w:val="20"/>
          <w:color w:val="auto"/>
        </w:rPr>
      </w:pPr>
      <w:r>
        <w:rPr>
          <w:rFonts w:ascii="Times New Roman" w:cs="Times New Roman" w:eastAsia="Times New Roman" w:hAnsi="Times New Roman"/>
          <w:sz w:val="18"/>
          <w:szCs w:val="18"/>
          <w:color w:val="auto"/>
        </w:rPr>
        <w:t>available for credits generated in tax years beginning after 2015. The Company does not qualify as a small business for 2023 and will not elect to make a small business election.</w:t>
      </w:r>
    </w:p>
    <w:p>
      <w:pPr>
        <w:spacing w:after="0" w:line="5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2023 and 2022,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2023 and 2022, the Company had no reserves for uncertain tax positions. For the years ended December 31, 2023 and 2022, no estimated interest or penalties were recognized on uncertain tax positions.</w:t>
      </w:r>
    </w:p>
    <w:p>
      <w:pPr>
        <w:spacing w:after="0" w:line="7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Company’s tax returns for the years ended December 31, 2019 to December 31, 2023 remain open and subject to examination by the Internal Revenue Service and state taxing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In September 2023, 1,229,224 of the pre-funded warrants were exercised in a cashless transaction which resulted in 1,229,221 shares of common stock being issued to the investor. As of December 31, 2023, 204,081 pre-funded warrants were outstanding. The following table sets forth the computation of the Company’s basic and diluted net loss per share (in thousands, except share and per share data):</w:t>
      </w:r>
    </w:p>
    <w:p>
      <w:pPr>
        <w:spacing w:after="0" w:line="30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(76,429 )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(46,827 )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22,315,877</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1,039,490</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7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32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1,916</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2,459,037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2,640,590</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twelve months ended December 31, 2023 and 2022 and, to the best of its knowledge, no material legal proceedings are currently pending or threatened.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In October 2021, Private Disc entered into a five-year lease through November 2026 of 7,566 square feet of office space located at 321 Arsenal Street, Watertown, Massachusetts to be used as its corporate headquarters. In June 2023, the lease was amended to allow the landlord to perform certain maintenance activities expected to be completed by the end of 2023 and to provide rent abatement of $0.2 million. The amendment was accounted for as a modification resulting in a new incremental borrowing rate and a reduction to the right-of-use asset and lease liability of $0.2 million. In September 2023, the Company recognized a reassessment event which was accounted for as a modification resulting in a new incremental borrowing rate and a reduction to the right-of-use asset and lease liability of an additional $0.2 million. In November 2023, the Company recognized another reassessment event which was accounted for as a modification resulting in an increase to the right-of-use asset and lease liability of $0.1 million.</w:t>
      </w:r>
    </w:p>
    <w:p>
      <w:pPr>
        <w:spacing w:after="0" w:line="81"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June 2023, the Company entered into a sublease for a term of approximately three and a half years through November 2026, consisting of 9,281 square feet of office space on the second floor of the corporate headquarters in Watertown, Massachusetts. Fixed lease payments include base rent, subject to annual rent increases, and a management fee. Variable lease payments include the Company’s allocated share of costs incurred for real estate taxes, utilities, and other operating expenses applicable to the leased premises. Pursuant to the lease, the Company is also obligated to pay for certain administrative costs, taxes and operating expenses.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422</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177</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12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the Company’s leases is as follows (in thousands, except term and discount rate amounts):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420" w:type="dxa"/>
            <w:vAlign w:val="bottom"/>
            <w:shd w:val="clear" w:color="auto" w:fill="CFF0FC"/>
          </w:tcPr>
          <w:p>
            <w:pPr>
              <w:spacing w:after="0"/>
              <w:rPr>
                <w:sz w:val="20"/>
                <w:szCs w:val="20"/>
                <w:color w:val="auto"/>
              </w:rPr>
            </w:pPr>
          </w:p>
        </w:tc>
        <w:tc>
          <w:tcPr>
            <w:tcW w:w="1860" w:type="dxa"/>
            <w:vAlign w:val="bottom"/>
            <w:gridSpan w:val="5"/>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2.92 years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3.91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520" w:type="dxa"/>
            <w:vAlign w:val="bottom"/>
            <w:gridSpan w:val="2"/>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30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A maturity analysis of the annual undiscounted cash flows reconciled to the carrying value of the operating lease liabilities as of December 31,</w:t>
            </w:r>
          </w:p>
        </w:tc>
        <w:tc>
          <w:tcPr>
            <w:tcW w:w="0" w:type="dxa"/>
            <w:vAlign w:val="bottom"/>
          </w:tcPr>
          <w:p>
            <w:pPr>
              <w:spacing w:after="0"/>
              <w:rPr>
                <w:sz w:val="1"/>
                <w:szCs w:val="1"/>
                <w:color w:val="auto"/>
              </w:rPr>
            </w:pPr>
          </w:p>
        </w:tc>
      </w:tr>
      <w:tr>
        <w:trPr>
          <w:trHeight w:val="234"/>
        </w:trPr>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2023, reflective of the Company’s election to account for lease and non-lease components together, is as follows (in thousands):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6"/>
        </w:trPr>
        <w:tc>
          <w:tcPr>
            <w:tcW w:w="5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3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landlord of the Company’s leased office space in Watertown, Massachusetts is a related party of the Company due to its equity ownership.</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2023, certain existing investors participated in the Company’s registered direct offering (see Note 10).</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2023, an existing investor participated in the Company’s follow-on offering (see Note 10).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after the audited consolidated balance sheet date of December 31, 2023 through the date these consolidated financial statements were issued to ensure that these consolidated financial statements include appropriate disclosure of events both recognized in the consolidated financial statements as of December 31, 2023, and events which occurred subsequently but were not recognized in the consolidated financial statements. Non-recognizable subsequent events are summarized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460" w:firstLine="509"/>
        <w:spacing w:after="0" w:line="312" w:lineRule="auto"/>
        <w:rPr>
          <w:sz w:val="20"/>
          <w:szCs w:val="20"/>
          <w:color w:val="auto"/>
        </w:rPr>
      </w:pPr>
      <w:r>
        <w:rPr>
          <w:rFonts w:ascii="Times New Roman" w:cs="Times New Roman" w:eastAsia="Times New Roman" w:hAnsi="Times New Roman"/>
          <w:sz w:val="17"/>
          <w:szCs w:val="17"/>
          <w:color w:val="auto"/>
        </w:rPr>
        <w:t>As of March 21, 2024, the issuance date of these consolidated financial statements, the Company has sold an aggregate of 234,449 shares of common stock in ATM offerings under the November 2023 Shelf and pursuant to the ATM Agreement for aggregate gross proceeds of $15.3 million.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Principal Executive Officer and Principal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In making this assessment, it used the criteria established in Internal Control—Integrated Framework (2013) issued by the Committee of Sponsoring Organizations of the Treadway Commission (COSO). Based on such assessment, management has concluded that our internal control over financial reporting was effective as of December 31, 2023.</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Other than as discussed above, there have not been any changes in our internal control over financial reporting (as defined in Rules 13a-15(f) and 15d-15(f) under the Exchange Act) occurred during the twelve months ended December 31, 2023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December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Taken</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Aggregate Number</w:t>
            </w:r>
          </w:p>
        </w:tc>
        <w:tc>
          <w:tcPr>
            <w:tcW w:w="1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148"/>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0" w:type="dxa"/>
            <w:vAlign w:val="bottom"/>
          </w:tcPr>
          <w:p>
            <w:pPr>
              <w:spacing w:after="0"/>
              <w:rPr>
                <w:sz w:val="12"/>
                <w:szCs w:val="12"/>
                <w:color w:val="auto"/>
              </w:rPr>
            </w:pPr>
          </w:p>
        </w:tc>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or End Date</w:t>
            </w:r>
          </w:p>
        </w:tc>
        <w:tc>
          <w:tcPr>
            <w:tcW w:w="120" w:type="dxa"/>
            <w:vAlign w:val="bottom"/>
          </w:tcPr>
          <w:p>
            <w:pPr>
              <w:spacing w:after="0"/>
              <w:rPr>
                <w:sz w:val="12"/>
                <w:szCs w:val="12"/>
                <w:color w:val="auto"/>
              </w:rPr>
            </w:pPr>
          </w:p>
        </w:tc>
        <w:tc>
          <w:tcPr>
            <w:tcW w:w="14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 to be</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187"/>
        </w:trPr>
        <w:tc>
          <w:tcPr>
            <w:tcW w:w="16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Action)</w:t>
            </w:r>
          </w:p>
        </w:tc>
        <w:tc>
          <w:tcPr>
            <w:tcW w:w="18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William White</w:t>
            </w:r>
          </w:p>
        </w:tc>
        <w:tc>
          <w:tcPr>
            <w:tcW w:w="160" w:type="dxa"/>
            <w:vAlign w:val="bottom"/>
            <w:shd w:val="clear" w:color="auto" w:fill="CFF0FC"/>
          </w:tcPr>
          <w:p>
            <w:pPr>
              <w:spacing w:after="0"/>
              <w:rPr>
                <w:sz w:val="17"/>
                <w:szCs w:val="17"/>
                <w:color w:val="auto"/>
              </w:rPr>
            </w:pPr>
          </w:p>
        </w:tc>
        <w:tc>
          <w:tcPr>
            <w:tcW w:w="29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Adoption</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rPr>
              <w:t>End Date</w:t>
            </w:r>
          </w:p>
        </w:tc>
        <w:tc>
          <w:tcPr>
            <w:tcW w:w="1520" w:type="dxa"/>
            <w:vAlign w:val="bottom"/>
            <w:gridSpan w:val="2"/>
            <w:shd w:val="clear" w:color="auto" w:fill="CFF0FC"/>
          </w:tcPr>
          <w:p>
            <w:pPr>
              <w:jc w:val="right"/>
              <w:ind w:right="48"/>
              <w:spacing w:after="0" w:line="202" w:lineRule="exact"/>
              <w:rPr>
                <w:sz w:val="20"/>
                <w:szCs w:val="20"/>
                <w:color w:val="auto"/>
              </w:rPr>
            </w:pPr>
            <w:r>
              <w:rPr>
                <w:rFonts w:ascii="Times New Roman" w:cs="Times New Roman" w:eastAsia="Times New Roman" w:hAnsi="Times New Roman"/>
                <w:sz w:val="18"/>
                <w:szCs w:val="18"/>
                <w:color w:val="auto"/>
              </w:rPr>
              <w:t>16,572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60" w:type="dxa"/>
            <w:vAlign w:val="bottom"/>
            <w:shd w:val="clear" w:color="auto" w:fill="CFF0FC"/>
          </w:tcPr>
          <w:p>
            <w:pPr>
              <w:spacing w:after="0"/>
              <w:rPr>
                <w:sz w:val="18"/>
                <w:szCs w:val="18"/>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13, 2023)</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w:t>
            </w: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Trading plan intended to satisfy the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End Date</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23,341</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Chief Medical Officer</w:t>
            </w: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 2023)</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30, 2024)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the individuals who serve as executives and directors of our company as of February 29,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80" w:type="dxa"/>
            <w:vAlign w:val="bottom"/>
            <w:shd w:val="clear" w:color="auto" w:fill="CFF0FC"/>
          </w:tcPr>
          <w:p>
            <w:pPr>
              <w:spacing w:after="0"/>
              <w:rPr>
                <w:sz w:val="20"/>
                <w:szCs w:val="20"/>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Rahul Khara, Pharm.D., J.D.</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43"/>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1"/>
                <w:szCs w:val="2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41</w:t>
            </w: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63</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1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the board and will hold office until his or her successor is duly elected and qualified or until his or her earlier resignation or removal. There are no family relationships among any of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Quisel, J.D., Ph.D. </w:t>
      </w:r>
      <w:r>
        <w:rPr>
          <w:rFonts w:ascii="Times New Roman" w:cs="Times New Roman" w:eastAsia="Times New Roman" w:hAnsi="Times New Roman"/>
          <w:sz w:val="18"/>
          <w:szCs w:val="18"/>
          <w:color w:val="auto"/>
        </w:rPr>
        <w:t>has served as our President, Chief Executive Officer and as a member of our board of directors since February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from October 2006 through February 2020, Dr. Quisel served in various positions at Acceleron Pharma Inc., or Acceleron, a biopharmaceutical company, most recently as Chief Business Officer. Prior to joining Acceleron, Dr. Quisel worked as an associate at the law firms of Ropes &amp; Gray and Foley Hoag. Since November 2023, Dr. Quisel serves as a board member of Gossamer Bio, Inc. (Nasdaq: GOSS).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Franchi </w:t>
      </w:r>
      <w:r>
        <w:rPr>
          <w:rFonts w:ascii="Times New Roman" w:cs="Times New Roman" w:eastAsia="Times New Roman" w:hAnsi="Times New Roman"/>
          <w:sz w:val="18"/>
          <w:szCs w:val="18"/>
          <w:color w:val="auto"/>
        </w:rPr>
        <w:t>has served as our Chief Financial Officer since February 2024. Previously, Ms. Franchi served 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Replimune Group, Inc. (Nasdaq: REPL), a biotechnology company, from December 2019 to June 2023. From August 2017 to May 2019, Ms. Franchi served as the Chief Financial Officer of Merrimack Pharmaceuticals, Inc., a biopharmaceutical company. From August 2015 to July 2017, she served as Chief Financial Officer, Treasurer and Secretary at Dimension Therapeutics, Inc., a biotechnology company. From February 2012 to July 2015, Ms. Franchi served as Chief Financial Officer at Good Start Genetics, Inc., a molecular genetics information company. From 1995 to 2011, Ms. Franchi held various positions at Sanofi S.A., including Senior Vice President of Corporate Finance, Senior Vice President of Business Unit Finance, and Vice President of Finance and Controller, Product Line and International Group. Ms. Franchi holds a B.B.A. from Hofstra University.</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Yu, MBA </w:t>
      </w:r>
      <w:r>
        <w:rPr>
          <w:rFonts w:ascii="Times New Roman" w:cs="Times New Roman" w:eastAsia="Times New Roman" w:hAnsi="Times New Roman"/>
          <w:sz w:val="18"/>
          <w:szCs w:val="18"/>
          <w:color w:val="auto"/>
        </w:rPr>
        <w:t>has served as our Chief Operating Officer since February 2024, and was previously our Chief Business Officer from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February 2024, and our Senior Vice President of Corporate Development from July 2020 to August 2021. Previously, Mr. Yu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and Johnson &amp; Johnson, spanning commercial planning and assessment, business development and finance. Mr. Yu holds an A.B. from Harvard College and an M.B.A. from the Wharton School of the University of Pennsylvania.</w:t>
      </w:r>
    </w:p>
    <w:p>
      <w:pPr>
        <w:spacing w:after="0" w:line="7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Savage, M.D., Ph.D. </w:t>
      </w:r>
      <w:r>
        <w:rPr>
          <w:rFonts w:ascii="Times New Roman" w:cs="Times New Roman" w:eastAsia="Times New Roman" w:hAnsi="Times New Roman"/>
          <w:sz w:val="18"/>
          <w:szCs w:val="18"/>
          <w:color w:val="auto"/>
        </w:rPr>
        <w:t>has served as our Chief Medical Officer since August 2021 and was previously our Vice President, Head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August 2020 to August 2021. Previously, he served as Senior Medical Director at Magenta Therapeutics, a biotechnology company, from July 2019 to July 2020. Prior to Magenta Therapeutics, he was the Global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1" w:name="page142"/>
    <w:bookmarkEnd w:id="141"/>
    <w:p>
      <w:pPr>
        <w:ind w:right="80"/>
        <w:spacing w:after="0" w:line="258" w:lineRule="auto"/>
        <w:rPr>
          <w:sz w:val="20"/>
          <w:szCs w:val="20"/>
          <w:color w:val="auto"/>
        </w:rPr>
      </w:pPr>
      <w:r>
        <w:rPr>
          <w:rFonts w:ascii="Times New Roman" w:cs="Times New Roman" w:eastAsia="Times New Roman" w:hAnsi="Times New Roman"/>
          <w:sz w:val="18"/>
          <w:szCs w:val="18"/>
          <w:color w:val="auto"/>
        </w:rPr>
        <w:t>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Dr. Savage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71"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Pamela Stephenson, MPH </w:t>
      </w:r>
      <w:r>
        <w:rPr>
          <w:rFonts w:ascii="Times New Roman" w:cs="Times New Roman" w:eastAsia="Times New Roman" w:hAnsi="Times New Roman"/>
          <w:sz w:val="18"/>
          <w:szCs w:val="18"/>
          <w:color w:val="auto"/>
        </w:rPr>
        <w:t>has served as our Chief Commercial Officer since February 2024. Previously, Ms. Stephenson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Officer at Albireo Pharma, Inc., a biopharmaceutical company, from March 2019 to April 2023. Prior to that, she served as a Vice President at Vertex Pharmaceuticals, Inc. (Nasdaq:VRTX), a biotechnology company, from July 2008 to March 2019. Prior to Vertex, she held roles of increasing strategic importance at Pfizer Inc. (Nasdaq: PFE), a pharmaceutical company, from October 1998 to June 2008. Ms. Stephenson holds a B.A. from Brown University and an M.P.H. from Boston University School of Public Health.</w:t>
      </w:r>
    </w:p>
    <w:p>
      <w:pPr>
        <w:spacing w:after="0" w:line="71"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Rahul Khara, Pharm.D., J.D., </w:t>
      </w:r>
      <w:r>
        <w:rPr>
          <w:rFonts w:ascii="Times New Roman" w:cs="Times New Roman" w:eastAsia="Times New Roman" w:hAnsi="Times New Roman"/>
          <w:sz w:val="18"/>
          <w:szCs w:val="18"/>
          <w:color w:val="auto"/>
        </w:rPr>
        <w:t>has served as our General Counsel since December 2021 and as our Compliance Officer and Secretary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Dr. Khara previously served as Vice President, Legal and Chief Compliance Officer at Acceleron from August 2018 to December 2021. Prior to joining Acceleron, Dr. Khara was a Senior Associate at the law firm Arnold &amp; Porter LLP from March 2015 to August 2018. Prior to that, Dr. Khara was a Senior Associate at the law firm Sidley Austin LLP from September 2008 to March 2015. Dr. Khara received his J.D. from the University of Michigan Law School and earned a Pharm.D. from Rutgers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Nicholson, Ph.D. </w:t>
      </w:r>
      <w:r>
        <w:rPr>
          <w:rFonts w:ascii="Times New Roman" w:cs="Times New Roman" w:eastAsia="Times New Roman" w:hAnsi="Times New Roman"/>
          <w:sz w:val="18"/>
          <w:szCs w:val="18"/>
          <w:color w:val="auto"/>
        </w:rPr>
        <w:t>has served as Executive Chairman of our board of directors since April 2019. Dr. Nicholson is the former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Nimbus 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Jnana Therapeutics, Muna Therapeutics, Matchpoint Therapeutics and NodThera. Dr. Nicholson previously served on the board of directors of Kymera Therapeutics, Inc. (Nasdaq: KYMR) from November 2017 to November 2022.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7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Mona Ashiya, Ph.D. </w:t>
      </w:r>
      <w:r>
        <w:rPr>
          <w:rFonts w:ascii="Times New Roman" w:cs="Times New Roman" w:eastAsia="Times New Roman" w:hAnsi="Times New Roman"/>
          <w:sz w:val="18"/>
          <w:szCs w:val="18"/>
          <w:color w:val="auto"/>
        </w:rPr>
        <w:t>has served as a member of our board of directors since September 2021. Dr. Ashiya is currently a Partner at OrbiMed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 investment firm, where she has been employed since October 2010. Dr. Ashiya currently serves on the board of directors of several private companies. Dr. Ashiya also previously served on the board of directors of Prevail Therapeutics Inc. (Nasdaq: PRVL), from October 2017 to March 2019, and Sierra Oncology, Inc. (Nasdaq: SRRA), from November 2019 to July 2022.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Bitterman, Ph.D. </w:t>
      </w:r>
      <w:r>
        <w:rPr>
          <w:rFonts w:ascii="Times New Roman" w:cs="Times New Roman" w:eastAsia="Times New Roman" w:hAnsi="Times New Roman"/>
          <w:sz w:val="18"/>
          <w:szCs w:val="18"/>
          <w:color w:val="auto"/>
        </w:rPr>
        <w:t>has served as a member of our board of directors since November 2017. Dr. Bitterman currently serves as a partner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firm Atlas Venture Life Science Advisors, LLC, or Atlas, a venture capital firm, where he has been employed since June 2017 and where he focuses on investments in life science companies. Prior to joining Atlas, Dr. Bitterman was a partner at Polaris Partners, an investment firm, as a member of the healthcare team from July 2004 to May 2017. Dr. Bitterman serves on the boards of Resonance Medicine, Nvelop Therapeutics, Judo Bio, Kinaset Therapeutics, Mariana Oncology, and Remix Therapeutics. He is board chair at Chroma Medicine and at Vedere Bio II following Novartis’ acquisition of Vedere Bio. Dr. Bitterman was the founding CEO of Editas Medicine (Nasdaq: EDIT), Morphic Therapeutics (Nasdaq: MORF) and Wisterra (acquired by Otsuka), and co-founded Genocea Biosciences (Nasdaq: GNCA). Dr. Bitterman previously served as a director of Akero Therapeutics, Inc. (Nasdaq: AKRO), Kala Pharmaceuticals, Inc. (Nasdaq: KALA) and Taris Biomedical (acquired by Johnson &amp; Johnson) among other ventures. Dr. Bitterman also serves as board chair of the New England Venture Capital Association.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74"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Chin, M.S., M.B.A. </w:t>
      </w:r>
      <w:r>
        <w:rPr>
          <w:rFonts w:ascii="Times New Roman" w:cs="Times New Roman" w:eastAsia="Times New Roman" w:hAnsi="Times New Roman"/>
          <w:sz w:val="18"/>
          <w:szCs w:val="18"/>
          <w:color w:val="auto"/>
        </w:rPr>
        <w:t>has served as a member of our board of directors since September 2021. Mr. Chin has served as partner at Avoro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biotechnology-focused investment firm, since November 2023. From April 2020 to November 2023 and August 2016 to April 2020, Mr. Chin served as a managing director and, an investment director, respectively, at Arix</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2" w:name="page143"/>
    <w:bookmarkEnd w:id="142"/>
    <w:p>
      <w:pPr>
        <w:spacing w:after="0" w:line="253" w:lineRule="auto"/>
        <w:rPr>
          <w:sz w:val="20"/>
          <w:szCs w:val="20"/>
          <w:color w:val="auto"/>
        </w:rPr>
      </w:pPr>
      <w:r>
        <w:rPr>
          <w:rFonts w:ascii="Times New Roman" w:cs="Times New Roman" w:eastAsia="Times New Roman" w:hAnsi="Times New Roman"/>
          <w:sz w:val="18"/>
          <w:szCs w:val="18"/>
          <w:color w:val="auto"/>
        </w:rPr>
        <w:t>Bioscience PLC, or Arix Bioscience, a biotechnology-focused venture capital firm. Prior to Arix Bioscience, Mr. Chin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Imara Inc. (Nasdaq: IMRA) and a number of private biotechnology companies. Mr. Chin received a B.S. from the University of California at San Diego, a M.S. from the University of Pennsylvania, and a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p>
    <w:p>
      <w:pPr>
        <w:spacing w:after="0" w:line="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Georges Gemayel, Ph.D. </w:t>
      </w:r>
      <w:r>
        <w:rPr>
          <w:rFonts w:ascii="Times New Roman" w:cs="Times New Roman" w:eastAsia="Times New Roman" w:hAnsi="Times New Roman"/>
          <w:sz w:val="18"/>
          <w:szCs w:val="18"/>
          <w:color w:val="auto"/>
        </w:rPr>
        <w:t>has served as a member of our board of directors since December 2022. Prior to that, Dr. Gemayel served as Gemini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Interim 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 of directors of Supernus Pharmaceuticals, Inc., and is the chair of the boards of Flamingo, Enterome SA, and GlycoEra. Previously, Dr. Gemayel served as Executive Chair of FoldRx Pharmaceuticals and of Syndexa Pharmaceuticals, as Chair of Oxthera AB, Dimension Therapeutics, Orphazyme A/S, Epitherapeutics and Dynacure, and as Director of Prosensa, Raptor Pharmaceuticals, NPS Pharma, Momenta Pharmaceuticals and Adolor. From 2008 to 2009, Dr. Gemayel was President and Chief Executive Officer of Altus Pharmaceuticals Inc., a publicly traded pharmaceutical company. From 2003 to 2008, Dr. Gemayel was Executive Vice President at Genzyme Corporation where he was responsible for the company’s global therapeutics, transplant, renal and biosurgery businesses. From 1998 to 2003, Dr. Gemayel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qualifies him to serve as a member of our board.</w:t>
      </w:r>
    </w:p>
    <w:p>
      <w:pPr>
        <w:spacing w:after="0" w:line="7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Liam Ratcliffe, M.D., Ph.D. </w:t>
      </w:r>
      <w:r>
        <w:rPr>
          <w:rFonts w:ascii="Times New Roman" w:cs="Times New Roman" w:eastAsia="Times New Roman" w:hAnsi="Times New Roman"/>
          <w:sz w:val="18"/>
          <w:szCs w:val="18"/>
          <w:color w:val="auto"/>
        </w:rPr>
        <w:t>has served as a member of our board of directors since September 2019. Dr. Ratcliffe has served as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at Access Industries, a privately held industrial group, since April 2019. Previously, Dr. Ratcliffe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Inc. (Nasdaq: PFE),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Dr. Ratcliffe served as a board member at Edge Therapeutics, Inc. (now PDS Biotechnology Corp., Nasdaq: PDSB) from October 2015 to November 2018, Unum Therapeutics Inc. (formerly listed on Nasdaq) from 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our board of directors because of his extensive clinical development and venture capital experience in the life sciences industry.</w:t>
      </w:r>
    </w:p>
    <w:p>
      <w:pPr>
        <w:spacing w:after="0" w:line="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White, M.P.P., J.D., </w:t>
      </w:r>
      <w:r>
        <w:rPr>
          <w:rFonts w:ascii="Times New Roman" w:cs="Times New Roman" w:eastAsia="Times New Roman" w:hAnsi="Times New Roman"/>
          <w:sz w:val="18"/>
          <w:szCs w:val="18"/>
          <w:color w:val="auto"/>
        </w:rPr>
        <w:t>has served as a member of our board of directors since December 2020. Mr. White has served as the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 to March 2019. Prior to that, Mr. White was a Managing Director in Healthcare Investment Banking at Citigroup from May 2006 to September 2017. Previously, Mr. White served as an associate and later as a Vice President in Healthcare Investment Banking at Goldman, Sachs &amp; Co. from November 2000 to March 2006. Mr. White also serves as a member of the board of directors and Chair of the Audit Committee of Ventyx Bioscience (Nasdaq: VTYX). Mr. White received an A.B. from Princeton University, an M.P.P. from Harvard University and a J.D. from Columbia University. Mr. White is qualified to serve on our board of directors because of his extensive financial and investment experience in the life sciences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3" w:name="page144"/>
    <w:bookmarkEnd w:id="143"/>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assist our board of directors in the exercise of its duties and responsibilities and to serve the best interests of our company and our stockholders. These guidelines, which provide a framework for the conduct of our board’s business, provide that:</w:t>
      </w:r>
    </w:p>
    <w:p>
      <w:pPr>
        <w:spacing w:after="0" w:line="54"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the directors is to oversee our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shall be independent directors, unless otherwise permitted by Nasdaq rules;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at least once a year;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 and</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the nominating and corporate governance committee oversees a self-evaluation by the board to assess the effectiveness of the board and its committees.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managing or supervising the management of our business and affairs. This includes appointing our chief executive officer, advising management on strategic issues, approving our business and other plans and monitoring our performance against those plans and against our operating and capital budgets. In addition, our board of directors also receives and considers recommendations from our various committees with respect to matters such as the following:</w:t>
      </w:r>
    </w:p>
    <w:p>
      <w:pPr>
        <w:spacing w:after="0" w:line="72"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for board and committee membership;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to be nominated for election as directors and to each of the board of director’s committees; and</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our code of business conduct and ethics and corporate governance guidelines. Our board of directors does not have a written mandate.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also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“Investors &amp; Media— Corporate Governance” section of our website, which is located at </w:t>
      </w:r>
      <w:r>
        <w:rPr>
          <w:rFonts w:ascii="Times New Roman" w:cs="Times New Roman" w:eastAsia="Times New Roman" w:hAnsi="Times New Roman"/>
          <w:sz w:val="18"/>
          <w:szCs w:val="18"/>
          <w:b w:val="1"/>
          <w:bCs w:val="1"/>
          <w:i w:val="1"/>
          <w:iCs w:val="1"/>
          <w:color w:val="auto"/>
        </w:rPr>
        <w:t>www.discmedicine.com</w:t>
      </w:r>
      <w:r>
        <w:rPr>
          <w:rFonts w:ascii="Times New Roman" w:cs="Times New Roman" w:eastAsia="Times New Roman" w:hAnsi="Times New Roman"/>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 to be filed with the SEC. Employees are required to annually certify compliance with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 3 under the Securities Exchange Act of 1934, as amended, or the Exchange Act, and compensation committee members must also satisfy the independence criteria set forth in Rule 10C 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 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 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our directors, with the exception of Dr. Quisel, who serves as our Chief Executive Officer, and Georges Gemayel, who served as the chief executive officer of Gemini prior to our merger with Gemini, is an “independent director” within the meaning of the director independence standards established by the SEC and Nasdaq.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4" w:name="page145"/>
    <w:bookmarkEnd w:id="144"/>
    <w:p>
      <w:pPr>
        <w:ind w:right="120"/>
        <w:spacing w:after="0" w:line="256" w:lineRule="auto"/>
        <w:rPr>
          <w:sz w:val="20"/>
          <w:szCs w:val="20"/>
          <w:color w:val="auto"/>
        </w:rPr>
      </w:pPr>
      <w:r>
        <w:rPr>
          <w:rFonts w:ascii="Times New Roman" w:cs="Times New Roman" w:eastAsia="Times New Roman" w:hAnsi="Times New Roman"/>
          <w:sz w:val="18"/>
          <w:szCs w:val="18"/>
          <w:color w:val="auto"/>
        </w:rPr>
        <w:t>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non-management directors meet at regularly scheduled executive sessions without management participation, and at least once each year an executive session with only independent directors present is held. In 2023, there were four executive sessions at which only the independent directors were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Self-Assessment; Director Candidates; and Criteria</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performs an annual self-assessment. During this self-assessment, the board of directors considers many factors, including, but not limited to, the expertise of existing board of director members and the expertise of directors we need in our transition from a clinical development stage company to becoming a commercial enterprise. The board of director’s annual self-assessment is conducted by a survey in which each director is asked to comment on the effectiveness and contribution of the board of directors as a whole.</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68" w:lineRule="exact"/>
        <w:rPr>
          <w:sz w:val="20"/>
          <w:szCs w:val="20"/>
          <w:color w:val="auto"/>
        </w:rPr>
      </w:pPr>
    </w:p>
    <w:p>
      <w:pPr>
        <w:ind w:right="100" w:firstLine="509"/>
        <w:spacing w:after="0" w:line="263" w:lineRule="auto"/>
        <w:rPr>
          <w:sz w:val="20"/>
          <w:szCs w:val="20"/>
          <w:color w:val="auto"/>
        </w:rPr>
      </w:pPr>
      <w:r>
        <w:rPr>
          <w:rFonts w:ascii="Times New Roman" w:cs="Times New Roman" w:eastAsia="Times New Roman" w:hAnsi="Times New Roman"/>
          <w:sz w:val="18"/>
          <w:szCs w:val="18"/>
          <w:color w:val="auto"/>
        </w:rPr>
        <w:t>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set forth in the nominating and corporate governance committee charter. These criteria include, among other things, the skills of the candidate, his or her depth and breadth of business experience and other background characteristics, his or her independence and the needs of the board of directors.</w:t>
      </w:r>
    </w:p>
    <w:p>
      <w:pPr>
        <w:spacing w:after="0" w:line="7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may gather information about the candidates through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nominees for election to the board of directors.</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does not believe that limits on the number of consecutive terms a director may serve or on the directors’ ages are appropriate for the company at this time. Instead, each director’s performance and their continued service is assessed by the nominating and corporate governance committee in light of the needs of the board of directors and other relevant factors.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our nominating and corporate governance committee for consideration as potential director candidates by providing timely notice and meeting the other requirements set forth in our by-laws, including our advanced notice provision, and the rules and regulations of the SEC. Assuming such requirements have been met, the nominating and corporate governance committee will evaluate stockholder-recommended candidates by following substantially the same process, and applying substantially the same criteria, as it follows for candidates submitted by others. If the board of directors determines to nominate a stockholder-recommended candidate and recommends his or her election, then his or her name will be included in our proxy card for the next annual meeting.</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conducts an orientation program for each new director, which generally includes conversations with individual members of management. The orientation is designed to familiarize the new director with the company’s business and strategic plans, key policies and practices, principal officers and management structure, auditing and compliance processes and its code of business conduct and ethics. New directors have access to historical published information about the company, its articles and by-laws, the corporate governance guidelines and the charters of the board of director’s committees and other relevant information. The nominating and corporate governance committee is responsible for providing materials or briefing sessions for continuing directors on topics that will assist them in discharging their duties. In addition, management makes regular presentations to the board of directors on the main areas of the company’s business and new developments in the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from Stockholders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5" w:name="page146"/>
    <w:bookmarkEnd w:id="145"/>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the chairman of the board of directors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divided into three staggered classes, with one class to be elected at each annual meeting to serve for a three-year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has a written board diversity policy and believes that our board of directors, taken as a whole, should embody a diverse set of skills, experience, knowledge and backgrounds, including an appropriate number of women directors. The board of directors has not adopted targets for the number or proportion of directors who are female or other designated groups, as the company is committed to a merit-based system for board composition, which reflects a diverse and inclusive culture where directors believe that their views are heard, their concerns are attended to and they serve in an environment where bias, discrimination and harassment on any matter are not tolerated. When identifying suitable candidates for appointment to the board of directors, the company considers candidates on merit against objective criteria and the needs of the board of directors. When recruiting new candidates for appointment, search protocols will go beyond the networks of existing board of director members and will incorporate diversity, including identification of female candidates, as a component. Any search firm engaged to assist the board of directors or the nominating and corporate governance committee in identifying candidates for appointment to the board of directors shall be directed to include women candidates and women candidates will be included in the board of director’s evergreen list of potential board of director nominees.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board diversity matrix reports self-identified diversity statistics for the board of directors.</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Board Diversity Matrix (As of February 29, 2024)</w:t>
            </w: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58"/>
        </w:trPr>
        <w:tc>
          <w:tcPr>
            <w:tcW w:w="3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203"/>
        </w:trPr>
        <w:tc>
          <w:tcPr>
            <w:tcW w:w="3580" w:type="dxa"/>
            <w:vAlign w:val="bottom"/>
            <w:tcBorders>
              <w:left w:val="single" w:sz="8" w:color="auto"/>
              <w:bottom w:val="single" w:sz="8" w:color="auto"/>
            </w:tcBorders>
          </w:tcPr>
          <w:p>
            <w:pPr>
              <w:ind w:left="160"/>
              <w:spacing w:after="0" w:line="183" w:lineRule="exact"/>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8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8</w:t>
            </w:r>
          </w:p>
        </w:tc>
        <w:tc>
          <w:tcPr>
            <w:tcW w:w="1680" w:type="dxa"/>
            <w:vAlign w:val="bottom"/>
            <w:tcBorders>
              <w:bottom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r>
      <w:tr>
        <w:trPr>
          <w:trHeight w:val="170"/>
        </w:trPr>
        <w:tc>
          <w:tcPr>
            <w:tcW w:w="3580" w:type="dxa"/>
            <w:vAlign w:val="bottom"/>
            <w:tcBorders>
              <w:lef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Did Not Disclose</w:t>
            </w:r>
          </w:p>
        </w:tc>
      </w:tr>
      <w:tr>
        <w:trPr>
          <w:trHeight w:val="245"/>
        </w:trPr>
        <w:tc>
          <w:tcPr>
            <w:tcW w:w="3580" w:type="dxa"/>
            <w:vAlign w:val="bottom"/>
            <w:tcBorders>
              <w:left w:val="single" w:sz="8" w:color="auto"/>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3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3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29"/>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Asian</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Hispanic or Latinx</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LGBTQ+</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Persons with disabilities</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Visible minorities</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Indigenous peoples</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3"/>
        </w:trPr>
        <w:tc>
          <w:tcPr>
            <w:tcW w:w="3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bl>
    <w:p>
      <w:pPr>
        <w:spacing w:after="0" w:line="10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does not consider the level of representation of women or other designated groups in executive officer positions and has not adopted targets for the number or proportion of executive officers who are female or members of other designated groups as the company seeks to promote individuals solely based on merit. Currently two of the executive officers are women, two of the executive officers are visible minorities and none of the executive officers are Indigenous peoples or persons with a disability.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Disc board of directors held 10 meetings during 2023. During 2023, each of the Disc directors then in office attended at least 75% of the aggregate of all meetings of the board of directors and all meetings of the committees of the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We intend to comply with future requirements to the extent they become applicable to us. A copy of each charter can be found under the “Investors &amp; Media—Corporate Governance” section of our website, which is located at </w:t>
      </w:r>
      <w:r>
        <w:rPr>
          <w:rFonts w:ascii="Times New Roman" w:cs="Times New Roman" w:eastAsia="Times New Roman" w:hAnsi="Times New Roman"/>
          <w:sz w:val="18"/>
          <w:szCs w:val="18"/>
          <w:b w:val="1"/>
          <w:bCs w:val="1"/>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discmedicine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color w:val="auto"/>
        </w:rPr>
        <w:t>. The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the board of directors on the work of the committee and any recommendations for approval by the board of directors. The committee chairperson also ensures that the committee receives the information required for the performance of its responsibilities. The board of directors may also establish other committees from time to time to assist the company and the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the board of directors with respect to our accounting, financial, and other reporting and internal control practices and to oversee our independent registered accounting firm.</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54"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members of the Audit Committee are William White, Liam Ratcliffe and Mark Chin. William White is the chair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2023, the Disc audit committee met four times. We believe that the composition of the audit committee complies with the applicable requirements of the rules and regulations of Nasdaq and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7" w:name="page148"/>
    <w:bookmarkEnd w:id="147"/>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the board of directors to oversee our compensation policies, plans and programs and to review and determine the compensation to be paid to our executive officers, directors and other senior management, as appropriate.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11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Donald Nicholson, Mona Ashiya and Kevin Bitterman. Dr. Nicholson is the chair of the Compensation Committee. Each member of our compensation committee will be a “non-employee” director within the meaning of Rule 16b-3 of the rules promulgated under the Exchange Act and independent within the meaning of the independent director guidelines of Nasdaq. During the fiscal year ended December 31, 2023, the Disc compensation committee met four times. We believe that the composition of the compensation committee complies with the applicable requirements of the rules and regulations of Nasdaq and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fiscal year 2023, our compensation committee engaged Pearl Meyer &amp; Partners, LLC, or Pearl Meyer, to provide compensation consulting services. During fiscal year 2023, Pearl Meyer’s services included advising on equity compensation programs and the development of the Company’s peer group and providing support and analysis regarding executive and director compensation. Our compensation committee has assessed the independence of Pearl Meyer consistent with SEC rules and Nasdaq listing standards and has concluded that the engagement of Pearl Meyer does not raise any conflict of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1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Kevin Bitterman, Mona Ashiya, Donald Nicholson and Liam Ratcliffe. Dr. Bitterman is the chair of the Nominating and Corporate Governance Committee. During the fiscal year ended December 31, 2023, the Disc nominating and corporate governance committee did not meet. We believe that the composition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employees, consultants and designated contractors. Our insider trading policy expressly prohibits purchases of any derivative securities that provide the economic equivalent of ownership.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board of directors is currently chaired by Donald Nicholson, an independent director. Currently, the role of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The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this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regularly discusses with management our major risk exposures, the potential impact of these risks on our business and the steps we take to manage them. The risk oversight process includes receiving regular reports from board of 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9" w:name="page150"/>
    <w:bookmarkEnd w:id="149"/>
    <w:p>
      <w:pPr>
        <w:spacing w:after="0" w:line="256" w:lineRule="auto"/>
        <w:rPr>
          <w:sz w:val="20"/>
          <w:szCs w:val="20"/>
          <w:color w:val="auto"/>
        </w:rPr>
      </w:pPr>
      <w:r>
        <w:rPr>
          <w:rFonts w:ascii="Times New Roman" w:cs="Times New Roman" w:eastAsia="Times New Roman" w:hAnsi="Times New Roman"/>
          <w:sz w:val="18"/>
          <w:szCs w:val="18"/>
          <w:color w:val="auto"/>
        </w:rPr>
        <w:t>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The SEC has designated specific deadlines for these reports, and we must identify those persons who did not file these reports when due. To our knowledge, based solely on a review of copies of such forms furnished to us, and written representations made by our directors and officers regarding their filing obligations, we believe all Section 16(a) filing requirements were satisfied on a timely basis with respect to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information in this section is set forth below in “Item 12. Security Ownership of Certain Beneficial Owners and Management and Related Shareholder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for Recoupment of Incentive Company (Clawback Policy)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September 19, 2023, we adopted a policy for recoupment of incentive compensation (the “Clawback Policy”) in compliance with the requirements of the Dodd-Frank Wall Street Reform and Consumer Protection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In addition, under our Clawback Policy, in the event that we are required to restate our financial statements due to material noncompliance with any financial reporting requirement under securities laws, we must use reasonable efforts to recover (i) any cash or equity incentive compensation received by any other current or former employee of the Company in the three years prior to the date we are required to restate our financial statements that is in excess of the amount that would have been received based on the restated financial statements if we determine that the employee committed certain acts or omissions that materially contributed to the circumstances requiring the restatement and (ii) up to 100% of the cash and equity incentive compensation received by any current or former employee in the three years prior to the date we are required to restate our financial statements if we determine that the employee committed certain acts or omissions that materially contributed to the circumstances requiring the restatement.</w:t>
      </w:r>
    </w:p>
    <w:p>
      <w:pPr>
        <w:spacing w:after="0" w:line="19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compensation provided to our named executive officers for the fiscal years ended December 31, 2023 and 2022, as applicable, is detailed in the 2023 Summary Compensation Table and accompanying footnotes and narrative that follow. Our named executive officers for the fiscal year ended December 31, 2023, which consisted of our Chief Executive Officer and our two most highly compensated executive officers other than the Chief Executive Officer, were:</w:t>
      </w:r>
    </w:p>
    <w:p>
      <w:pPr>
        <w:spacing w:after="0" w:line="72"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Quisel, J.D., Ph.D., Chief Executive Officer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Savage, MD, Ph.D., Chief Medical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0" w:name="page151"/>
    <w:bookmarkEnd w:id="150"/>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Joanne Bryce, CPA, Chief Financial Officer (who departed from her role as Chief Financial Officer effective February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for services rendered to us in all capacities for the fiscal years ended December 31, 2023 and 2022, as applicable.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8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13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36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348"/>
              <w:spacing w:after="0" w:line="18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ind w:right="21"/>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28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ind w:right="39"/>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6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562,000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337,200</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4,261</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903,461</w:t>
            </w:r>
          </w:p>
        </w:tc>
        <w:tc>
          <w:tcPr>
            <w:tcW w:w="0" w:type="dxa"/>
            <w:vAlign w:val="bottom"/>
          </w:tcPr>
          <w:p>
            <w:pPr>
              <w:spacing w:after="0"/>
              <w:rPr>
                <w:sz w:val="1"/>
                <w:szCs w:val="1"/>
                <w:color w:val="auto"/>
              </w:rPr>
            </w:pPr>
          </w:p>
        </w:tc>
      </w:tr>
      <w:tr>
        <w:trPr>
          <w:trHeight w:val="252"/>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476,477</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1,081,150</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273,638</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1,831,265</w:t>
            </w:r>
          </w:p>
        </w:tc>
        <w:tc>
          <w:tcPr>
            <w:tcW w:w="0" w:type="dxa"/>
            <w:vAlign w:val="bottom"/>
          </w:tcPr>
          <w:p>
            <w:pPr>
              <w:spacing w:after="0"/>
              <w:rPr>
                <w:sz w:val="1"/>
                <w:szCs w:val="1"/>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458,000</w:t>
            </w:r>
          </w:p>
        </w:tc>
        <w:tc>
          <w:tcPr>
            <w:tcW w:w="120" w:type="dxa"/>
            <w:vAlign w:val="bottom"/>
          </w:tcPr>
          <w:p>
            <w:pPr>
              <w:spacing w:after="0"/>
              <w:rPr>
                <w:sz w:val="20"/>
                <w:szCs w:val="20"/>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219,840</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9,900</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687,740</w:t>
            </w:r>
          </w:p>
        </w:tc>
        <w:tc>
          <w:tcPr>
            <w:tcW w:w="0" w:type="dxa"/>
            <w:vAlign w:val="bottom"/>
          </w:tcPr>
          <w:p>
            <w:pPr>
              <w:spacing w:after="0"/>
              <w:rPr>
                <w:sz w:val="1"/>
                <w:szCs w:val="1"/>
                <w:color w:val="auto"/>
              </w:rPr>
            </w:pP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378,234</w:t>
            </w:r>
          </w:p>
        </w:tc>
        <w:tc>
          <w:tcPr>
            <w:tcW w:w="10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318,803</w:t>
            </w:r>
          </w:p>
        </w:tc>
        <w:tc>
          <w:tcPr>
            <w:tcW w:w="2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(6)</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173,719</w:t>
            </w:r>
          </w:p>
        </w:tc>
        <w:tc>
          <w:tcPr>
            <w:tcW w:w="1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890,756</w:t>
            </w:r>
          </w:p>
        </w:tc>
        <w:tc>
          <w:tcPr>
            <w:tcW w:w="0" w:type="dxa"/>
            <w:vAlign w:val="bottom"/>
          </w:tcPr>
          <w:p>
            <w:pPr>
              <w:spacing w:after="0"/>
              <w:rPr>
                <w:sz w:val="1"/>
                <w:szCs w:val="1"/>
                <w:color w:val="auto"/>
              </w:rPr>
            </w:pPr>
          </w:p>
        </w:tc>
      </w:tr>
      <w:tr>
        <w:trPr>
          <w:trHeight w:val="257"/>
        </w:trPr>
        <w:tc>
          <w:tcPr>
            <w:tcW w:w="2840" w:type="dxa"/>
            <w:vAlign w:val="bottom"/>
            <w:shd w:val="clear" w:color="auto" w:fill="CFF0FC"/>
          </w:tcPr>
          <w:p>
            <w:pPr>
              <w:ind w:left="20"/>
              <w:spacing w:after="0" w:line="257"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(5)</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419,000</w:t>
            </w:r>
          </w:p>
        </w:tc>
        <w:tc>
          <w:tcPr>
            <w:tcW w:w="120" w:type="dxa"/>
            <w:vAlign w:val="bottom"/>
          </w:tcPr>
          <w:p>
            <w:pPr>
              <w:spacing w:after="0"/>
              <w:rPr>
                <w:sz w:val="22"/>
                <w:szCs w:val="22"/>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1,123,795</w:t>
            </w:r>
          </w:p>
        </w:tc>
        <w:tc>
          <w:tcPr>
            <w:tcW w:w="280" w:type="dxa"/>
            <w:vAlign w:val="bottom"/>
            <w:vMerge w:val="continue"/>
          </w:tcPr>
          <w:p>
            <w:pPr>
              <w:spacing w:after="0"/>
              <w:rPr>
                <w:sz w:val="22"/>
                <w:szCs w:val="22"/>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201,120</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8,847</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1,752,762</w:t>
            </w:r>
          </w:p>
        </w:tc>
        <w:tc>
          <w:tcPr>
            <w:tcW w:w="0" w:type="dxa"/>
            <w:vAlign w:val="bottom"/>
          </w:tcPr>
          <w:p>
            <w:pPr>
              <w:spacing w:after="0"/>
              <w:rPr>
                <w:sz w:val="1"/>
                <w:szCs w:val="1"/>
                <w:color w:val="auto"/>
              </w:rPr>
            </w:pPr>
          </w:p>
        </w:tc>
      </w:tr>
      <w:tr>
        <w:trPr>
          <w:trHeight w:val="24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355,884</w:t>
            </w:r>
          </w:p>
        </w:tc>
        <w:tc>
          <w:tcPr>
            <w:tcW w:w="10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277,221</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163,438</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816,543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9"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salaries earned by each named executive officer during the respective fiscal year.</w:t>
      </w:r>
    </w:p>
    <w:p>
      <w:pPr>
        <w:spacing w:after="0" w:line="95" w:lineRule="exact"/>
        <w:rPr>
          <w:rFonts w:ascii="Times New Roman" w:cs="Times New Roman" w:eastAsia="Times New Roman" w:hAnsi="Times New Roman"/>
          <w:sz w:val="14"/>
          <w:szCs w:val="14"/>
          <w:color w:val="auto"/>
        </w:rPr>
      </w:pPr>
    </w:p>
    <w:p>
      <w:pPr>
        <w:ind w:left="380" w:right="20" w:hanging="372"/>
        <w:spacing w:after="0" w:line="233"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stock options awarded to our named executive officers during the 2023 and 2022 fiscal years, as applicable, calculated in accordance with Financial Accounting Standards Board, or FASB, Accounting Standards Codification, or ASC, Topic 718. Such grant date fair values do not take into account any estimated forfeitures. The assumptions used in calculating the grant date fair value of the stock options reported in this column are set forth in Note 2 to our consolidated financial statements included in this Annual Report on Form 10-K. The amounts reported in this column reflect the accounting cost for the stock options and do not correspond to the actual economic value that may be received by our named executive officers upon the exercise of the stock options or any sale of the common stock underlying such stock options.</w:t>
      </w:r>
    </w:p>
    <w:p>
      <w:pPr>
        <w:spacing w:after="0" w:line="69" w:lineRule="exact"/>
        <w:rPr>
          <w:rFonts w:ascii="Times New Roman" w:cs="Times New Roman" w:eastAsia="Times New Roman" w:hAnsi="Times New Roman"/>
          <w:sz w:val="14"/>
          <w:szCs w:val="14"/>
          <w:color w:val="auto"/>
        </w:rPr>
      </w:pPr>
    </w:p>
    <w:p>
      <w:pPr>
        <w:ind w:left="380" w:right="120" w:hanging="372"/>
        <w:spacing w:after="0" w:line="261"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bonuses earned as of December 31, 2023, upon the attainment of one or more pre-established performance goals established by our board of directors on an annual basis.</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safe harbor matching contributions under our 401(k) plan to our named executive officers in 2023.</w:t>
      </w:r>
    </w:p>
    <w:p>
      <w:pPr>
        <w:spacing w:after="0" w:line="95" w:lineRule="exact"/>
        <w:rPr>
          <w:rFonts w:ascii="Times New Roman" w:cs="Times New Roman" w:eastAsia="Times New Roman" w:hAnsi="Times New Roman"/>
          <w:sz w:val="14"/>
          <w:szCs w:val="14"/>
          <w:color w:val="auto"/>
        </w:rPr>
      </w:pPr>
    </w:p>
    <w:p>
      <w:pPr>
        <w:ind w:left="380" w:right="540" w:hanging="372"/>
        <w:spacing w:after="0" w:line="261"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Bryce was a consultant to us until September 14, 2021 when she transitioned to Chief Financial Officer. Effective February 7, 2024, Ms. Bryce departed from her role as Chief Financial Officer and transitioned to an independent contractor advisor.</w:t>
      </w:r>
    </w:p>
    <w:p>
      <w:pPr>
        <w:spacing w:after="0" w:line="54" w:lineRule="exact"/>
        <w:rPr>
          <w:rFonts w:ascii="Times New Roman" w:cs="Times New Roman" w:eastAsia="Times New Roman" w:hAnsi="Times New Roman"/>
          <w:sz w:val="14"/>
          <w:szCs w:val="14"/>
          <w:color w:val="auto"/>
        </w:rPr>
      </w:pPr>
    </w:p>
    <w:p>
      <w:pPr>
        <w:ind w:left="380" w:right="100" w:hanging="372"/>
        <w:spacing w:after="0" w:line="236"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reflects an accounting charge relating to an amendment of the stock options held by Ms. Bryce of as November 27, 2023. In connection with the Bryce Separation Agreement (as defined below), our board of directors approved an extension of the post-termination exercise period relating to such stock options, such that the vested and outstanding shares subject to the stock options may be exercised until the earlier of (i) twelve months following the end of the Advisor Period (as defined below) and (ii) the original expiration date of the stock option.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 The annual base salaries for Dr. Quisel, Dr. Savage, and Ms. Bryce were $562,000, $458,000 and $419,000, respectively during the fiscal year ended December 31, 2023. There were no annual base salary increases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2023, each named executive officer was eligible to earn an annual cash bonus based on the achievement of certain corporate performance metrics. Corporate objectives were primarily based on development goals for our product candidates financing and business development goals. The target annual bonus for Dr. Quisel, Dr. Savage, and Ms. Bryce for 2023 was 50%, 40%, and 40%, respectively, of their respective annual base salary as in effect on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equity grants provide executives with a strong link to our long-term performance, create an ownership culture and help to align the interests of our executives and stockholders. In addition, we believe that equity grants promote executive retention because they incentivize executive officers to remain employed during the vesting period. During the fiscal year ended December 31, 2022, in connection with our merger with Gemini, we granted stock options to each of our named executive officers. As a result, during the fiscal year ended December 31, 2023, we did not grant any equity awards to our named executive officers. However, in connection with the Bryce Separation Agreement, our board of directors approved an amendment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1" w:name="page152"/>
    <w:bookmarkEnd w:id="151"/>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to the stock options held by Ms. Bryce of as November 27, 2023, pursuant to which the post-termination exercise period relating to such stock options was amended to provide that the vested and outstanding shares subject to the stock options may be exercised until the earlier of (i) twelve months following the end of the Advisor Period and (ii) the original expiration date of the stock option. For additional information regarding equity awards previously granted to our named executive officers, please see the table under “Outstanding Equity Awards at 2023 Fiscal Year-End”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2023 Year-End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220" w:type="dxa"/>
            <w:vAlign w:val="bottom"/>
          </w:tcPr>
          <w:p>
            <w:pPr>
              <w:jc w:val="center"/>
              <w:ind w:right="86"/>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22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22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22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22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4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2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jc w:val="center"/>
              <w:ind w:right="16"/>
              <w:spacing w:after="0" w:line="146"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220" w:type="dxa"/>
            <w:vAlign w:val="bottom"/>
          </w:tcPr>
          <w:p>
            <w:pPr>
              <w:jc w:val="center"/>
              <w:ind w:right="46"/>
              <w:spacing w:after="0" w:line="146"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1"/>
        </w:trPr>
        <w:tc>
          <w:tcPr>
            <w:tcW w:w="2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(2)</w:t>
            </w:r>
          </w:p>
        </w:tc>
        <w:tc>
          <w:tcPr>
            <w:tcW w:w="2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auto"/>
              </w:rPr>
              <w:t>John Quisel, J.D., Ph.D.</w:t>
            </w:r>
          </w:p>
        </w:tc>
        <w:tc>
          <w:tcPr>
            <w:tcW w:w="2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12/29/2022</w:t>
            </w: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12/29/2022</w:t>
            </w:r>
          </w:p>
        </w:tc>
        <w:tc>
          <w:tcPr>
            <w:tcW w:w="160" w:type="dxa"/>
            <w:vAlign w:val="bottom"/>
          </w:tcPr>
          <w:p>
            <w:pPr>
              <w:spacing w:after="0"/>
              <w:rPr>
                <w:sz w:val="14"/>
                <w:szCs w:val="14"/>
                <w:color w:val="auto"/>
              </w:rPr>
            </w:pPr>
          </w:p>
        </w:tc>
        <w:tc>
          <w:tcPr>
            <w:tcW w:w="1240" w:type="dxa"/>
            <w:vAlign w:val="bottom"/>
          </w:tcPr>
          <w:p>
            <w:pPr>
              <w:jc w:val="right"/>
              <w:ind w:right="36"/>
              <w:spacing w:after="0" w:line="169" w:lineRule="exact"/>
              <w:rPr>
                <w:sz w:val="20"/>
                <w:szCs w:val="20"/>
                <w:color w:val="auto"/>
              </w:rPr>
            </w:pPr>
            <w:r>
              <w:rPr>
                <w:rFonts w:ascii="Times New Roman" w:cs="Times New Roman" w:eastAsia="Times New Roman" w:hAnsi="Times New Roman"/>
                <w:sz w:val="18"/>
                <w:szCs w:val="18"/>
                <w:color w:val="auto"/>
              </w:rPr>
              <w:t>33,000</w:t>
            </w:r>
          </w:p>
        </w:tc>
        <w:tc>
          <w:tcPr>
            <w:tcW w:w="160" w:type="dxa"/>
            <w:vAlign w:val="bottom"/>
          </w:tcPr>
          <w:p>
            <w:pPr>
              <w:spacing w:after="0"/>
              <w:rPr>
                <w:sz w:val="14"/>
                <w:szCs w:val="14"/>
                <w:color w:val="auto"/>
              </w:rPr>
            </w:pPr>
          </w:p>
        </w:tc>
        <w:tc>
          <w:tcPr>
            <w:tcW w:w="1220" w:type="dxa"/>
            <w:vAlign w:val="bottom"/>
          </w:tcPr>
          <w:p>
            <w:pPr>
              <w:jc w:val="right"/>
              <w:ind w:right="66"/>
              <w:spacing w:after="0" w:line="169" w:lineRule="exact"/>
              <w:rPr>
                <w:sz w:val="20"/>
                <w:szCs w:val="20"/>
                <w:color w:val="auto"/>
              </w:rPr>
            </w:pPr>
            <w:r>
              <w:rPr>
                <w:rFonts w:ascii="Times New Roman" w:cs="Times New Roman" w:eastAsia="Times New Roman" w:hAnsi="Times New Roman"/>
                <w:sz w:val="18"/>
                <w:szCs w:val="18"/>
                <w:color w:val="auto"/>
              </w:rPr>
              <w:t>99,002</w:t>
            </w:r>
          </w:p>
        </w:tc>
        <w:tc>
          <w:tcPr>
            <w:tcW w:w="140" w:type="dxa"/>
            <w:vAlign w:val="bottom"/>
          </w:tcPr>
          <w:p>
            <w:pPr>
              <w:spacing w:after="0"/>
              <w:rPr>
                <w:sz w:val="14"/>
                <w:szCs w:val="14"/>
                <w:color w:val="auto"/>
              </w:rPr>
            </w:pPr>
          </w:p>
        </w:tc>
        <w:tc>
          <w:tcPr>
            <w:tcW w:w="88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8"/>
                <w:szCs w:val="18"/>
                <w:color w:val="auto"/>
              </w:rPr>
              <w:t>13.50</w:t>
            </w:r>
          </w:p>
        </w:tc>
        <w:tc>
          <w:tcPr>
            <w:tcW w:w="2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68"/>
        </w:trPr>
        <w:tc>
          <w:tcPr>
            <w:tcW w:w="26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tcPr>
          <w:p>
            <w:pPr>
              <w:spacing w:after="0"/>
              <w:rPr>
                <w:sz w:val="5"/>
                <w:szCs w:val="5"/>
                <w:color w:val="auto"/>
              </w:rPr>
            </w:pPr>
          </w:p>
        </w:tc>
        <w:tc>
          <w:tcPr>
            <w:tcW w:w="1460" w:type="dxa"/>
            <w:vAlign w:val="bottom"/>
            <w:gridSpan w:val="2"/>
            <w:vMerge w:val="restart"/>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9/14/2021 </w:t>
            </w:r>
            <w:r>
              <w:rPr>
                <w:rFonts w:ascii="Times New Roman" w:cs="Times New Roman" w:eastAsia="Times New Roman" w:hAnsi="Times New Roman"/>
                <w:sz w:val="24"/>
                <w:szCs w:val="24"/>
                <w:color w:val="auto"/>
                <w:vertAlign w:val="superscript"/>
              </w:rPr>
              <w:t>(2)</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60" w:type="dxa"/>
            <w:vAlign w:val="bottom"/>
            <w:vMerge w:val="restart"/>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94,719</w:t>
            </w:r>
          </w:p>
        </w:tc>
        <w:tc>
          <w:tcPr>
            <w:tcW w:w="1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73,668</w:t>
            </w:r>
          </w:p>
        </w:tc>
        <w:tc>
          <w:tcPr>
            <w:tcW w:w="10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9.86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175"/>
        </w:trPr>
        <w:tc>
          <w:tcPr>
            <w:tcW w:w="26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(3)</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60" w:type="dxa"/>
            <w:vAlign w:val="bottom"/>
            <w:vMerge w:val="restart"/>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48,810</w:t>
            </w:r>
          </w:p>
        </w:tc>
        <w:tc>
          <w:tcPr>
            <w:tcW w:w="1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12,840</w:t>
            </w:r>
          </w:p>
        </w:tc>
        <w:tc>
          <w:tcPr>
            <w:tcW w:w="10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10/23/2020</w:t>
            </w:r>
          </w:p>
        </w:tc>
        <w:tc>
          <w:tcPr>
            <w:tcW w:w="2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3/11/2020</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2/25/2020</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231,049</w:t>
            </w:r>
          </w:p>
        </w:tc>
        <w:tc>
          <w:tcPr>
            <w:tcW w:w="13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10,162</w:t>
            </w:r>
          </w:p>
        </w:tc>
        <w:tc>
          <w:tcPr>
            <w:tcW w:w="10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3/10/2030</w:t>
            </w:r>
          </w:p>
        </w:tc>
        <w:tc>
          <w:tcPr>
            <w:tcW w:w="0" w:type="dxa"/>
            <w:vAlign w:val="bottom"/>
          </w:tcPr>
          <w:p>
            <w:pPr>
              <w:spacing w:after="0"/>
              <w:rPr>
                <w:sz w:val="1"/>
                <w:szCs w:val="1"/>
                <w:color w:val="auto"/>
              </w:rPr>
            </w:pPr>
          </w:p>
        </w:tc>
      </w:tr>
      <w:tr>
        <w:trPr>
          <w:trHeight w:val="68"/>
        </w:trPr>
        <w:tc>
          <w:tcPr>
            <w:tcW w:w="26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2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(2)</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160" w:type="dxa"/>
            <w:vAlign w:val="bottom"/>
            <w:vMerge w:val="restart"/>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9,731</w:t>
            </w:r>
          </w:p>
        </w:tc>
        <w:tc>
          <w:tcPr>
            <w:tcW w:w="1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29,193</w:t>
            </w:r>
          </w:p>
        </w:tc>
        <w:tc>
          <w:tcPr>
            <w:tcW w:w="10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13.50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William Savage, MD, Ph.D.</w:t>
            </w:r>
          </w:p>
        </w:tc>
        <w:tc>
          <w:tcPr>
            <w:tcW w:w="2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12/29/2022</w:t>
            </w:r>
          </w:p>
        </w:tc>
        <w:tc>
          <w:tcPr>
            <w:tcW w:w="2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68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9/14/2021 </w:t>
            </w:r>
            <w:r>
              <w:rPr>
                <w:rFonts w:ascii="Times New Roman" w:cs="Times New Roman" w:eastAsia="Times New Roman" w:hAnsi="Times New Roman"/>
                <w:sz w:val="24"/>
                <w:szCs w:val="24"/>
                <w:color w:val="auto"/>
                <w:vertAlign w:val="superscript"/>
              </w:rPr>
              <w:t>(2)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6,360</w:t>
            </w:r>
          </w:p>
        </w:tc>
        <w:tc>
          <w:tcPr>
            <w:tcW w:w="13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4,161</w:t>
            </w:r>
          </w:p>
        </w:tc>
        <w:tc>
          <w:tcPr>
            <w:tcW w:w="10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68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9/14/2021 </w:t>
            </w:r>
            <w:r>
              <w:rPr>
                <w:rFonts w:ascii="Times New Roman" w:cs="Times New Roman" w:eastAsia="Times New Roman" w:hAnsi="Times New Roman"/>
                <w:sz w:val="24"/>
                <w:szCs w:val="24"/>
                <w:color w:val="auto"/>
                <w:vertAlign w:val="superscript"/>
              </w:rPr>
              <w:t>(2)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25,423</w:t>
            </w:r>
          </w:p>
        </w:tc>
        <w:tc>
          <w:tcPr>
            <w:tcW w:w="13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19,769</w:t>
            </w:r>
          </w:p>
        </w:tc>
        <w:tc>
          <w:tcPr>
            <w:tcW w:w="10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68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10/23/2020 </w:t>
            </w:r>
            <w:r>
              <w:rPr>
                <w:rFonts w:ascii="Times New Roman" w:cs="Times New Roman" w:eastAsia="Times New Roman" w:hAnsi="Times New Roman"/>
                <w:sz w:val="24"/>
                <w:szCs w:val="24"/>
                <w:color w:val="auto"/>
                <w:vertAlign w:val="superscript"/>
              </w:rPr>
              <w:t>(5)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8,135</w:t>
            </w:r>
          </w:p>
        </w:tc>
        <w:tc>
          <w:tcPr>
            <w:tcW w:w="13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2,140</w:t>
            </w:r>
          </w:p>
        </w:tc>
        <w:tc>
          <w:tcPr>
            <w:tcW w:w="10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68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8/11/2020 </w:t>
            </w:r>
            <w:r>
              <w:rPr>
                <w:rFonts w:ascii="Times New Roman" w:cs="Times New Roman" w:eastAsia="Times New Roman" w:hAnsi="Times New Roman"/>
                <w:sz w:val="24"/>
                <w:szCs w:val="24"/>
                <w:color w:val="auto"/>
                <w:vertAlign w:val="superscript"/>
              </w:rPr>
              <w:t>(4)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8/3/2020</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10,552</w:t>
            </w:r>
          </w:p>
        </w:tc>
        <w:tc>
          <w:tcPr>
            <w:tcW w:w="13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6,774</w:t>
            </w:r>
          </w:p>
        </w:tc>
        <w:tc>
          <w:tcPr>
            <w:tcW w:w="10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8/10/2030</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680" w:type="dxa"/>
            <w:vAlign w:val="bottom"/>
            <w:gridSpan w:val="3"/>
            <w:vMerge w:val="restart"/>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12/29/2022 </w:t>
            </w:r>
            <w:r>
              <w:rPr>
                <w:rFonts w:ascii="Times New Roman" w:cs="Times New Roman" w:eastAsia="Times New Roman" w:hAnsi="Times New Roman"/>
                <w:sz w:val="24"/>
                <w:szCs w:val="24"/>
                <w:color w:val="auto"/>
                <w:vertAlign w:val="superscript"/>
              </w:rPr>
              <w:t>(2)</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160" w:type="dxa"/>
            <w:vAlign w:val="bottom"/>
            <w:vMerge w:val="restart"/>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8,461</w:t>
            </w:r>
          </w:p>
        </w:tc>
        <w:tc>
          <w:tcPr>
            <w:tcW w:w="1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25,386</w:t>
            </w:r>
          </w:p>
        </w:tc>
        <w:tc>
          <w:tcPr>
            <w:tcW w:w="10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13.50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Joanne Bryce, CPA</w:t>
            </w:r>
          </w:p>
        </w:tc>
        <w:tc>
          <w:tcPr>
            <w:tcW w:w="1680" w:type="dxa"/>
            <w:vAlign w:val="bottom"/>
            <w:gridSpan w:val="3"/>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20" w:type="dxa"/>
            <w:vAlign w:val="bottom"/>
          </w:tcPr>
          <w:p>
            <w:pPr>
              <w:spacing w:after="0"/>
              <w:rPr>
                <w:sz w:val="5"/>
                <w:szCs w:val="5"/>
                <w:color w:val="auto"/>
              </w:rPr>
            </w:pPr>
          </w:p>
        </w:tc>
        <w:tc>
          <w:tcPr>
            <w:tcW w:w="1460" w:type="dxa"/>
            <w:vAlign w:val="bottom"/>
            <w:gridSpan w:val="2"/>
            <w:vMerge w:val="restart"/>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 xml:space="preserve">9/14/2021 </w:t>
            </w:r>
            <w:r>
              <w:rPr>
                <w:rFonts w:ascii="Times New Roman" w:cs="Times New Roman" w:eastAsia="Times New Roman" w:hAnsi="Times New Roman"/>
                <w:sz w:val="24"/>
                <w:szCs w:val="24"/>
                <w:color w:val="auto"/>
                <w:vertAlign w:val="superscript"/>
              </w:rPr>
              <w:t>(2)</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60" w:type="dxa"/>
            <w:vAlign w:val="bottom"/>
            <w:vMerge w:val="restart"/>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39,077</w:t>
            </w:r>
          </w:p>
        </w:tc>
        <w:tc>
          <w:tcPr>
            <w:tcW w:w="1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34,668</w:t>
            </w:r>
          </w:p>
        </w:tc>
        <w:tc>
          <w:tcPr>
            <w:tcW w:w="10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9.86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175"/>
        </w:trPr>
        <w:tc>
          <w:tcPr>
            <w:tcW w:w="26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(2)</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60" w:type="dxa"/>
            <w:vAlign w:val="bottom"/>
            <w:vMerge w:val="restart"/>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2,763</w:t>
            </w:r>
          </w:p>
        </w:tc>
        <w:tc>
          <w:tcPr>
            <w:tcW w:w="13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990</w:t>
            </w:r>
          </w:p>
        </w:tc>
        <w:tc>
          <w:tcPr>
            <w:tcW w:w="10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10/23/2020</w:t>
            </w:r>
          </w:p>
        </w:tc>
        <w:tc>
          <w:tcPr>
            <w:tcW w:w="2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10/23/2020</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2,154</w:t>
            </w:r>
          </w:p>
        </w:tc>
        <w:tc>
          <w:tcPr>
            <w:tcW w:w="138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68"/>
        </w:trPr>
        <w:tc>
          <w:tcPr>
            <w:tcW w:w="2640" w:type="dxa"/>
            <w:vAlign w:val="bottom"/>
            <w:shd w:val="clear" w:color="auto" w:fill="CFF0FC"/>
          </w:tcPr>
          <w:p>
            <w:pPr>
              <w:spacing w:after="0"/>
              <w:rPr>
                <w:sz w:val="5"/>
                <w:szCs w:val="5"/>
                <w:color w:val="auto"/>
              </w:rPr>
            </w:pPr>
          </w:p>
        </w:tc>
        <w:tc>
          <w:tcPr>
            <w:tcW w:w="220" w:type="dxa"/>
            <w:vAlign w:val="bottom"/>
            <w:vMerge w:val="restart"/>
            <w:shd w:val="clear" w:color="auto" w:fill="CFF0FC"/>
          </w:tcPr>
          <w:p>
            <w:pPr>
              <w:spacing w:after="0"/>
              <w:rPr>
                <w:sz w:val="5"/>
                <w:szCs w:val="5"/>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11/6/2019</w:t>
            </w:r>
          </w:p>
        </w:tc>
        <w:tc>
          <w:tcPr>
            <w:tcW w:w="2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(6)</w:t>
            </w: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FF0FC"/>
          </w:tcPr>
          <w:p>
            <w:pPr>
              <w:spacing w:after="0"/>
              <w:rPr>
                <w:sz w:val="21"/>
                <w:szCs w:val="21"/>
                <w:color w:val="auto"/>
              </w:rPr>
            </w:pPr>
          </w:p>
        </w:tc>
        <w:tc>
          <w:tcPr>
            <w:tcW w:w="220" w:type="dxa"/>
            <w:vAlign w:val="bottom"/>
            <w:vMerge w:val="continue"/>
            <w:shd w:val="clear" w:color="auto" w:fill="CFF0FC"/>
          </w:tcPr>
          <w:p>
            <w:pPr>
              <w:spacing w:after="0"/>
              <w:rPr>
                <w:sz w:val="21"/>
                <w:szCs w:val="21"/>
                <w:color w:val="auto"/>
              </w:rPr>
            </w:pPr>
          </w:p>
        </w:tc>
        <w:tc>
          <w:tcPr>
            <w:tcW w:w="1180" w:type="dxa"/>
            <w:vAlign w:val="bottom"/>
            <w:vMerge w:val="continue"/>
            <w:shd w:val="clear" w:color="auto" w:fill="CFF0FC"/>
          </w:tcPr>
          <w:p>
            <w:pPr>
              <w:spacing w:after="0"/>
              <w:rPr>
                <w:sz w:val="21"/>
                <w:szCs w:val="21"/>
                <w:color w:val="auto"/>
              </w:rPr>
            </w:pPr>
          </w:p>
        </w:tc>
        <w:tc>
          <w:tcPr>
            <w:tcW w:w="280" w:type="dxa"/>
            <w:vAlign w:val="bottom"/>
            <w:vMerge w:val="continue"/>
          </w:tcPr>
          <w:p>
            <w:pPr>
              <w:spacing w:after="0"/>
              <w:rPr>
                <w:sz w:val="21"/>
                <w:szCs w:val="21"/>
                <w:color w:val="auto"/>
              </w:rPr>
            </w:pP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5/1/2020</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8"/>
                <w:szCs w:val="18"/>
                <w:color w:val="auto"/>
              </w:rPr>
              <w:t>752</w:t>
            </w:r>
          </w:p>
        </w:tc>
        <w:tc>
          <w:tcPr>
            <w:tcW w:w="10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6172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771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106" w:lineRule="exact"/>
        <w:rPr>
          <w:sz w:val="20"/>
          <w:szCs w:val="20"/>
          <w:color w:val="auto"/>
        </w:rPr>
      </w:pPr>
    </w:p>
    <w:p>
      <w:pPr>
        <w:ind w:left="380" w:right="80" w:hanging="372"/>
        <w:spacing w:after="0" w:line="231" w:lineRule="auto"/>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stock options granted in years 2020 and 2021 were granted pursuant to the terms of our 2017 Stock Option and Grant Plan, as amended, or our 2017 Plan. All stock options granted in year 2022 were granted pursuant to the terms of our Amended and Restated 2021 Stock Option and Incentive Plan, or our 2021 Plan. Pursuant to provisions in our stock plans, the exercise price and number of shares subject to certain of these stock options were adjusted in connection with (i) the 1-for-10 reverse stock split that occurred on December 29, 2022 and (ii) our prior merger with Gemini Therapeutics, Inc., pursuant to which all of our shares of common stock were converted into shares of Gemini’s common stock based on an exchange ratio of 0.1096. Accordingly, the exercise prices shown in the table above (and in the corresponding footnotes) reflect our named executive officers’ post-reverse stock split holdings and post-conversion holdings.</w:t>
      </w:r>
    </w:p>
    <w:p>
      <w:pPr>
        <w:spacing w:after="0" w:line="69"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vests in 48 equal monthly installments following the Vesting Commencement Date, subject to the named executive officer’s continuous service.</w:t>
      </w:r>
    </w:p>
    <w:p>
      <w:pPr>
        <w:spacing w:after="0" w:line="95" w:lineRule="exact"/>
        <w:rPr>
          <w:rFonts w:ascii="Times New Roman" w:cs="Times New Roman" w:eastAsia="Times New Roman" w:hAnsi="Times New Roman"/>
          <w:sz w:val="14"/>
          <w:szCs w:val="14"/>
          <w:color w:val="auto"/>
        </w:rPr>
      </w:pPr>
    </w:p>
    <w:p>
      <w:pPr>
        <w:ind w:left="380" w:right="120" w:hanging="372"/>
        <w:spacing w:after="0" w:line="261" w:lineRule="auto"/>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5,138 shares vested on February 25, 2021. The remaining 56,512 shares vest in 44 equal monthly installments following the Vesting Commencement Date, subject to the named executive officer’s continuous service.</w:t>
      </w:r>
    </w:p>
    <w:p>
      <w:pPr>
        <w:spacing w:after="0" w:line="54" w:lineRule="exact"/>
        <w:rPr>
          <w:rFonts w:ascii="Times New Roman" w:cs="Times New Roman" w:eastAsia="Times New Roman" w:hAnsi="Times New Roman"/>
          <w:sz w:val="14"/>
          <w:szCs w:val="14"/>
          <w:color w:val="auto"/>
        </w:rPr>
      </w:pPr>
    </w:p>
    <w:p>
      <w:pPr>
        <w:ind w:left="380" w:right="900" w:hanging="372"/>
        <w:spacing w:after="0" w:line="261" w:lineRule="auto"/>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vested on the one-year anniversary of the Vesting Commencement Date. The remaining shares vest in 36 equal monthly installments following the Vesting Commencement Date, subject to the named executive officer’s continuous service.</w:t>
      </w:r>
    </w:p>
    <w:p>
      <w:pPr>
        <w:spacing w:after="0" w:line="54" w:lineRule="exact"/>
        <w:rPr>
          <w:rFonts w:ascii="Times New Roman" w:cs="Times New Roman" w:eastAsia="Times New Roman" w:hAnsi="Times New Roman"/>
          <w:sz w:val="14"/>
          <w:szCs w:val="14"/>
          <w:color w:val="auto"/>
        </w:rPr>
      </w:pPr>
    </w:p>
    <w:p>
      <w:pPr>
        <w:ind w:left="380" w:right="380" w:hanging="372"/>
        <w:spacing w:after="0" w:line="261" w:lineRule="auto"/>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2,140 shares vested on August 3, 2021. The remaining 8,135 shares vest in 38 equal monthly installments following the Vesting Commencement Date, subject to the named executive officer’s continuous service.</w:t>
      </w:r>
    </w:p>
    <w:p>
      <w:pPr>
        <w:spacing w:after="0" w:line="54" w:lineRule="exact"/>
        <w:rPr>
          <w:rFonts w:ascii="Times New Roman" w:cs="Times New Roman" w:eastAsia="Times New Roman" w:hAnsi="Times New Roman"/>
          <w:sz w:val="14"/>
          <w:szCs w:val="14"/>
          <w:color w:val="auto"/>
        </w:rPr>
      </w:pPr>
    </w:p>
    <w:p>
      <w:pPr>
        <w:ind w:left="380" w:right="480" w:hanging="372"/>
        <w:spacing w:after="0" w:line="261" w:lineRule="auto"/>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vests in 16 equal quarterly installments commencing on the three-month anniversary of the Vesting Commencement Date, subject to the named executive officer’s continuous service.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for Named 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John Quisel</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Dr. Quisel effective as of December 29, 2022, or the Quisel Employment Agreement, who currently serves as our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 The Quisel Employment Agreement also provides that upon a termination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2" w:name="page153"/>
    <w:bookmarkEnd w:id="152"/>
    <w:p>
      <w:pPr>
        <w:spacing w:after="0" w:line="252" w:lineRule="auto"/>
        <w:rPr>
          <w:sz w:val="20"/>
          <w:szCs w:val="20"/>
          <w:color w:val="auto"/>
        </w:rPr>
      </w:pPr>
      <w:r>
        <w:rPr>
          <w:rFonts w:ascii="Times New Roman" w:cs="Times New Roman" w:eastAsia="Times New Roman" w:hAnsi="Times New Roman"/>
          <w:sz w:val="18"/>
          <w:szCs w:val="18"/>
          <w:color w:val="auto"/>
        </w:rPr>
        <w:t>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the executive’s target bonus pro-rated for the year of termination, any earned, but unpaid bonus for the fiscal year prior to the fiscal year of termination; acceleration of 25% of Dr. Quisel’s unvested and outstanding time-based vesting equity awards and payment of COBRA premiums (subject to Dr. Quisel’s continued copayment of such premiums at the active employees’ rate) for up to 12 months following the termination date. 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 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William Savage</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Dr. Savage effective as of December 29, 2022,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 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this then current base salary, plus 100% of his target bonus for the year of termination, plus any earned, but unpaid bonus for the fiscal year prior to the fiscal year of termination.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 All severance 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Joanne Bryce</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Ms. Bryce effective as of December 29, 2022, or the Bryce Employment Agreement, who currently serves as our Chief Financial Officer, that supersedes her previous offer letter. The Bryce Employment Agreement provides for Ms. Bryce’s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her base salary and her eligibility to participate in the employee benefit plans generally available to our employees. The Bryce Employment Agreement also provides that upon a termination without cause (and not due to death or disability) or if Ms. Bryce resigns for good reason, in each case, outside of the period that is within 3 months prior to, or within 12 months after, the occurrence of the first event constituting a change in control, then Ms. Bryce is entitled to receive cash severance equal to continued base salary payments for 9 months, any earned, but unpaid bonus for the fiscal year prior to the fiscal year of termination, and payment of COBRA premiums (subject to Ms. Bryce’s continued copayment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3" w:name="page154"/>
    <w:bookmarkEnd w:id="153"/>
    <w:p>
      <w:pPr>
        <w:ind w:right="40"/>
        <w:spacing w:after="0" w:line="253" w:lineRule="auto"/>
        <w:rPr>
          <w:sz w:val="20"/>
          <w:szCs w:val="20"/>
          <w:color w:val="auto"/>
        </w:rPr>
      </w:pPr>
      <w:r>
        <w:rPr>
          <w:rFonts w:ascii="Times New Roman" w:cs="Times New Roman" w:eastAsia="Times New Roman" w:hAnsi="Times New Roman"/>
          <w:sz w:val="18"/>
          <w:szCs w:val="18"/>
          <w:color w:val="auto"/>
        </w:rPr>
        <w:t>of such premiums at the active employees’ rate) for up to 9 months. If within 3 months prior to 12 months following a change of control, Ms. Bryce is terminated by the Company or successor involuntarily without cause (and not due to death or disability) or Ms. Bryce resigns for good reason, Ms. Bryce shall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 outstanding equity awards subject to time-based vesting shall be immediately and fully accelerated and she shall be entitled to the payment of COBRA premiums (subject to Ms. Bryce’s continued copayment of such premiums at the active employees’ rate) for up to 12 months. All severance payments and benefits are conditioned upon Ms. Bryce’s execution of a release of claims in our favor. If as a result of a termination of his employment Ms. Bryce becomes subject to the excise tax imposed by Section 4999 of the Internal Revenue Code, Ms. Bryce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February 7, 2024, Ms. Bryce departed from her role as Chief Financial Officer. In connection with her departure, we entered into a Transition and Separation Agreement with Ms. Bryce, or the Bryce Separation Agreement, which provides that, subject to Ms. Bryce’s execution of the Bryce Separation Agreement, which included a release of claims in favor of the Company, Ms. Bryce will receive 100% of her target annual bonus for 2023, despite her not remaining an employee through the date of payment. In addition, subject to Mr. Bryce’s execution and nonrevocation of the Bryce Separation Agreement, her continued compliance with her Employee Confidentiality, Assignment, Non-solicitation and Noncompetition Agreement, dated as of September 14, 2021, and her cooperation with us to transition her duties and responsibilities, Ms. Bryce will be entitled to the following: (i) we will engage Ms. Bryce as an advisor between the date of her termination of employment (i.e., February 7, 2024) and the date that is nine months after such termination (i.e., November 7, 2024), unless she resigns prior to such date or we terminate her for cause (the “Advisor Period”), and during the Advisor Period we will pay Ms. Bryce $350 per hour of service she provides to the Company, (ii) her base salary for a period of nine months following her termination of employment, (iii) subject to her copayment of premium amounts at the applicable active employees’ rate and proper election to continue COBRA health coverage, payment of the portion of the premiums equal to the amount that we would have paid to provide health insurance to Ms. Bryce had she remained employed with us for up to nine months following her termination of employment, (iii) the period during which Ms. Bryce may exercise her vested and outstanding stock options following the cessation of her service relationship with us was extended to the earlier of (A) the date that is twelve months following the end of the Advisor Period and (b) the original expiration date of the stock option, and (iv) a prorated portion of her target annual bonus for 2024, prorated based on the number of days in 2024 she remained employed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named executive officers, like all full-time employees, are eligible to participate in our health and welfare benefit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Personal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generally do not provide perquisites to our executives.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During 2023, we implemented a safe harbor match under our 401(k) program of 50% of a participant’s eligible contributions, up to a total of 6% of eligible compensation. We did not provide a matching contribution to the named executive officers or to any employees in 2022.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Non-Employee Director Compensation Table</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non-employee member of our board of directors during the fiscal year ended December 31, 2023. Dr. Quisel, one of our directors who also serves as our Chief Executive Officer, does not receive any additional compensation for his service as a director. Dr. Quisel is one of our named executive officers and, accordingly, the compensation that we pay to Dr. Quisel is discussed above under ‘‘—2023 Summary Compensation Table’’ and ‘‘—Narrative to Summary Compensation Table.’’</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2023 for their services as members of the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8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0" w:type="dxa"/>
            <w:vAlign w:val="bottom"/>
          </w:tcPr>
          <w:p>
            <w:pPr>
              <w:spacing w:after="0"/>
              <w:rPr>
                <w:sz w:val="13"/>
                <w:szCs w:val="13"/>
                <w:color w:val="auto"/>
              </w:rPr>
            </w:pPr>
          </w:p>
        </w:tc>
        <w:tc>
          <w:tcPr>
            <w:tcW w:w="1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9"/>
                <w:szCs w:val="19"/>
                <w:b w:val="1"/>
                <w:bCs w:val="1"/>
                <w:color w:val="auto"/>
                <w:vertAlign w:val="superscript"/>
              </w:rPr>
              <w:t>(1)(4)</w:t>
            </w:r>
          </w:p>
        </w:tc>
        <w:tc>
          <w:tcPr>
            <w:tcW w:w="120" w:type="dxa"/>
            <w:vAlign w:val="bottom"/>
          </w:tcPr>
          <w:p>
            <w:pPr>
              <w:spacing w:after="0"/>
              <w:rPr>
                <w:sz w:val="13"/>
                <w:szCs w:val="13"/>
                <w:color w:val="auto"/>
              </w:rPr>
            </w:pPr>
          </w:p>
        </w:tc>
        <w:tc>
          <w:tcPr>
            <w:tcW w:w="17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164,000</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379,308</w:t>
            </w: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55,000</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270,308</w:t>
            </w: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Jay Backstrom, MD, M.P.H.</w:t>
            </w:r>
            <w:r>
              <w:rPr>
                <w:rFonts w:ascii="Times New Roman" w:cs="Times New Roman" w:eastAsia="Times New Roman" w:hAnsi="Times New Roman"/>
                <w:sz w:val="24"/>
                <w:szCs w:val="24"/>
                <w:color w:val="auto"/>
                <w:vertAlign w:val="superscript"/>
              </w:rPr>
              <w:t>(2)</w:t>
            </w:r>
          </w:p>
        </w:tc>
        <w:tc>
          <w:tcPr>
            <w:tcW w:w="1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17,692</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107,137</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124,829</w:t>
            </w: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49,000</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264,308</w:t>
            </w: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53,000</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268,308</w:t>
            </w: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47,500</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262,808</w:t>
            </w: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51,500</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266,808</w:t>
            </w:r>
          </w:p>
        </w:tc>
        <w:tc>
          <w:tcPr>
            <w:tcW w:w="0" w:type="dxa"/>
            <w:vAlign w:val="bottom"/>
          </w:tcPr>
          <w:p>
            <w:pPr>
              <w:spacing w:after="0"/>
              <w:rPr>
                <w:sz w:val="1"/>
                <w:szCs w:val="1"/>
                <w:color w:val="auto"/>
              </w:rPr>
            </w:pPr>
          </w:p>
        </w:tc>
      </w:tr>
      <w:tr>
        <w:trPr>
          <w:trHeight w:val="31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r>
              <w:rPr>
                <w:rFonts w:ascii="Times New Roman" w:cs="Times New Roman" w:eastAsia="Times New Roman" w:hAnsi="Times New Roman"/>
                <w:sz w:val="24"/>
                <w:szCs w:val="24"/>
                <w:color w:val="auto"/>
                <w:vertAlign w:val="superscript"/>
              </w:rPr>
              <w:t>(3)</w:t>
            </w:r>
          </w:p>
        </w:tc>
        <w:tc>
          <w:tcPr>
            <w:tcW w:w="1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40,000</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255,308</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380" w:right="60" w:hanging="372"/>
        <w:spacing w:after="0" w:line="236" w:lineRule="auto"/>
        <w:tabs>
          <w:tab w:leader="none" w:pos="380" w:val="left"/>
        </w:tabs>
        <w:numPr>
          <w:ilvl w:val="0"/>
          <w:numId w:val="6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amounts reported represent the aggregate grant date fair value of the stock options awarded to the non-employee directors during fiscal year 2023, calculated in accordance with FASB ASC Topic 718. The assumptions used in calculating the grant date fair value of the awards reported in this column are set forth in Note 2 to our consolidated financial statements included in this Annual Report on Form 10-K. The amounts reported in this column reflect the accounting cost for the stock options and does not correspond to the actual economic value that may be received upon exercise of the stock option or any sale of any of the underlying shares of common stock.</w:t>
      </w:r>
    </w:p>
    <w:p>
      <w:pPr>
        <w:spacing w:after="0" w:line="68" w:lineRule="exact"/>
        <w:rPr>
          <w:rFonts w:ascii="Times New Roman" w:cs="Times New Roman" w:eastAsia="Times New Roman" w:hAnsi="Times New Roman"/>
          <w:sz w:val="14"/>
          <w:szCs w:val="14"/>
          <w:color w:val="231F20"/>
        </w:rPr>
      </w:pPr>
    </w:p>
    <w:p>
      <w:pPr>
        <w:ind w:left="380" w:right="80" w:hanging="372"/>
        <w:spacing w:after="0" w:line="261" w:lineRule="auto"/>
        <w:tabs>
          <w:tab w:leader="none" w:pos="380" w:val="left"/>
        </w:tabs>
        <w:numPr>
          <w:ilvl w:val="0"/>
          <w:numId w:val="6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Dr. Backstrom resigned from our board on June 9, 2023. Upon Dr. Backstrom's resignation, our board approved an amendment to the stock options held by Dr. Backstrom to accelerate the vesting such that any unvested stock options held by Dr. Backstrom became vested and exercisable in full as of June 9, 2023.</w:t>
      </w:r>
    </w:p>
    <w:p>
      <w:pPr>
        <w:spacing w:after="0" w:line="54" w:lineRule="exact"/>
        <w:rPr>
          <w:rFonts w:ascii="Times New Roman" w:cs="Times New Roman" w:eastAsia="Times New Roman" w:hAnsi="Times New Roman"/>
          <w:sz w:val="14"/>
          <w:szCs w:val="14"/>
          <w:color w:val="231F20"/>
        </w:rPr>
      </w:pPr>
    </w:p>
    <w:p>
      <w:pPr>
        <w:ind w:left="380" w:hanging="372"/>
        <w:spacing w:after="0"/>
        <w:tabs>
          <w:tab w:leader="none" w:pos="380" w:val="left"/>
        </w:tabs>
        <w:numPr>
          <w:ilvl w:val="0"/>
          <w:numId w:val="6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Dr. Gemayel joined our board of directors on December 29, 2022.</w:t>
      </w:r>
    </w:p>
    <w:p>
      <w:pPr>
        <w:spacing w:after="0" w:line="95" w:lineRule="exact"/>
        <w:rPr>
          <w:rFonts w:ascii="Times New Roman" w:cs="Times New Roman" w:eastAsia="Times New Roman" w:hAnsi="Times New Roman"/>
          <w:sz w:val="14"/>
          <w:szCs w:val="14"/>
          <w:color w:val="231F20"/>
        </w:rPr>
      </w:pPr>
    </w:p>
    <w:p>
      <w:pPr>
        <w:ind w:left="380" w:hanging="372"/>
        <w:spacing w:after="0"/>
        <w:tabs>
          <w:tab w:leader="none" w:pos="380" w:val="left"/>
        </w:tabs>
        <w:numPr>
          <w:ilvl w:val="0"/>
          <w:numId w:val="6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As of December 31, 2023, our non-employee members of our board of directors held the following aggregate number of unexercised options as of such date:</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8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9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0" w:type="dxa"/>
            <w:vAlign w:val="bottom"/>
          </w:tcPr>
          <w:p>
            <w:pPr>
              <w:spacing w:after="0"/>
              <w:rPr>
                <w:sz w:val="1"/>
                <w:szCs w:val="1"/>
                <w:color w:val="auto"/>
              </w:rPr>
            </w:pPr>
          </w:p>
        </w:tc>
      </w:tr>
      <w:tr>
        <w:trPr>
          <w:trHeight w:val="187"/>
        </w:trPr>
        <w:tc>
          <w:tcPr>
            <w:tcW w:w="86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37"/>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2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135,598</w:t>
            </w:r>
          </w:p>
        </w:tc>
        <w:tc>
          <w:tcPr>
            <w:tcW w:w="0" w:type="dxa"/>
            <w:vAlign w:val="bottom"/>
          </w:tcPr>
          <w:p>
            <w:pPr>
              <w:spacing w:after="0"/>
              <w:rPr>
                <w:sz w:val="1"/>
                <w:szCs w:val="1"/>
                <w:color w:val="auto"/>
              </w:rPr>
            </w:pPr>
          </w:p>
        </w:tc>
      </w:tr>
      <w:tr>
        <w:trPr>
          <w:trHeight w:val="23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2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18,376</w:t>
            </w:r>
          </w:p>
        </w:tc>
        <w:tc>
          <w:tcPr>
            <w:tcW w:w="0" w:type="dxa"/>
            <w:vAlign w:val="bottom"/>
          </w:tcPr>
          <w:p>
            <w:pPr>
              <w:spacing w:after="0"/>
              <w:rPr>
                <w:sz w:val="1"/>
                <w:szCs w:val="1"/>
                <w:color w:val="auto"/>
              </w:rPr>
            </w:pPr>
          </w:p>
        </w:tc>
      </w:tr>
      <w:tr>
        <w:trPr>
          <w:trHeight w:val="247"/>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Jay Backstrom, MD, M.P.H</w:t>
            </w:r>
          </w:p>
        </w:tc>
        <w:tc>
          <w:tcPr>
            <w:tcW w:w="2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30,743</w:t>
            </w:r>
          </w:p>
        </w:tc>
        <w:tc>
          <w:tcPr>
            <w:tcW w:w="0" w:type="dxa"/>
            <w:vAlign w:val="bottom"/>
          </w:tcPr>
          <w:p>
            <w:pPr>
              <w:spacing w:after="0"/>
              <w:rPr>
                <w:sz w:val="1"/>
                <w:szCs w:val="1"/>
                <w:color w:val="auto"/>
              </w:rPr>
            </w:pPr>
          </w:p>
        </w:tc>
      </w:tr>
      <w:tr>
        <w:trPr>
          <w:trHeight w:val="23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2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47"/>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2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3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2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47"/>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2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34"/>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2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102,082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80" w:right="280" w:hanging="127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Our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common stock as of February 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by:</w:t>
      </w:r>
    </w:p>
    <w:p>
      <w:pPr>
        <w:spacing w:after="0" w:line="99"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to us to be the beneficial owner of 5% or more of the outstanding shares of our common stock;</w:t>
      </w:r>
    </w:p>
    <w:p>
      <w:pPr>
        <w:spacing w:after="0" w:line="12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5" w:name="page156"/>
    <w:bookmarkEnd w:id="155"/>
    <w:p>
      <w:pPr>
        <w:ind w:left="760" w:right="34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 and our other executive officers who served during the year ended December 31, 2023, named in the Summary Compensation table above, whom, collectively, we refer to as our named executive officers;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February 29, 2024.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24,681,028 shares of our common stock outstanding as of February 29, 2024. Except as otherwise indicated in the footnotes below, the address of the beneficial owner is c/o Disc Medicine, Inc., 321 Arsenal Street, Suite 101, Watertown, MA 02472.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7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7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7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7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7"/>
        </w:trPr>
        <w:tc>
          <w:tcPr>
            <w:tcW w:w="7560" w:type="dxa"/>
            <w:vAlign w:val="bottom"/>
          </w:tcPr>
          <w:p>
            <w:pPr>
              <w:spacing w:after="0"/>
              <w:rPr>
                <w:sz w:val="16"/>
                <w:szCs w:val="16"/>
                <w:color w:val="auto"/>
              </w:rPr>
            </w:pPr>
          </w:p>
        </w:tc>
        <w:tc>
          <w:tcPr>
            <w:tcW w:w="1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tcPr>
          <w:p>
            <w:pPr>
              <w:spacing w:after="0"/>
              <w:rPr>
                <w:sz w:val="16"/>
                <w:szCs w:val="16"/>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7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56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(1)</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3,345,840</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13.45 %</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Paradigm</w:t>
            </w:r>
            <w:r>
              <w:rPr>
                <w:rFonts w:ascii="Times New Roman" w:cs="Times New Roman" w:eastAsia="Times New Roman" w:hAnsi="Times New Roman"/>
                <w:sz w:val="24"/>
                <w:szCs w:val="24"/>
                <w:color w:val="auto"/>
                <w:vertAlign w:val="superscript"/>
              </w:rPr>
              <w:t>(2)</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2,385,857</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Atlas Venture Fund</w:t>
            </w:r>
            <w:r>
              <w:rPr>
                <w:rFonts w:ascii="Times New Roman" w:cs="Times New Roman" w:eastAsia="Times New Roman" w:hAnsi="Times New Roman"/>
                <w:sz w:val="24"/>
                <w:szCs w:val="24"/>
                <w:color w:val="auto"/>
                <w:vertAlign w:val="superscript"/>
              </w:rPr>
              <w:t>(3)</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2,355,172</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FMR LLC (Fidelity)</w:t>
            </w:r>
            <w:r>
              <w:rPr>
                <w:rFonts w:ascii="Times New Roman" w:cs="Times New Roman" w:eastAsia="Times New Roman" w:hAnsi="Times New Roman"/>
                <w:sz w:val="24"/>
                <w:szCs w:val="24"/>
                <w:color w:val="auto"/>
                <w:vertAlign w:val="superscript"/>
              </w:rPr>
              <w:t>(4)</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2,166,819</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OrbiMed</w:t>
            </w:r>
            <w:r>
              <w:rPr>
                <w:rFonts w:ascii="Times New Roman" w:cs="Times New Roman" w:eastAsia="Times New Roman" w:hAnsi="Times New Roman"/>
                <w:sz w:val="24"/>
                <w:szCs w:val="24"/>
                <w:color w:val="auto"/>
                <w:vertAlign w:val="superscript"/>
              </w:rPr>
              <w:t>(5)</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1,702,237</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0" w:type="dxa"/>
            <w:vAlign w:val="bottom"/>
          </w:tcPr>
          <w:p>
            <w:pPr>
              <w:spacing w:after="0"/>
              <w:rPr>
                <w:sz w:val="1"/>
                <w:szCs w:val="1"/>
                <w:color w:val="auto"/>
              </w:rPr>
            </w:pPr>
          </w:p>
        </w:tc>
      </w:tr>
      <w:tr>
        <w:trPr>
          <w:trHeight w:val="268"/>
        </w:trPr>
        <w:tc>
          <w:tcPr>
            <w:tcW w:w="756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Bain Capital Life Sciences Opportunities III, LP</w:t>
            </w:r>
            <w:r>
              <w:rPr>
                <w:rFonts w:ascii="Times New Roman" w:cs="Times New Roman" w:eastAsia="Times New Roman" w:hAnsi="Times New Roman"/>
                <w:sz w:val="24"/>
                <w:szCs w:val="24"/>
                <w:color w:val="auto"/>
                <w:vertAlign w:val="superscript"/>
              </w:rPr>
              <w:t>(6)</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1,332,545</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John Quisel, J.D., Ph.D.</w:t>
            </w:r>
            <w:r>
              <w:rPr>
                <w:rFonts w:ascii="Times New Roman" w:cs="Times New Roman" w:eastAsia="Times New Roman" w:hAnsi="Times New Roman"/>
                <w:sz w:val="24"/>
                <w:szCs w:val="24"/>
                <w:color w:val="auto"/>
                <w:vertAlign w:val="superscript"/>
              </w:rPr>
              <w:t>(7)</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456,829</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68"/>
        </w:trPr>
        <w:tc>
          <w:tcPr>
            <w:tcW w:w="756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William Savage, MD, Ph.D.</w:t>
            </w:r>
            <w:r>
              <w:rPr>
                <w:rFonts w:ascii="Times New Roman" w:cs="Times New Roman" w:eastAsia="Times New Roman" w:hAnsi="Times New Roman"/>
                <w:sz w:val="24"/>
                <w:szCs w:val="24"/>
                <w:color w:val="auto"/>
                <w:vertAlign w:val="superscript"/>
              </w:rPr>
              <w:t>(8)</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77,066</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Joanne Bryce, CPA </w:t>
            </w:r>
            <w:r>
              <w:rPr>
                <w:rFonts w:ascii="Times New Roman" w:cs="Times New Roman" w:eastAsia="Times New Roman" w:hAnsi="Times New Roman"/>
                <w:sz w:val="24"/>
                <w:szCs w:val="24"/>
                <w:color w:val="auto"/>
                <w:vertAlign w:val="superscript"/>
              </w:rPr>
              <w:t>(9)</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65,731</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Mona Ashiya, Ph.D.</w:t>
            </w:r>
            <w:r>
              <w:rPr>
                <w:rFonts w:ascii="Times New Roman" w:cs="Times New Roman" w:eastAsia="Times New Roman" w:hAnsi="Times New Roman"/>
                <w:sz w:val="24"/>
                <w:szCs w:val="24"/>
                <w:color w:val="auto"/>
                <w:vertAlign w:val="superscript"/>
              </w:rPr>
              <w:t>(10)</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7,000</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Kevin Bitterman, Ph.D.</w:t>
            </w:r>
            <w:r>
              <w:rPr>
                <w:rFonts w:ascii="Times New Roman" w:cs="Times New Roman" w:eastAsia="Times New Roman" w:hAnsi="Times New Roman"/>
                <w:sz w:val="24"/>
                <w:szCs w:val="24"/>
                <w:color w:val="auto"/>
                <w:vertAlign w:val="superscript"/>
              </w:rPr>
              <w:t>(10)</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7,000</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Mark Chin, MS, MBA</w:t>
            </w:r>
            <w:r>
              <w:rPr>
                <w:rFonts w:ascii="Times New Roman" w:cs="Times New Roman" w:eastAsia="Times New Roman" w:hAnsi="Times New Roman"/>
                <w:sz w:val="24"/>
                <w:szCs w:val="24"/>
                <w:color w:val="auto"/>
                <w:vertAlign w:val="superscript"/>
              </w:rPr>
              <w:t>(10)</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7,000</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Georges Gemayel</w:t>
            </w:r>
            <w:r>
              <w:rPr>
                <w:rFonts w:ascii="Times New Roman" w:cs="Times New Roman" w:eastAsia="Times New Roman" w:hAnsi="Times New Roman"/>
                <w:sz w:val="24"/>
                <w:szCs w:val="24"/>
                <w:color w:val="auto"/>
                <w:vertAlign w:val="superscript"/>
              </w:rPr>
              <w:t>(11)</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94,946</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Donald Nicholson, Ph.D.</w:t>
            </w:r>
            <w:r>
              <w:rPr>
                <w:rFonts w:ascii="Times New Roman" w:cs="Times New Roman" w:eastAsia="Times New Roman" w:hAnsi="Times New Roman"/>
                <w:sz w:val="24"/>
                <w:szCs w:val="24"/>
                <w:color w:val="auto"/>
                <w:vertAlign w:val="superscript"/>
              </w:rPr>
              <w:t>(12)</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131,421</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Liam Ratcliffe, MD, Ph.D.</w:t>
            </w:r>
            <w:r>
              <w:rPr>
                <w:rFonts w:ascii="Times New Roman" w:cs="Times New Roman" w:eastAsia="Times New Roman" w:hAnsi="Times New Roman"/>
                <w:sz w:val="24"/>
                <w:szCs w:val="24"/>
                <w:color w:val="auto"/>
                <w:vertAlign w:val="superscript"/>
              </w:rPr>
              <w:t>(10)</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7,000</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William White, MPP, J.D.</w:t>
            </w:r>
            <w:r>
              <w:rPr>
                <w:rFonts w:ascii="Times New Roman" w:cs="Times New Roman" w:eastAsia="Times New Roman" w:hAnsi="Times New Roman"/>
                <w:sz w:val="24"/>
                <w:szCs w:val="24"/>
                <w:color w:val="auto"/>
                <w:vertAlign w:val="superscript"/>
              </w:rPr>
              <w:t>(13)</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2,560</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(14 persons)</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1,004,613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-2619375</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-2310765</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-2002155</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-1693545</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19030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beneficial ownership of less than 1% of our outstanding common stock.</w:t>
      </w:r>
    </w:p>
    <w:p>
      <w:pPr>
        <w:spacing w:after="0" w:line="96" w:lineRule="exact"/>
        <w:rPr>
          <w:sz w:val="20"/>
          <w:szCs w:val="20"/>
          <w:color w:val="auto"/>
        </w:rPr>
      </w:pPr>
    </w:p>
    <w:p>
      <w:pPr>
        <w:ind w:left="380" w:right="160" w:hanging="372"/>
        <w:spacing w:after="0" w:line="233" w:lineRule="auto"/>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held by AI DMI LLC may be deemed to be beneficially owned by Access Industries Holdings LLC, or AIH, Access Industries Management, LLC, or AIM, and Len Blavatnik because (i) AIH indirectly controls all of the outstanding voting interests in AI DMI LLC, (ii) AIM controls AIH and (iii) Mr. Blavatnik controls AIM and holds a majority of the outstanding voting interests in AIH. Liam Ratcliffe, a member of our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69" w:lineRule="exact"/>
        <w:rPr>
          <w:rFonts w:ascii="Times New Roman" w:cs="Times New Roman" w:eastAsia="Times New Roman" w:hAnsi="Times New Roman"/>
          <w:sz w:val="14"/>
          <w:szCs w:val="14"/>
          <w:color w:val="auto"/>
        </w:rPr>
      </w:pPr>
    </w:p>
    <w:p>
      <w:pPr>
        <w:ind w:left="380" w:right="120" w:hanging="372"/>
        <w:spacing w:after="0"/>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as of December 31, 2023 and based solely on information contained in the Schedule 13G/A filed with the SEC on February 14, 2024 by Paradigm BioCapital Advisors LP, or the Adviser, Paradigm BioCapital Advisors GP LLC, or the Adviser GP, Senai Asefaw, M.D., or Senai Asefaw, and Paradigm BioCapital International Fund Ltd., or the Fund. The Fund is a private investment vehicle. The Fund and one or more separately managed accounts managed by the Adviser, or the Account, directly beneficially own the shares. The Adviser is the investment manager of the Fund and the Account. The Adviser GP is the general partner of the Adviser. Senai Asefaw is the managing member of the Adviser GP. The Adviser, the Adviser GP and Senai Asefaw may be deemed to beneficially own the shares directly beneficially owned by the Fund and the Account. Each Reporting Person disclaims beneficial ownership with respect to any shares other than the shares directly beneficially owned by such Reporting Person. The principal business office address is 767 Third Avenue, 17th Floor, New York, NY 10017.</w:t>
      </w:r>
    </w:p>
    <w:p>
      <w:pPr>
        <w:spacing w:after="0" w:line="181" w:lineRule="exact"/>
        <w:rPr>
          <w:rFonts w:ascii="Times New Roman" w:cs="Times New Roman" w:eastAsia="Times New Roman" w:hAnsi="Times New Roman"/>
          <w:sz w:val="14"/>
          <w:szCs w:val="14"/>
          <w:color w:val="auto"/>
        </w:rPr>
      </w:pPr>
    </w:p>
    <w:p>
      <w:pPr>
        <w:ind w:left="380" w:right="200" w:hanging="372"/>
        <w:spacing w:after="0" w:line="229" w:lineRule="auto"/>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1,402,186 shares held by Atlas Venture Fund X, L.P., or Atlas Fund X, 703,660 shares held by Atlas Venture Opportunity Fund I, L.P., or AVOF I, 198,326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56" w:name="page157"/>
    <w:bookmarkEnd w:id="156"/>
    <w:p>
      <w:pPr>
        <w:ind w:left="380" w:right="40"/>
        <w:spacing w:after="0" w:line="226" w:lineRule="auto"/>
        <w:rPr>
          <w:sz w:val="20"/>
          <w:szCs w:val="20"/>
          <w:color w:val="auto"/>
        </w:rPr>
      </w:pPr>
      <w:r>
        <w:rPr>
          <w:rFonts w:ascii="Times New Roman" w:cs="Times New Roman" w:eastAsia="Times New Roman" w:hAnsi="Times New Roman"/>
          <w:sz w:val="14"/>
          <w:szCs w:val="14"/>
          <w:color w:val="auto"/>
        </w:rPr>
        <w:t>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pacing w:after="0" w:line="74" w:lineRule="exact"/>
        <w:rPr>
          <w:sz w:val="20"/>
          <w:szCs w:val="20"/>
          <w:color w:val="auto"/>
        </w:rPr>
      </w:pPr>
    </w:p>
    <w:p>
      <w:pPr>
        <w:ind w:left="380" w:hanging="372"/>
        <w:spacing w:after="0" w:line="231" w:lineRule="auto"/>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2,166,819 shares are beneficially owned, or that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69" w:lineRule="exact"/>
        <w:rPr>
          <w:rFonts w:ascii="Times New Roman" w:cs="Times New Roman" w:eastAsia="Times New Roman" w:hAnsi="Times New Roman"/>
          <w:sz w:val="14"/>
          <w:szCs w:val="14"/>
          <w:color w:val="auto"/>
        </w:rPr>
      </w:pPr>
    </w:p>
    <w:p>
      <w:pPr>
        <w:ind w:left="380" w:right="40" w:hanging="372"/>
        <w:spacing w:after="0" w:line="261" w:lineRule="auto"/>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OrbiMed Advisors LLC exercises voting and investment power through a management committee comprised of Carl L. Gordon, Sven H. Borho, and W. Carter Neild. The business address is 601 Lexington Avenue, 54th Floor, New York, NY 10022.</w:t>
      </w:r>
    </w:p>
    <w:p>
      <w:pPr>
        <w:spacing w:after="0" w:line="54" w:lineRule="exact"/>
        <w:rPr>
          <w:rFonts w:ascii="Times New Roman" w:cs="Times New Roman" w:eastAsia="Times New Roman" w:hAnsi="Times New Roman"/>
          <w:sz w:val="14"/>
          <w:szCs w:val="14"/>
          <w:color w:val="auto"/>
        </w:rPr>
      </w:pPr>
    </w:p>
    <w:p>
      <w:pPr>
        <w:ind w:left="380" w:right="80" w:hanging="372"/>
        <w:spacing w:after="0" w:line="231" w:lineRule="auto"/>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Bain Capital Life Sciences Investors, LLC, a Delaware limited liability company, or BCLSI, is the manager of Bain Capital Life Sciences III General Partner, LLC, a Delaware limited liability company, or BCLS Fund III GP, which is the general partner of Bain Capital Life Sciences Fund III, L.P., a Delaware limited partnership, or BCLS Fund III, which is the sole member of Bain Capital Life Sciences Opportunities III GP, a Delaware limited liability company, or BCLS III Opportunities GP, and, together with BCLSI, BCLS Fund III GP and BCLS Fund III, the Bain Capital Life Sciences Entities, which is the general partner of BCLSI. As a result, BCLSI may be deemed to share voting and dispositive power with respect to the securities held by BCLSI. The business address of these entities is 200 Clarendon Street, Boston, Massachusetts 02116. The principal business address for each of the Bain Capital Life Sciences Entities is 200 Clarendon Street, Boston, Massachusetts 02116.</w:t>
      </w:r>
    </w:p>
    <w:p>
      <w:pPr>
        <w:spacing w:after="0" w:line="69"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2,700 shares of common stock and options to purchase 454,129 shares of our common stock that are exercisable within 60 days of February 29, 2024.</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 shares of common stock and options to purchase 74,066 shares of our common stock that are exercisable within 60 days of February 29, 2024.</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5,996 shares of common stock and options to purchase 59,735 shares of our common stock that are exercisable within 60 days of February 29, 2024.</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7,000 shares of our common stock that are exercisable within 60 days of February 29, 2024.</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94,946 shares of our common stock that are exercisable within 60 days of February 29, 2024.</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15,332 shares of common stock and options to purchase 116,089 shares of our common stock that are exercisable within 60 days of February 29, 2024.</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2,560 shares of our common stock that are exercisable within 60 days of February 29,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 Plan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2023.</w:t>
      </w:r>
    </w:p>
    <w:p>
      <w:pPr>
        <w:spacing w:after="0" w:line="11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2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6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5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1320" w:type="dxa"/>
            <w:vAlign w:val="bottom"/>
            <w:gridSpan w:val="2"/>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20" w:type="dxa"/>
            <w:vAlign w:val="bottom"/>
          </w:tcPr>
          <w:p>
            <w:pPr>
              <w:spacing w:after="0"/>
              <w:rPr>
                <w:sz w:val="12"/>
                <w:szCs w:val="12"/>
                <w:color w:val="auto"/>
              </w:rPr>
            </w:pPr>
          </w:p>
        </w:tc>
        <w:tc>
          <w:tcPr>
            <w:tcW w:w="14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87"/>
        </w:trPr>
        <w:tc>
          <w:tcPr>
            <w:tcW w:w="65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38"/>
              <w:spacing w:after="0" w:line="169"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(3)</w:t>
            </w:r>
          </w:p>
        </w:tc>
        <w:tc>
          <w:tcPr>
            <w:tcW w:w="120" w:type="dxa"/>
            <w:vAlign w:val="bottom"/>
          </w:tcPr>
          <w:p>
            <w:pPr>
              <w:spacing w:after="0"/>
              <w:rPr>
                <w:sz w:val="14"/>
                <w:szCs w:val="14"/>
                <w:color w:val="auto"/>
              </w:rPr>
            </w:pPr>
          </w:p>
        </w:tc>
        <w:tc>
          <w:tcPr>
            <w:tcW w:w="14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3"/>
        </w:trPr>
        <w:tc>
          <w:tcPr>
            <w:tcW w:w="6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90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Stock Option and Incentive Plan</w:t>
            </w:r>
            <w:r>
              <w:rPr>
                <w:rFonts w:ascii="Times New Roman" w:cs="Times New Roman" w:eastAsia="Times New Roman" w:hAnsi="Times New Roman"/>
                <w:sz w:val="24"/>
                <w:szCs w:val="24"/>
                <w:color w:val="auto"/>
                <w:vertAlign w:val="superscript"/>
              </w:rPr>
              <w:t>(1)</w:t>
            </w:r>
          </w:p>
        </w:tc>
        <w:tc>
          <w:tcPr>
            <w:tcW w:w="16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959,469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23.15</w:t>
            </w:r>
          </w:p>
        </w:tc>
        <w:tc>
          <w:tcPr>
            <w:tcW w:w="16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1,561,926</w:t>
            </w:r>
          </w:p>
        </w:tc>
        <w:tc>
          <w:tcPr>
            <w:tcW w:w="0" w:type="dxa"/>
            <w:vAlign w:val="bottom"/>
          </w:tcPr>
          <w:p>
            <w:pPr>
              <w:spacing w:after="0"/>
              <w:rPr>
                <w:sz w:val="1"/>
                <w:szCs w:val="1"/>
                <w:color w:val="auto"/>
              </w:rPr>
            </w:pPr>
          </w:p>
        </w:tc>
      </w:tr>
      <w:tr>
        <w:trPr>
          <w:trHeight w:val="243"/>
        </w:trPr>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900" w:type="dxa"/>
            <w:vAlign w:val="bottom"/>
            <w:shd w:val="clear" w:color="auto" w:fill="CFF0FC"/>
          </w:tcPr>
          <w:p>
            <w:pPr>
              <w:ind w:left="40"/>
              <w:spacing w:after="0" w:line="243" w:lineRule="exact"/>
              <w:rPr>
                <w:sz w:val="20"/>
                <w:szCs w:val="20"/>
                <w:color w:val="auto"/>
              </w:rPr>
            </w:pPr>
            <w:r>
              <w:rPr>
                <w:rFonts w:ascii="Times New Roman" w:cs="Times New Roman" w:eastAsia="Times New Roman" w:hAnsi="Times New Roman"/>
                <w:sz w:val="18"/>
                <w:szCs w:val="18"/>
                <w:color w:val="auto"/>
              </w:rPr>
              <w:t>Employee Stock Purchase Plan</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222,953</w:t>
            </w:r>
          </w:p>
        </w:tc>
        <w:tc>
          <w:tcPr>
            <w:tcW w:w="0" w:type="dxa"/>
            <w:vAlign w:val="bottom"/>
          </w:tcPr>
          <w:p>
            <w:pPr>
              <w:spacing w:after="0"/>
              <w:rPr>
                <w:sz w:val="1"/>
                <w:szCs w:val="1"/>
                <w:color w:val="auto"/>
              </w:rPr>
            </w:pPr>
          </w:p>
        </w:tc>
      </w:tr>
      <w:tr>
        <w:trPr>
          <w:trHeight w:val="241"/>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 and Grant Plan of Disc</w:t>
            </w:r>
          </w:p>
        </w:tc>
        <w:tc>
          <w:tcPr>
            <w:tcW w:w="16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1,491,591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20"/>
                <w:szCs w:val="20"/>
                <w:color w:val="auto"/>
              </w:rPr>
            </w:pPr>
          </w:p>
        </w:tc>
        <w:tc>
          <w:tcPr>
            <w:tcW w:w="1480" w:type="dxa"/>
            <w:vAlign w:val="bottom"/>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5"/>
        </w:trPr>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5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Option and Grant Plan of Gemini</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6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7,977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125.90</w:t>
            </w:r>
          </w:p>
        </w:tc>
        <w:tc>
          <w:tcPr>
            <w:tcW w:w="160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153,712</w:t>
            </w:r>
          </w:p>
        </w:tc>
        <w:tc>
          <w:tcPr>
            <w:tcW w:w="0" w:type="dxa"/>
            <w:vAlign w:val="bottom"/>
          </w:tcPr>
          <w:p>
            <w:pPr>
              <w:spacing w:after="0"/>
              <w:rPr>
                <w:sz w:val="1"/>
                <w:szCs w:val="1"/>
                <w:color w:val="auto"/>
              </w:rPr>
            </w:pP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900" w:type="dxa"/>
            <w:vAlign w:val="bottom"/>
          </w:tcPr>
          <w:p>
            <w:pPr>
              <w:spacing w:after="0"/>
              <w:rPr>
                <w:sz w:val="20"/>
                <w:szCs w:val="20"/>
                <w:color w:val="auto"/>
              </w:rPr>
            </w:pPr>
          </w:p>
        </w:tc>
        <w:tc>
          <w:tcPr>
            <w:tcW w:w="16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2,459,037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1,938,591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0" w:hanging="512"/>
        <w:spacing w:after="0" w:line="236"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974,409 shares to the 2021 Stock Option and Incentive Plan effective January 1, 2024.</w:t>
      </w:r>
    </w:p>
    <w:p>
      <w:pPr>
        <w:spacing w:after="0" w:line="68" w:lineRule="exact"/>
        <w:rPr>
          <w:rFonts w:ascii="Times New Roman" w:cs="Times New Roman" w:eastAsia="Times New Roman" w:hAnsi="Times New Roman"/>
          <w:sz w:val="14"/>
          <w:szCs w:val="14"/>
          <w:color w:val="auto"/>
        </w:rPr>
      </w:pPr>
    </w:p>
    <w:p>
      <w:pPr>
        <w:ind w:left="520" w:right="240" w:hanging="512"/>
        <w:spacing w:after="0" w:line="236"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2024.</w:t>
      </w:r>
    </w:p>
    <w:p>
      <w:pPr>
        <w:spacing w:after="0" w:line="68" w:lineRule="exact"/>
        <w:rPr>
          <w:rFonts w:ascii="Times New Roman" w:cs="Times New Roman" w:eastAsia="Times New Roman" w:hAnsi="Times New Roman"/>
          <w:sz w:val="14"/>
          <w:szCs w:val="14"/>
          <w:color w:val="auto"/>
        </w:rPr>
      </w:pPr>
    </w:p>
    <w:p>
      <w:pPr>
        <w:ind w:left="520" w:right="340" w:hanging="512"/>
        <w:spacing w:after="0" w:line="261"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is calculated based solely on outstanding stock options and does not include outstanding restricted stock awards, which do not have an exercise price.</w:t>
      </w:r>
    </w:p>
    <w:p>
      <w:pPr>
        <w:spacing w:after="0" w:line="1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2023, to which we were or will be a party, in which:</w:t>
      </w:r>
    </w:p>
    <w:p>
      <w:pPr>
        <w:spacing w:after="0" w:line="117" w:lineRule="exact"/>
        <w:rPr>
          <w:sz w:val="20"/>
          <w:szCs w:val="20"/>
          <w:color w:val="auto"/>
        </w:rPr>
      </w:pPr>
    </w:p>
    <w:p>
      <w:pPr>
        <w:ind w:left="760" w:right="20" w:hanging="378"/>
        <w:spacing w:after="0" w:line="282" w:lineRule="auto"/>
        <w:tabs>
          <w:tab w:leader="none" w:pos="8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our total assets for the last two completed fiscal years; and</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arrangements for our named executive officers and directors are described in Item 11 – Executive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and sale of 3,015,919 shares of our common stock, par value $0.0001, at a purchase price of $49.00 per share and pre-funded warrants to purchase an aggregate of 204,081 shares of our common stock at a purchase price of $48.9999 per pre-funded warrant, for an aggregate total proceeds of $157.8 million before deducting underwriting discounts, commissions and other offering expenses. The shares of common stock sold included 420,000 shares sold pursuant to an option granted to the underwriters, which was exercised in full. The purchaser of the pre-funded warrants was a beneficial holder of more than 5% of our capital stock.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Shares of our</w:t>
            </w:r>
          </w:p>
        </w:tc>
        <w:tc>
          <w:tcPr>
            <w:tcW w:w="120" w:type="dxa"/>
            <w:vAlign w:val="bottom"/>
          </w:tcPr>
          <w:p>
            <w:pPr>
              <w:spacing w:after="0"/>
              <w:rPr>
                <w:sz w:val="13"/>
                <w:szCs w:val="13"/>
                <w:color w:val="auto"/>
              </w:rPr>
            </w:pPr>
          </w:p>
        </w:tc>
        <w:tc>
          <w:tcPr>
            <w:tcW w:w="17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7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7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40" w:type="dxa"/>
            <w:vAlign w:val="bottom"/>
          </w:tcPr>
          <w:p>
            <w:pPr>
              <w:spacing w:after="0"/>
              <w:rPr>
                <w:sz w:val="12"/>
                <w:szCs w:val="12"/>
                <w:color w:val="auto"/>
              </w:rPr>
            </w:pPr>
          </w:p>
        </w:tc>
        <w:tc>
          <w:tcPr>
            <w:tcW w:w="17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20" w:type="dxa"/>
            <w:vAlign w:val="bottom"/>
          </w:tcPr>
          <w:p>
            <w:pPr>
              <w:spacing w:after="0"/>
              <w:rPr>
                <w:sz w:val="12"/>
                <w:szCs w:val="12"/>
                <w:color w:val="auto"/>
              </w:rPr>
            </w:pPr>
          </w:p>
        </w:tc>
        <w:tc>
          <w:tcPr>
            <w:tcW w:w="1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754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204,081</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9,999,949</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11"/>
                <w:szCs w:val="11"/>
                <w:color w:val="auto"/>
              </w:rPr>
            </w:pPr>
          </w:p>
        </w:tc>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right="360" w:hanging="372"/>
        <w:spacing w:after="0" w:line="261" w:lineRule="auto"/>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or the Purchase Agreement, with certain investors. Pursuant to the Purchase Agreement, we sold (i) an aggregate of 1,488,166 shares of our common stock, at a purchase price of $23.00 per share, and (ii) with respect to certain investors, in lieu of shares of our common stock, pre-funded warrants to purchase an aggregate of 1,229,224 shares of our common stock, at a purchase price of $22.9999 per pre-funded warrant, for aggregate gross proceeds of approximately $62.5 million. During the twelve months ended December 31, 2023, all of the pre-funded warrants were exercised in a cashless transaction which resulted in 1,229,221 shares of common stock being issued to the investor. The investors or their affiliates are beneficial holders of more than 5% of our capital stock, and the table below sets forth the number of shares of our common stock and pre-funded warrants to purchase shares of our common stock purchased by such 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2"/>
                <w:szCs w:val="12"/>
                <w:color w:val="auto"/>
              </w:rPr>
            </w:pPr>
          </w:p>
        </w:tc>
        <w:tc>
          <w:tcPr>
            <w:tcW w:w="14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120" w:type="dxa"/>
            <w:vAlign w:val="bottom"/>
          </w:tcPr>
          <w:p>
            <w:pPr>
              <w:spacing w:after="0"/>
              <w:rPr>
                <w:sz w:val="12"/>
                <w:szCs w:val="12"/>
                <w:color w:val="auto"/>
              </w:rPr>
            </w:pPr>
          </w:p>
        </w:tc>
        <w:tc>
          <w:tcPr>
            <w:tcW w:w="14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Stock Underlying</w:t>
            </w:r>
          </w:p>
        </w:tc>
        <w:tc>
          <w:tcPr>
            <w:tcW w:w="100" w:type="dxa"/>
            <w:vAlign w:val="bottom"/>
          </w:tcPr>
          <w:p>
            <w:pPr>
              <w:spacing w:after="0"/>
              <w:rPr>
                <w:sz w:val="12"/>
                <w:szCs w:val="12"/>
                <w:color w:val="auto"/>
              </w:rPr>
            </w:pPr>
          </w:p>
        </w:tc>
        <w:tc>
          <w:tcPr>
            <w:tcW w:w="14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4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0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6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4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Bain Capital Life Sciences Opportunities III, L.P.</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944,687</w:t>
            </w:r>
          </w:p>
        </w:tc>
        <w:tc>
          <w:tcPr>
            <w:tcW w:w="15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1,229,224</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49,999,830</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Entities affiliated with OrbiMed Advisors LLC</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15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108,696</w:t>
            </w:r>
          </w:p>
        </w:tc>
        <w:tc>
          <w:tcPr>
            <w:tcW w:w="120" w:type="dxa"/>
            <w:vAlign w:val="bottom"/>
          </w:tcPr>
          <w:p>
            <w:pPr>
              <w:spacing w:after="0"/>
              <w:rPr>
                <w:sz w:val="21"/>
                <w:szCs w:val="21"/>
                <w:color w:val="auto"/>
              </w:rPr>
            </w:pPr>
          </w:p>
        </w:tc>
        <w:tc>
          <w:tcPr>
            <w:tcW w:w="146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2,500,008</w:t>
            </w: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434,783</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10,000,009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Bain Capital Life Sciences Opportunities III, L.P. beneficially owns more than five percent of our outstanding capital stock.</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OrbiMed Advisors LLC beneficially own more than five percent of our outstanding capital stock. Dr. Ashiya is a Partner at OrbiMed Advisors LLC and a member of our board of directors.</w:t>
      </w:r>
    </w:p>
    <w:p>
      <w:pPr>
        <w:spacing w:after="0" w:line="54" w:lineRule="exact"/>
        <w:rPr>
          <w:rFonts w:ascii="Times New Roman" w:cs="Times New Roman" w:eastAsia="Times New Roman" w:hAnsi="Times New Roman"/>
          <w:sz w:val="14"/>
          <w:szCs w:val="14"/>
          <w:color w:val="auto"/>
        </w:rPr>
      </w:pPr>
    </w:p>
    <w:p>
      <w:pPr>
        <w:ind w:left="380" w:right="360" w:hanging="372"/>
        <w:spacing w:after="0" w:line="261"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Ernst &amp; Young LLP, or EY, has served as our independent registered public accounting firm since 2020 and has audited our financial statements for the fiscal years ended December 31, 2023 and 2022. The following table sets forth fees billed and unbilled for professional audit services and other services rendered to us by EY for the fiscal years ended December 31,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37"/>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759,000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1,145,000</w:t>
            </w: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89,063</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35,000</w:t>
            </w: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848,063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1,180,000</w:t>
            </w:r>
          </w:p>
        </w:tc>
      </w:tr>
      <w:tr>
        <w:trPr>
          <w:trHeight w:val="430"/>
        </w:trPr>
        <w:tc>
          <w:tcPr>
            <w:tcW w:w="3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tc>
        <w:tc>
          <w:tcPr>
            <w:tcW w:w="4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432"/>
        </w:trPr>
        <w:tc>
          <w:tcPr>
            <w:tcW w:w="3460" w:type="dxa"/>
            <w:vAlign w:val="bottom"/>
          </w:tcPr>
          <w:p>
            <w:pPr>
              <w:spacing w:after="0"/>
              <w:rPr>
                <w:sz w:val="24"/>
                <w:szCs w:val="24"/>
                <w:color w:val="auto"/>
              </w:rPr>
            </w:pPr>
          </w:p>
        </w:tc>
        <w:tc>
          <w:tcPr>
            <w:tcW w:w="426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111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9" w:name="page160"/>
    <w:bookmarkEnd w:id="15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Audit fees consist of fees billed and unbilled for professional services performed by EY for the audit of our annual consolidated financial statements, the review of interim consolidated financial statements, and services that are normally provided in connection with registration statements. The 2023 audit fees included $284,000 of fees in connection with the filing of our Registration Statement on Form S-3 and prospectus supplements. The 2022 audit fees included $565,000 of fees in connection with the filing of our Registration Statement on Form S-4 and $200,000 of fees in connection with the filing of our Registration Statement on Form S-3.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Tax fees consist of tax compliance, tax advice and tax planning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2023 and 2022 were pre-approved by the Audit Committee in accordance with the pre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approval policy described above.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0" w:name="page161"/>
    <w:bookmarkEnd w:id="160"/>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9"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107 of this Annual Report on Form 10-K, incorporated into this Item by reference.</w:t>
      </w:r>
    </w:p>
    <w:p>
      <w:pPr>
        <w:spacing w:after="0" w:line="160"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60"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gridSpan w:val="24"/>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74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Agreement and Plan of Merger and reorganization, dated as of August 9, 2022, by and among Gemini Therapeutics, Inc. Gemstone Merger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Sub, Inc. and Disc Medicine, Inc. (incorporated by reference to Exhibit 2.1 to the Registrant’s Proxy Statement/Prospectus on Form S-4</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filed on September 2, 2022).</w:t>
              </w:r>
            </w:hyperlink>
          </w:p>
        </w:tc>
        <w:tc>
          <w:tcPr>
            <w:tcW w:w="80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Amended and Restated Certificate of Incorporation of Disc Medicine, Inc. (incorporated by reference to Annex B to Gemini Therapeutics,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Inc.’s Proxy Statement/Prospectus on Form S-4/A (Registration No. 333-249785)).</w:t>
              </w:r>
            </w:hyperlink>
          </w:p>
        </w:tc>
        <w:tc>
          <w:tcPr>
            <w:tcW w:w="41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0"/>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(incorporated by reference to Exhibit 3.1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0"/>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(incorporated by reference to Exhibit 3.2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Statement/Prospectus on Form S-4/A (Registration No. 333-249785)).</w:t>
              </w:r>
            </w:hyperlink>
          </w:p>
        </w:tc>
        <w:tc>
          <w:tcPr>
            <w:tcW w:w="50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Description of the Registrant’s Securities Registered Pursuant to Section 12 of the Exchange Act (incorporated by reference to Exhibit 4.4</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to Gemini Therapeutics, Inc.’s Annual Report on Form 10-K filed on March 10, 2022).</w:t>
              </w:r>
            </w:hyperlink>
          </w:p>
        </w:tc>
        <w:tc>
          <w:tcPr>
            <w:tcW w:w="38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Registration Rights Agreement, among Disc Medicine, Inc. and certain of its stockholders, dated December 28, 2022 (incorporated by</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reference to Exhibit 10.1 to the Registrant’s Current Report on Form 8-K filed on December 29, 2022).</w:t>
              </w:r>
            </w:hyperlink>
          </w:p>
        </w:tc>
        <w:tc>
          <w:tcPr>
            <w:tcW w:w="2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Registration Rights Agreement, dated February 5, 2021, by and among Gemini Therapeutics, Inc. and the stockholder parties thereto</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(incorporated by reference to Exhibit 10.1 on Form 8-A12B/A filed on February 5, 2021).</w:t>
              </w:r>
            </w:hyperlink>
          </w:p>
        </w:tc>
        <w:tc>
          <w:tcPr>
            <w:tcW w:w="36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Form of Pre-Funded Warrant (incorporated by reference to Exhibit 4.1 to the Registrant’s Current Report on Form 8-K (File No. 001-</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39438) filed February 14, 2023).</w:t>
              </w:r>
            </w:hyperlink>
          </w:p>
        </w:tc>
        <w:tc>
          <w:tcPr>
            <w:tcW w:w="20" w:type="dxa"/>
            <w:vAlign w:val="bottom"/>
            <w:tcBorders>
              <w:bottom w:val="single" w:sz="8" w:color="0000EE"/>
            </w:tcBorders>
          </w:tcPr>
          <w:p>
            <w:pPr>
              <w:spacing w:after="0"/>
              <w:rPr>
                <w:sz w:val="17"/>
                <w:szCs w:val="17"/>
                <w:color w:val="auto"/>
              </w:rPr>
            </w:pPr>
          </w:p>
        </w:tc>
        <w:tc>
          <w:tcPr>
            <w:tcW w:w="77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License Agreement by and among Disc Medicine, Inc., F. Hoffmann-La Roche Ltd and Hoffmann-La Roche Inc., dated May 7, 2021</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0"/>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(incorporated by reference to Exhibit 10.2 to the Registrant’s Proxy Statement/Prospectus on Form S-4 filed on September 2, 2022).</w:t>
              </w:r>
            </w:hyperlink>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License Agreement by and between Disc Medicine, Inc. and AbbVie Deutschland GmbH &amp; Co, KG, dated September 13, 2019</w:t>
              </w:r>
            </w:hyperlink>
          </w:p>
        </w:tc>
        <w:tc>
          <w:tcPr>
            <w:tcW w:w="280" w:type="dxa"/>
            <w:vAlign w:val="bottom"/>
            <w:tcBorders>
              <w:top w:val="single" w:sz="8" w:color="0000FF"/>
            </w:tcBorders>
            <w:gridSpan w:val="2"/>
          </w:tcPr>
          <w:p>
            <w:pPr>
              <w:spacing w:after="0"/>
              <w:rPr>
                <w:sz w:val="24"/>
                <w:szCs w:val="24"/>
                <w:color w:val="auto"/>
              </w:rPr>
            </w:pPr>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0"/>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(incorporated by reference to Exhibit 10.3 to the Registrant’s Proxy Statement/Prospectus on Form S-4 filed on November 23,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700" w:type="dxa"/>
            <w:vAlign w:val="bottom"/>
            <w:tcBorders>
              <w:right w:val="single" w:sz="8" w:color="0000FF"/>
            </w:tcBorders>
            <w:gridSpan w:val="8"/>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Exclusive License Agreement, dated January 19, 2023, by and between Disc Medicine, Inc. and Mabwell Therapeutics, Inc. (incorporated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by reference to Exhibit 10.1 to the Registrant’s Quarterly Report on Form 10-Q (File No. 001-39438) filed on May 15, 2023)</w:t>
              </w:r>
            </w:hyperlink>
          </w:p>
        </w:tc>
        <w:tc>
          <w:tcPr>
            <w:tcW w:w="20" w:type="dxa"/>
            <w:vAlign w:val="bottom"/>
            <w:tcBorders>
              <w:bottom w:val="single" w:sz="8" w:color="0000EE"/>
            </w:tcBorders>
          </w:tcPr>
          <w:p>
            <w:pPr>
              <w:spacing w:after="0"/>
              <w:rPr>
                <w:sz w:val="17"/>
                <w:szCs w:val="17"/>
                <w:color w:val="auto"/>
              </w:rPr>
            </w:pPr>
          </w:p>
        </w:tc>
        <w:tc>
          <w:tcPr>
            <w:tcW w:w="11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Lease by and between Disc Medicine, Inc. and ARE-MA Region No. 75, LLC, dated October 29, 2021 (incorporated by reference to</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0"/>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Exhibit 10.4 to the Registrant’s Proxy Statement/Prospectus on Form S-4 filed on September 2,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700" w:type="dxa"/>
            <w:vAlign w:val="bottom"/>
            <w:tcBorders>
              <w:right w:val="single" w:sz="8" w:color="0000EE"/>
            </w:tcBorders>
            <w:gridSpan w:val="8"/>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Addendum to License Agreement by and among Disc Medicine, Inc., F. Hoffmann-La Roche Ltd and Hoffmann-La Roche Inc., dated</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December 7, 2021 (incorporated by reference to Exhibit 10.5 to the Registrant’s Proxy Statement/Prospectus on Form S-4 filed on</w:t>
              </w:r>
            </w:hyperlink>
          </w:p>
        </w:tc>
        <w:tc>
          <w:tcPr>
            <w:tcW w:w="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September 2, 2022).</w:t>
              </w:r>
            </w:hyperlink>
          </w:p>
        </w:tc>
        <w:tc>
          <w:tcPr>
            <w:tcW w:w="20" w:type="dxa"/>
            <w:vAlign w:val="bottom"/>
            <w:tcBorders>
              <w:bottom w:val="single" w:sz="8" w:color="0000EE"/>
            </w:tcBorders>
          </w:tcPr>
          <w:p>
            <w:pPr>
              <w:spacing w:after="0"/>
              <w:rPr>
                <w:sz w:val="17"/>
                <w:szCs w:val="17"/>
                <w:color w:val="auto"/>
              </w:rPr>
            </w:pPr>
          </w:p>
        </w:tc>
        <w:tc>
          <w:tcPr>
            <w:tcW w:w="86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Amendment to Addendum to License Agreement by and among Disc Medicine, Inc., F. Hoffmann-La Roche Ltd and Hoffmann-La Roche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Inc., dated February 28, 2022 (incorporated by reference to Exhibit 10.6 to the Registrant’s Proxy Statement/Prospectus on Form S-4 filed</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43">
              <w:r>
                <w:rPr>
                  <w:rFonts w:ascii="Times New Roman" w:cs="Times New Roman" w:eastAsia="Times New Roman" w:hAnsi="Times New Roman"/>
                  <w:sz w:val="18"/>
                  <w:szCs w:val="18"/>
                  <w:color w:val="0000FF"/>
                  <w:w w:val="98"/>
                </w:rPr>
                <w:t>on September 2, 2022).</w:t>
              </w:r>
            </w:hyperlink>
          </w:p>
        </w:tc>
        <w:tc>
          <w:tcPr>
            <w:tcW w:w="84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000" w:type="dxa"/>
            <w:vAlign w:val="bottom"/>
          </w:tcPr>
          <w:p>
            <w:pPr>
              <w:spacing w:after="0"/>
              <w:rPr>
                <w:sz w:val="24"/>
                <w:szCs w:val="24"/>
                <w:color w:val="auto"/>
              </w:rPr>
            </w:pPr>
          </w:p>
        </w:tc>
        <w:tc>
          <w:tcPr>
            <w:tcW w:w="5220" w:type="dxa"/>
            <w:vAlign w:val="bottom"/>
            <w:gridSpan w:val="9"/>
          </w:tcPr>
          <w:p>
            <w:pPr>
              <w:jc w:val="right"/>
              <w:ind w:right="388"/>
              <w:spacing w:after="0"/>
              <w:rPr>
                <w:sz w:val="20"/>
                <w:szCs w:val="20"/>
                <w:color w:val="auto"/>
              </w:rPr>
            </w:pPr>
            <w:r>
              <w:rPr>
                <w:rFonts w:ascii="Times New Roman" w:cs="Times New Roman" w:eastAsia="Times New Roman" w:hAnsi="Times New Roman"/>
                <w:sz w:val="18"/>
                <w:szCs w:val="18"/>
                <w:color w:val="auto"/>
              </w:rPr>
              <w:t>156</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880" w:type="dxa"/>
            <w:vAlign w:val="bottom"/>
            <w:gridSpan w:val="26"/>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2"/>
          </w:tcPr>
          <w:p>
            <w:pPr>
              <w:spacing w:after="0" w:line="182"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Second Amendment to Addendum to License Agreement by and among Disc Medicine, Inc., F. Hoffmann-La Roche Ltd and Hoffmann-La</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Roche Inc., dated May 31, 2022 (incorporated by reference to Exhibit 10.7 to the Registrant’s Proxy Statement/Prospectus on Form S-4</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346">
              <w:r>
                <w:rPr>
                  <w:rFonts w:ascii="Times New Roman" w:cs="Times New Roman" w:eastAsia="Times New Roman" w:hAnsi="Times New Roman"/>
                  <w:sz w:val="18"/>
                  <w:szCs w:val="18"/>
                  <w:color w:val="0000FF"/>
                  <w:w w:val="98"/>
                </w:rPr>
                <w:t>filed on September 2, 2022).</w:t>
              </w:r>
            </w:hyperlink>
          </w:p>
        </w:tc>
        <w:tc>
          <w:tcPr>
            <w:tcW w:w="20" w:type="dxa"/>
            <w:vAlign w:val="bottom"/>
            <w:tcBorders>
              <w:bottom w:val="single" w:sz="8" w:color="0000EE"/>
            </w:tcBorders>
          </w:tcPr>
          <w:p>
            <w:pPr>
              <w:spacing w:after="0"/>
              <w:rPr>
                <w:sz w:val="17"/>
                <w:szCs w:val="17"/>
                <w:color w:val="auto"/>
              </w:rPr>
            </w:pPr>
          </w:p>
        </w:tc>
        <w:tc>
          <w:tcPr>
            <w:tcW w:w="80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Third Amendment to Addendum to License Agreement by and among Disc Medicine, Inc., F. Hoffmann-La Roche Ltd and Hoffmann-La</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Roche Inc., dated October 19, 2022 (incorporated by reference to Exhibit 10.21 to the Registrant’s Proxy Statement/Prospectus on Form S-4</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filed on November 3,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Common Stock Issuance Agreement, dated as of December 29, 2022, by and between Disc Medicine Opco, Inc., F. Hoffmann-La Roche</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Ltd. and Hoffmann-La Roche Inc. (incorporated by reference to Exhibit 10.5 to the Registrant’s Current Report on Form 8-K filed on</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December 29,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Stock Purchase and Restriction Agreement, dated September 13, 2019, by and between Disc Medicine, Inc. and AbbVie Deutschland</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GmbH &amp; Co. KG (incorporated by reference to Exhibit 10.22 to the Registrant’s Proxy Statement/Prospectus on Form S-4 filed on</w:t>
              </w:r>
            </w:hyperlink>
          </w:p>
        </w:tc>
        <w:tc>
          <w:tcPr>
            <w:tcW w:w="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November 23, 2022).</w:t>
              </w:r>
            </w:hyperlink>
          </w:p>
        </w:tc>
        <w:tc>
          <w:tcPr>
            <w:tcW w:w="20" w:type="dxa"/>
            <w:vAlign w:val="bottom"/>
            <w:tcBorders>
              <w:bottom w:val="single" w:sz="8" w:color="0000EE"/>
            </w:tcBorders>
          </w:tcPr>
          <w:p>
            <w:pPr>
              <w:spacing w:after="0"/>
              <w:rPr>
                <w:sz w:val="17"/>
                <w:szCs w:val="17"/>
                <w:color w:val="auto"/>
              </w:rPr>
            </w:pPr>
          </w:p>
        </w:tc>
        <w:tc>
          <w:tcPr>
            <w:tcW w:w="85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Disc Medicine, Inc. Amended and Restated 2021 Stock Option and Incentive Plan (incorporated by reference to Exhibit 99.1 of Disc</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Medicine, Inc.’s Form S-8 filed on January 18, 2023 (Registration No. 333-269271)).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6"/>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Forms of Award Agreements under the Disc Medicine, Inc. Amended and Restated 2021 Stock Option and Incentive Plan (incorporated by</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reference to Exhibit 99.2 of Disc Medicine, Inc.’s Form S-8 filed on January 18, 2023 (Registration No. 333-269271)).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6"/>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Disc Medicine, Inc. Amended and Restated 2021 Employee Stock Purchase Plan (incorporated by reference to Exhibit 99.3 of Disc</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Medicine, Inc.’s Form S-8 filed on January 18, 2023 (Registration No. 333-269271)).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6"/>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2017 Stock Option and Grant Plan of Disc Medicine, Inc., and form of award agreements thereunder (incorporated by reference to Exhibit</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6"/>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2021 Inducement Plan (incorporated by reference to Exhibit 99.3 of Gemini Therapeutics, Inc.’s Form S-8 filed on April 13, 2021</w:t>
              </w:r>
            </w:hyperlink>
          </w:p>
        </w:tc>
        <w:tc>
          <w:tcPr>
            <w:tcW w:w="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(Registration No. 333-255194)).</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EE"/>
            </w:tcBorders>
            <w:gridSpan w:val="6"/>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Form of Indemnification Agreement for Directors of Disc Medicine, Inc. (incorporated by reference to Exhibit 10.3 to the Registrant’s</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Current Report on Form 8-K filed on December 29,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760" w:type="dxa"/>
            <w:vAlign w:val="bottom"/>
            <w:tcBorders>
              <w:right w:val="single" w:sz="8" w:color="0000EE"/>
            </w:tcBorders>
            <w:gridSpan w:val="7"/>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Form of Indemnification Agreement for Officers of Disc Medicine, Inc. (incorporated by reference to Exhibit 10.4 to the Registrant’s</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Current Report on Form 8-K filed on December 29,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760" w:type="dxa"/>
            <w:vAlign w:val="bottom"/>
            <w:tcBorders>
              <w:right w:val="single" w:sz="8" w:color="0000EE"/>
            </w:tcBorders>
            <w:gridSpan w:val="7"/>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Employment Agreement, dated as of December 29, 2022, by and between Disc Medicine, Inc. and John Quisel, J.D. Ph.D.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reference to Exhibit 10.6 to the Registrant’s Current Report on Form 8-K filed on December 29, 2022).</w:t>
              </w:r>
            </w:hyperlink>
          </w:p>
        </w:tc>
        <w:tc>
          <w:tcPr>
            <w:tcW w:w="27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Transition and Separation Agreement, dated as of November 27, 2023, by and between Disc Medicine, Inc. and Joanne Bryce.</w:t>
            </w:r>
          </w:p>
        </w:tc>
        <w:tc>
          <w:tcPr>
            <w:tcW w:w="20" w:type="dxa"/>
            <w:vAlign w:val="bottom"/>
            <w:tcBorders>
              <w:bottom w:val="single" w:sz="8" w:color="0000EE"/>
            </w:tcBorders>
          </w:tcPr>
          <w:p>
            <w:pPr>
              <w:spacing w:after="0"/>
              <w:rPr>
                <w:sz w:val="24"/>
                <w:szCs w:val="24"/>
                <w:color w:val="auto"/>
              </w:rPr>
            </w:pPr>
          </w:p>
        </w:tc>
        <w:tc>
          <w:tcPr>
            <w:tcW w:w="10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Employment Agreement, dated as of December 29, 2022, by and between Disc Medicine, Inc. and William Savage, M.D., Ph.D.</w:t>
              </w:r>
            </w:hyperlink>
          </w:p>
        </w:tc>
        <w:tc>
          <w:tcPr>
            <w:tcW w:w="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(incorporated by reference to Exhibit 10.19 to the Registrant’s Annual Report on Form 10-K (File No. 001-39438) filed on March 31,</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0" w:type="dxa"/>
            <w:vAlign w:val="bottom"/>
            <w:gridSpan w:val="3"/>
          </w:tcPr>
          <w:p>
            <w:pPr>
              <w:ind w:left="120"/>
              <w:spacing w:after="0" w:line="196" w:lineRule="exact"/>
              <w:rPr>
                <w:rFonts w:ascii="Times New Roman" w:cs="Times New Roman" w:eastAsia="Times New Roman" w:hAnsi="Times New Roman"/>
                <w:sz w:val="18"/>
                <w:szCs w:val="18"/>
                <w:color w:val="0000FF"/>
                <w:w w:val="94"/>
              </w:rPr>
            </w:pPr>
            <w:hyperlink r:id="rId358">
              <w:r>
                <w:rPr>
                  <w:rFonts w:ascii="Times New Roman" w:cs="Times New Roman" w:eastAsia="Times New Roman" w:hAnsi="Times New Roman"/>
                  <w:sz w:val="18"/>
                  <w:szCs w:val="18"/>
                  <w:color w:val="0000FF"/>
                  <w:w w:val="94"/>
                </w:rPr>
                <w:t>2023).</w:t>
              </w:r>
            </w:hyperlink>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Employment Agreement, dated as of December 29, 2022, by and between Disc Medicine, Inc. and Jonathan Yu (incorporated by reference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to Exhibit 10.20 to the Registrant’s Annual Report on Form 10-K (File No. 001-39438) filed on March 31, 2023).</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Employment Agreement, dated as of February 7, 2024, by and between Disc Medicine, Inc. and Jean M. Franchi (incorporated by reference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to Exhibit 10.1 to the Registrant’s Current Report on Form 8-K (File No. 001-39438) filed on February 7, 2024).</w:t>
              </w:r>
            </w:hyperlink>
          </w:p>
        </w:tc>
        <w:tc>
          <w:tcPr>
            <w:tcW w:w="0" w:type="dxa"/>
            <w:vAlign w:val="bottom"/>
          </w:tcPr>
          <w:p>
            <w:pPr>
              <w:spacing w:after="0"/>
              <w:rPr>
                <w:sz w:val="1"/>
                <w:szCs w:val="1"/>
                <w:color w:val="auto"/>
              </w:rPr>
            </w:pPr>
          </w:p>
        </w:tc>
      </w:tr>
      <w:tr>
        <w:trPr>
          <w:trHeight w:val="709"/>
        </w:trPr>
        <w:tc>
          <w:tcPr>
            <w:tcW w:w="10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960" w:type="dxa"/>
            <w:vAlign w:val="bottom"/>
            <w:tcBorders>
              <w:top w:val="single" w:sz="8" w:color="0000FF"/>
            </w:tcBorders>
            <w:gridSpan w:val="9"/>
          </w:tcPr>
          <w:p>
            <w:pPr>
              <w:ind w:left="436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20" w:type="dxa"/>
            <w:vAlign w:val="bottom"/>
            <w:gridSpan w:val="12"/>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2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bottom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Open Market Sale Agreement, dated October 10, 2023, by and between Disc Medicine, Inc. and Jefferies LLC. (incorporated by reference</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to Exhibit 1.1 to the Registrant’s Current Report on Form 8-K (File No. 001-39438) filed on October 10, 2023).</w:t>
              </w:r>
            </w:hyperlink>
          </w:p>
        </w:tc>
        <w:tc>
          <w:tcPr>
            <w:tcW w:w="20" w:type="dxa"/>
            <w:vAlign w:val="bottom"/>
            <w:tcBorders>
              <w:bottom w:val="single" w:sz="8" w:color="0000EE"/>
            </w:tcBorders>
          </w:tcPr>
          <w:p>
            <w:pPr>
              <w:spacing w:after="0"/>
              <w:rPr>
                <w:sz w:val="17"/>
                <w:szCs w:val="17"/>
                <w:color w:val="auto"/>
              </w:rPr>
            </w:pPr>
          </w:p>
        </w:tc>
        <w:tc>
          <w:tcPr>
            <w:tcW w:w="20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Amendment No. 1 to Open Market Sale Agreement, dated December 5, 2023, by and between Disc Medicine, Inc. and Jefferies LLC.</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(incorporated by reference to Exhibit 1.1 to the Registrant’s Current Report on Form 8-K (001-39438) filed on December 5, 2023).</w:t>
              </w:r>
            </w:hyperlink>
          </w:p>
        </w:tc>
        <w:tc>
          <w:tcPr>
            <w:tcW w:w="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Code of Business Conduct and Ethics of Disc Medicine, Inc. (incorporated by reference to Exhibit 14.1 to the Registrant’s Current Report</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on Form 8-K filed on December 29, 2022).</w:t>
              </w:r>
            </w:hyperlink>
          </w:p>
        </w:tc>
        <w:tc>
          <w:tcPr>
            <w:tcW w:w="7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List of Subsidiaries of Disc Medicine, Inc.</w:t>
            </w:r>
          </w:p>
        </w:tc>
        <w:tc>
          <w:tcPr>
            <w:tcW w:w="20" w:type="dxa"/>
            <w:vAlign w:val="bottom"/>
            <w:tcBorders>
              <w:bottom w:val="single" w:sz="8" w:color="0000EE"/>
            </w:tcBorders>
          </w:tcPr>
          <w:p>
            <w:pPr>
              <w:spacing w:after="0"/>
              <w:rPr>
                <w:sz w:val="24"/>
                <w:szCs w:val="24"/>
                <w:color w:val="auto"/>
              </w:rPr>
            </w:pPr>
          </w:p>
        </w:tc>
        <w:tc>
          <w:tcPr>
            <w:tcW w:w="70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accounting firm.</w:t>
            </w:r>
          </w:p>
        </w:tc>
        <w:tc>
          <w:tcPr>
            <w:tcW w:w="4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7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7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340" w:firstLine="138"/>
        <w:spacing w:after="0" w:line="456" w:lineRule="auto"/>
        <w:tabs>
          <w:tab w:leader="none" w:pos="110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ind w:right="180" w:firstLine="8"/>
        <w:spacing w:after="0" w:line="250" w:lineRule="auto"/>
        <w:tabs>
          <w:tab w:leader="none" w:pos="1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Gemini hereby agrees to furnish supplementally a copy of any omitted annex, schedule or exhibit to the Commission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in accordance with the rules of the Securities and Exchange Commission.</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56" w:lineRule="exact"/>
        <w:rPr>
          <w:sz w:val="20"/>
          <w:szCs w:val="20"/>
          <w:color w:val="auto"/>
        </w:rPr>
      </w:pPr>
    </w:p>
    <w:p>
      <w:pPr>
        <w:ind w:left="546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04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21, 2024</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5" w:name="page166"/>
    <w:bookmarkEnd w:id="1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3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4680" w:type="dxa"/>
            <w:vAlign w:val="bottom"/>
            <w:tcBorders>
              <w:bottom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6"/>
                <w:szCs w:val="16"/>
                <w:color w:val="auto"/>
              </w:rPr>
            </w:pPr>
          </w:p>
        </w:tc>
        <w:tc>
          <w:tcPr>
            <w:tcW w:w="1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 John Quisel</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4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 Jean Franchi</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4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Nicholson</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Bitterman</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Liam Ratcliffe</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White</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Mona Ashiya</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Mona Ashiya,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Chin</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820" w:type="dxa"/>
            <w:vAlign w:val="bottom"/>
            <w:gridSpan w:val="2"/>
          </w:tcPr>
          <w:p>
            <w:pPr>
              <w:jc w:val="right"/>
              <w:ind w:right="3348"/>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Joanne Bryce</w:t>
      </w:r>
    </w:p>
    <w:p>
      <w:pPr>
        <w:spacing w:after="0" w:line="22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Transition and Separation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Joanne:</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letter confirms that your employment with Disc Medicine,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ending. The Company sincerely appreciates your contributions to the Company and would like to make this transition as seamless as possible. Consistent with that, the Company will be providing you with the opportunity to serve as an advisor to the Company and to receive the severance benefits provided under your Employment Agreement with the Company effective upon the business combination among the Company, Disc Medicine Opco, Inc. (formerly Disc Medicine, Inc.) and Gemstone Merger Sub, Inc. pursuant to that certain Agreement and Plan of Merger, dated as of August 9, 2022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This is the Separation Agreement and Release referred to in the Employment Agreement and capitalized, but undefined terms are defined in the Employment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whether you enter into the Agreement, the following terms will apply with respect to the ending of your employment:</w:t>
      </w:r>
    </w:p>
    <w:p>
      <w:pPr>
        <w:spacing w:after="0" w:line="225" w:lineRule="exact"/>
        <w:rPr>
          <w:sz w:val="20"/>
          <w:szCs w:val="20"/>
          <w:color w:val="auto"/>
        </w:rPr>
      </w:pPr>
    </w:p>
    <w:p>
      <w:pPr>
        <w:ind w:left="760" w:right="240" w:hanging="378"/>
        <w:spacing w:after="0" w:line="258"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Termination (defined below), the Company will pay you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under the Employment Agreement, i.e.: (i) any Base Salary earned through the Employment Date of Termination; (ii) any unpaid expense reimbursements (subject to, and in accordance with, Section 2(c) of the Employment Agreement); (iii) accrued but unused vacation days or PTO; and (iv) any vested benefits you may have under any employee benefit plan of the Company through the Date of Termination, which vested benefits shall be paid and/or provided in accordance with the terms of such employee benefit plans.</w:t>
      </w:r>
    </w:p>
    <w:p>
      <w:pPr>
        <w:spacing w:after="0" w:line="18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eligibility to participate in the Company’s group health plans ceases on the Date of Termination in accordance with the terms and conditions of those plans. You may elect to continue your existing benefits under such plans in accordance with and subject to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subject to the Continuing Obligations, including under your Employee Confidentiality, Assignment, Nonsolicitation and Noncompetition Agreement executed by you on September 14, 2021 (the “</w:t>
      </w: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60" w:right="160" w:hanging="378"/>
        <w:spacing w:after="0" w:line="312" w:lineRule="auto"/>
        <w:tabs>
          <w:tab w:leader="none" w:pos="7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do not enter into the Agreement below, you will cease vesting in your stock options on the Date of Termination consistent with the terms of the Equity Documents, and the unvested portion of your stock options will terminate and become null and void on the Date of Termination.</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remainder of this letter proposes an agreement between you and the Company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those understandings, you and the Company agree as follows:</w:t>
      </w:r>
    </w:p>
    <w:p>
      <w:pPr>
        <w:spacing w:after="0" w:line="170" w:lineRule="exact"/>
        <w:rPr>
          <w:sz w:val="20"/>
          <w:szCs w:val="20"/>
          <w:color w:val="auto"/>
        </w:rPr>
      </w:pPr>
    </w:p>
    <w:p>
      <w:pPr>
        <w:ind w:left="760" w:hanging="752"/>
        <w:spacing w:after="0"/>
        <w:tabs>
          <w:tab w:leader="none" w:pos="7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Date of Termination.</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Your employment will terminate on a date mutually agreed between you and the Company (the “Anticipated Termination Date”), unless you and the Company are unable to so agree (in which event the Company will determine the Anticipated Termination Date in good faith), you resign or are terminated by the Company for “Cause” (as defined in your Employment Agreement) prior to the Anticipated Termination Date. Your actual last day of employment with the Company, whether it is the Anticipated Termination Date or an earlier date, is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7" w:name="page168"/>
    <w:bookmarkEnd w:id="167"/>
    <w:p>
      <w:pPr>
        <w:spacing w:after="0" w:line="202"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2023 Bonus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pay you 100% of your target cash bonus for 2023, at the same time 2023 annual bonuses are paid to other executives.</w:t>
      </w:r>
    </w:p>
    <w:p>
      <w:pPr>
        <w:spacing w:after="0" w:line="233"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Advisor Period</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you (i) enter into, do not revoke and comply with this Agreement (including, without limitation, the Continuing Obligations, as defined below), and (ii) act cooperatively with the Company to transition your duties and responsibilities (the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Company will engage you as an independent contractor advisor between the Date of Termination and the date that is nine (9) months after the Date of Termination, unless you resign prior to such date or the Company terminates your engagement for cause as reasonably determined by the Company (the “</w:t>
      </w:r>
      <w:r>
        <w:rPr>
          <w:rFonts w:ascii="Times New Roman" w:cs="Times New Roman" w:eastAsia="Times New Roman" w:hAnsi="Times New Roman"/>
          <w:sz w:val="18"/>
          <w:szCs w:val="18"/>
          <w:u w:val="single" w:color="auto"/>
          <w:color w:val="auto"/>
        </w:rPr>
        <w:t>Advisor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Advisor Period, the Company will pay you $350 for each hour of services you provide the Company. You agree to track and record your hours in good faith. During the Advisor Period, you will be expected to be reasonably available on an as-needed basis to answer questions from the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or other executives or employees, relating to transitioning your duties, but otherwise you are free to use your time as you please, including to search for another job. You will not need to come into the office during the Advisor Period, as any questions can be answered remotely. You agree that you will use your Company email to communicate to third parties outside of the Company only to transition your duties during the Advisor Period, and you acknowledge and agree that you are not authorized to bind the Company. During the Advisor Period, you will not be paid any base salary or other cash compensation (other than the Severance Amount and Benefits described below, subject to the terms of this Agreement), you will not be eligible to participate in the Company’s group employee benefit plans, other than as described below and you will not accrue vacation. However, you will continue vesting in your stock options during the Advisor Period.</w:t>
      </w:r>
    </w:p>
    <w:p>
      <w:pPr>
        <w:spacing w:after="0" w:line="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the avoidance of doubt, if you fail to satisfy any of the Conditions, the Advisor Period will end and you will cease vesting as of the last day of the Advisor Period and, if the Advisor Period ends as a result of your breach of the Continuing Obligations, you shall have no right to the Severance Benefits or to any other post-employment compensation or benefits from the Company.</w:t>
      </w:r>
    </w:p>
    <w:p>
      <w:pPr>
        <w:spacing w:after="0" w:line="194"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Severance Pay and Benefits</w:t>
      </w:r>
    </w:p>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If you enter into and do not revoke this Agreement, and do not resign and are not terminated by the Company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prior to the Anticipated Termination Date, and sign and return the Certificate attached as Exhibit A within the 7-day period following the Date of Termination, the Company will provide you with the following “</w:t>
      </w:r>
      <w:r>
        <w:rPr>
          <w:rFonts w:ascii="Times New Roman" w:cs="Times New Roman" w:eastAsia="Times New Roman" w:hAnsi="Times New Roman"/>
          <w:sz w:val="18"/>
          <w:szCs w:val="18"/>
          <w:u w:val="single" w:color="auto"/>
          <w:color w:val="auto"/>
        </w:rPr>
        <w:t>Severance Amount and Benefits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757"/>
        <w:spacing w:after="0" w:line="255" w:lineRule="auto"/>
        <w:tabs>
          <w:tab w:leader="none" w:pos="10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The Company shall pay you a Severance Amount equal to nine (9) months of your Base Salary. The Company shall pay you the Severance Amount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8"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Benefits</w:t>
      </w:r>
      <w:r>
        <w:rPr>
          <w:rFonts w:ascii="Times New Roman" w:cs="Times New Roman" w:eastAsia="Times New Roman" w:hAnsi="Times New Roman"/>
          <w:sz w:val="18"/>
          <w:szCs w:val="18"/>
          <w:color w:val="auto"/>
        </w:rPr>
        <w:t>. 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194"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anniversary of the Date of Termination; (B) your eligibility for group medical plan benefits under any other employer’s group medical plan;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cessation of your continuation rights under COBRA.</w:t>
      </w:r>
    </w:p>
    <w:p>
      <w:pPr>
        <w:spacing w:after="0" w:line="206" w:lineRule="exact"/>
        <w:rPr>
          <w:rFonts w:ascii="Times New Roman" w:cs="Times New Roman" w:eastAsia="Times New Roman" w:hAnsi="Times New Roman"/>
          <w:sz w:val="18"/>
          <w:szCs w:val="18"/>
          <w:color w:val="auto"/>
        </w:rPr>
      </w:pPr>
    </w:p>
    <w:p>
      <w:pPr>
        <w:ind w:firstLine="757"/>
        <w:spacing w:after="0" w:line="256" w:lineRule="auto"/>
        <w:tabs>
          <w:tab w:leader="none" w:pos="10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Extension</w:t>
      </w:r>
      <w:r>
        <w:rPr>
          <w:rFonts w:ascii="Times New Roman" w:cs="Times New Roman" w:eastAsia="Times New Roman" w:hAnsi="Times New Roman"/>
          <w:sz w:val="18"/>
          <w:szCs w:val="18"/>
          <w:color w:val="auto"/>
        </w:rPr>
        <w:t>. If you enter into and comply with this Agreement, and subject to approval by the Company’s Board of Directors, the period during which you may exercise your vested stock options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shall be extended until the date that is twelve (12) months after the end of the Advisor Period (the “</w:t>
      </w:r>
      <w:r>
        <w:rPr>
          <w:rFonts w:ascii="Times New Roman" w:cs="Times New Roman" w:eastAsia="Times New Roman" w:hAnsi="Times New Roman"/>
          <w:sz w:val="18"/>
          <w:szCs w:val="18"/>
          <w:u w:val="single" w:color="auto"/>
          <w:color w:val="auto"/>
        </w:rPr>
        <w:t>Exercise Period Extension</w:t>
      </w:r>
      <w:r>
        <w:rPr>
          <w:rFonts w:ascii="Times New Roman" w:cs="Times New Roman" w:eastAsia="Times New Roman" w:hAnsi="Times New Roman"/>
          <w:sz w:val="18"/>
          <w:szCs w:val="18"/>
          <w:color w:val="auto"/>
        </w:rPr>
        <w:t>”). You acknowledge that as a result of this extension of the Exercise Period, to the extent your vested stock options were incentive stock options, they will convert to nonqualified stock options, subject to applicable law. If you sign this Agreement, you are advised to seek tax guidance from your personal tax advisors with regard to the tax consequences to you of the Exercise Period Extension.</w:t>
      </w:r>
    </w:p>
    <w:p>
      <w:pPr>
        <w:spacing w:after="0" w:line="187"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2024 Prorated Bonus</w:t>
      </w:r>
      <w:r>
        <w:rPr>
          <w:rFonts w:ascii="Times New Roman" w:cs="Times New Roman" w:eastAsia="Times New Roman" w:hAnsi="Times New Roman"/>
          <w:sz w:val="18"/>
          <w:szCs w:val="18"/>
          <w:color w:val="auto"/>
        </w:rPr>
        <w:t>. If the Date of Termination occurs between January 1, 2024 and March 31, 2024, the Company will pay you an annual target bonus for 2024 equal to your 2023 salary multiplied by your target bonus percentage of forty percent (40%), prorated based on when the Date of Termination occurs during 2024 by multiplying the target bonus amount by x/365, where x is the day in the year when the Date of Termination occurs, and payable within sixty (60) days of the Date of Termination. If the Date of Termination occurs on or after April 1, 2024, the Company will pay you an annual target bonus for 2024 equal to your 2023 salary multiplied by your target bonus percentage of forty percent (40%) and adjusted based on the achievement of corporate goals for 2024 as determined by the Board of Directors of the Company, prorated based on when the Date of Termination occurs during 2024 by multiplying the target bonus amount by x/365, where x is the day in the year when the Date of Termination occurs, and payable at the time the Company pays 2024 bonuses to employees.</w:t>
      </w:r>
    </w:p>
    <w:p>
      <w:pPr>
        <w:spacing w:after="0" w:line="200" w:lineRule="exact"/>
        <w:rPr>
          <w:sz w:val="20"/>
          <w:szCs w:val="20"/>
          <w:color w:val="auto"/>
        </w:rPr>
      </w:pPr>
    </w:p>
    <w:p>
      <w:pPr>
        <w:ind w:left="760" w:hanging="752"/>
        <w:spacing w:after="0"/>
        <w:tabs>
          <w:tab w:leader="none" w:pos="7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Release of Your Claims</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consideration for, among other terms, the Advisor Period and the opportunity to receive continued vesting during such time, and the Severance Amount and Benefit, to which you acknowledge you 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generally from all claims, demands, debts, damages and liabilities of every name and nature, known or unknown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that, as of the date when you sign this Agreement, you have, ever had, now claim to have or ever claimed to have had against any or all of the Releasees. This release includes, without limitation, all Claims:</w:t>
      </w:r>
    </w:p>
    <w:p>
      <w:pPr>
        <w:spacing w:after="0" w:line="197"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relating to your employment by and termination of employment with the Company;</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 wrongful discharge or violation of public policy;</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 breach of contract;</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 defamation or other torts;</w:t>
      </w:r>
    </w:p>
    <w:p>
      <w:pPr>
        <w:spacing w:after="0" w:line="224" w:lineRule="exact"/>
        <w:rPr>
          <w:rFonts w:ascii="Times New Roman" w:cs="Times New Roman" w:eastAsia="Times New Roman" w:hAnsi="Times New Roman"/>
          <w:sz w:val="22"/>
          <w:szCs w:val="22"/>
          <w:color w:val="auto"/>
        </w:rPr>
      </w:pPr>
    </w:p>
    <w:p>
      <w:pPr>
        <w:jc w:val="both"/>
        <w:ind w:left="760" w:right="220" w:hanging="378"/>
        <w:spacing w:after="0" w:line="239"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 retaliation or discrimination under federal, state or local law (including, without limitation, Claims of discrimination or retaliation under the Americans with Disabilities Act, Title VII of the Civil Rights Act of 1964, the Age Discrimination in Employment Act and the Massachusetts Fair Employment Practices Act, M.G.L. c. 151B);</w:t>
      </w:r>
    </w:p>
    <w:p>
      <w:pPr>
        <w:spacing w:after="0" w:line="226" w:lineRule="exact"/>
        <w:rPr>
          <w:rFonts w:ascii="Times New Roman" w:cs="Times New Roman" w:eastAsia="Times New Roman" w:hAnsi="Times New Roman"/>
          <w:sz w:val="22"/>
          <w:szCs w:val="22"/>
          <w:color w:val="auto"/>
        </w:rPr>
      </w:pPr>
    </w:p>
    <w:p>
      <w:pPr>
        <w:ind w:left="760" w:right="220" w:hanging="378"/>
        <w:spacing w:after="0" w:line="234"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under any other federal or state statute (including, without limitation, Claims under the Worker Adjustment and Retraining Notification Act or the Fair Labor Standards Act);</w:t>
      </w:r>
    </w:p>
    <w:p>
      <w:pPr>
        <w:spacing w:after="0" w:line="226"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wages, bonuses, incentive compensation, commissions, stock, stock options, vacation pay or any other compensation or benefits, either under the Massachusetts Wage Act, M.G.L. c. 149, §§148-150C, or otherwise;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221" w:lineRule="exact"/>
        <w:rPr>
          <w:sz w:val="20"/>
          <w:szCs w:val="20"/>
          <w:color w:val="auto"/>
        </w:rPr>
      </w:pPr>
    </w:p>
    <w:p>
      <w:pPr>
        <w:ind w:left="760" w:right="660" w:hanging="378"/>
        <w:spacing w:after="0" w:line="234"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damages or other remedies of any sort, including, without limitation, compensatory damages, punitive damages, injunctive relief and attorney’s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this release shall not affect your rights under this Agreement or release claims that cannot be released as a matter of law.</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spacing w:after="0" w:line="184" w:lineRule="exact"/>
        <w:rPr>
          <w:sz w:val="20"/>
          <w:szCs w:val="20"/>
          <w:color w:val="auto"/>
        </w:rPr>
      </w:pPr>
    </w:p>
    <w:p>
      <w:pPr>
        <w:ind w:left="760" w:hanging="752"/>
        <w:spacing w:after="0"/>
        <w:tabs>
          <w:tab w:leader="none" w:pos="7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Return of Property</w:t>
      </w:r>
    </w:p>
    <w:p>
      <w:pPr>
        <w:spacing w:after="0" w:line="1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acknowledge and agree that you are required to return all Proprietary Information (as defined in the Restrictive Covenants Agreement) to the Company upon the termination of the Advisor Period pursuant to the Restrictive Covenants Agreement. This Section 4 is in addition to, and not in lieu of, your obligations to the Company pursuant to the Restrictive Covenants Agreement. By signing below, you acknowledge and agree that upon the termination of the Advisor Period, you will return to the Company, without altering, deleting or purging any files or documents that may contain Company information, all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which shall include, without limitation, all Company property and equipment in your possession, custody or control, including, without limitation, all files,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your work, including, without limitation, keys and access cards and credit cards. Notwithstanding the foregoing, as discussed above, you may continue to use your Company laptop during the Advisor Period, provided that you comply with this Agreement, do not download or transfer any Proprietary Information to a personal device and promptly return the Company laptop to the Company following the end of the Advisor Period or at the Company’s request without wiping or deleting any information. After returning all such Company Property to the Company, you must delete and finally purge any duplicates of files or documents that may contain Company information from any non-Company computer or other device that remains your property. In the event that you discover that you continue to retain any such property, you must return it to the Company immediately.</w:t>
      </w:r>
    </w:p>
    <w:p>
      <w:pPr>
        <w:spacing w:after="0" w:line="206" w:lineRule="exact"/>
        <w:rPr>
          <w:sz w:val="20"/>
          <w:szCs w:val="20"/>
          <w:color w:val="auto"/>
        </w:rPr>
      </w:pPr>
    </w:p>
    <w:p>
      <w:pPr>
        <w:ind w:left="760" w:hanging="752"/>
        <w:spacing w:after="0"/>
        <w:tabs>
          <w:tab w:leader="none" w:pos="7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Continuing Obligations</w:t>
      </w:r>
    </w:p>
    <w:p>
      <w:pPr>
        <w:spacing w:after="0" w:line="19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provided in the Employment Agreement, in consideration for your eligibility for the Severance Amount and Benefits, and notwithstanding anything to the contrary in your Restrictive Covenants Agreement, you agree that: (i) you are not eligible for any Garden Leave Pay (as defined in the Restrictive Covenant Agreement) under the Restrictive Covenants Agreement, (ii) your post-employment noncompetition obligations to the Company under the Restrictive Covenants Agreement nevertheless remain in full effect and are fully enforceable, regardless of the circumstances of your termination and regardless of the lack of Garden Leave Pay; and (iii) your eligibility for Severance Amount and Benefits constitutes mutually agreed-upon, sufficient, fair and reasonable consideration for such noncompetition obligations that is independent of your employment with the Company. Your other Continuing Obligations remain in full effect. The Continuing Obligations (as modified by this Agreement) shall remain in effect throughout the Advisor Period; all references to “employ,” “employee,” ‘employment” and derivations thereof in the Continuing Obligations and therefrom shall be read to include the Advisor Period; and any post-employment restrictions under the Continuing Obligations shall not begin to run until the end of the Advisor Period.</w:t>
      </w:r>
    </w:p>
    <w:p>
      <w:pPr>
        <w:spacing w:after="0" w:line="197" w:lineRule="exact"/>
        <w:rPr>
          <w:sz w:val="20"/>
          <w:szCs w:val="20"/>
          <w:color w:val="auto"/>
        </w:rPr>
      </w:pPr>
    </w:p>
    <w:p>
      <w:pPr>
        <w:ind w:left="760" w:hanging="752"/>
        <w:spacing w:after="0"/>
        <w:tabs>
          <w:tab w:leader="none" w:pos="7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Non-disparagement</w:t>
      </w:r>
    </w:p>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Subject to Section 9, you agree not to make any disparaging statements (whether written, oral, through social or electronic media or otherwise) concerning the Company or any of its affiliates; its or their products or services; or any of its or their current or former officers, directors, shareholders, employees or agents. You further agree not to take any actions or conduct yourself in any way that would reasonably be expected to affect adversely the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or goodwill of the Company or its affiliates; its or their products or services; or any of its or their current or former officers, directors, shareholders, employees or agents.</w:t>
      </w:r>
    </w:p>
    <w:p>
      <w:pPr>
        <w:spacing w:after="0" w:line="170"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Communications Regarding Your Departure</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issued an announcement about your transition and departure (the “</w:t>
      </w:r>
      <w:r>
        <w:rPr>
          <w:rFonts w:ascii="Times New Roman" w:cs="Times New Roman" w:eastAsia="Times New Roman" w:hAnsi="Times New Roman"/>
          <w:sz w:val="18"/>
          <w:szCs w:val="18"/>
          <w:u w:val="single" w:color="auto"/>
          <w:color w:val="auto"/>
        </w:rPr>
        <w:t>Company Announcement</w:t>
      </w:r>
      <w:r>
        <w:rPr>
          <w:rFonts w:ascii="Times New Roman" w:cs="Times New Roman" w:eastAsia="Times New Roman" w:hAnsi="Times New Roman"/>
          <w:sz w:val="18"/>
          <w:szCs w:val="18"/>
          <w:color w:val="auto"/>
        </w:rPr>
        <w:t>”). You agree to limit any communications regarding your transition and departure to statements consistent with the Company Announcement.</w:t>
      </w:r>
    </w:p>
    <w:p>
      <w:pPr>
        <w:spacing w:after="0" w:line="170"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Cooperation</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and after your employment, you agree to cooperate fully with the Company in connection with events or occurrences that transpired while you were employed by the Company. Your full cooperation shall include, but not be limited to, being available to meet with counsel to prepare for discovery or trial and to act as a witness on behalf of the Company at mutually convenient times. During and after your employment, you also shall cooperate fully with the Company in connection with any transaction or any investigation, whether internal or external, or any review of any federal, state or local regulatory authority as any such investigation or review relates to events or occurrences that transpired while you were employed by the Company. During any such period of cooperation: (i) the Company shall reimburse you for any reasonable out-of-pocket expenses incurred in connection with your performance of obligations pursuant to this Section 8; (ii) the Company will pay you $350 for each hour of services you provide the Company; and (iii) you agree to track and record your hours in good faith.</w:t>
      </w:r>
    </w:p>
    <w:p>
      <w:pPr>
        <w:spacing w:after="0" w:line="200" w:lineRule="exact"/>
        <w:rPr>
          <w:sz w:val="20"/>
          <w:szCs w:val="20"/>
          <w:color w:val="auto"/>
        </w:rPr>
      </w:pPr>
    </w:p>
    <w:p>
      <w:pPr>
        <w:ind w:left="760" w:hanging="752"/>
        <w:spacing w:after="0"/>
        <w:tabs>
          <w:tab w:leader="none" w:pos="7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Protected Disclosures and Other Protected Actions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Nothing contained in this Agreement limits your ability to file a charge or complaint with any federal, state or local governmental agency or commission (a “</w:t>
      </w:r>
      <w:r>
        <w:rPr>
          <w:rFonts w:ascii="Times New Roman" w:cs="Times New Roman" w:eastAsia="Times New Roman" w:hAnsi="Times New Roman"/>
          <w:sz w:val="18"/>
          <w:szCs w:val="18"/>
          <w:u w:val="single" w:color="auto"/>
          <w:color w:val="auto"/>
        </w:rPr>
        <w:t>Government Agency</w:t>
      </w:r>
      <w:r>
        <w:rPr>
          <w:rFonts w:ascii="Times New Roman" w:cs="Times New Roman" w:eastAsia="Times New Roman" w:hAnsi="Times New Roman"/>
          <w:sz w:val="18"/>
          <w:szCs w:val="18"/>
          <w:color w:val="auto"/>
        </w:rPr>
        <w:t>”). In addition, nothing contained in this Agreement limits your ability to communicate with any Government Agency or otherwise participate in any investigation or proceeding that may be conducted by any Government Agency,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w:t>
      </w:r>
    </w:p>
    <w:p>
      <w:pPr>
        <w:spacing w:after="0" w:line="196"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Tax Treatment; Section 409A</w:t>
      </w:r>
    </w:p>
    <w:p>
      <w:pPr>
        <w:spacing w:after="0" w:line="197" w:lineRule="exact"/>
        <w:rPr>
          <w:rFonts w:ascii="Times New Roman" w:cs="Times New Roman" w:eastAsia="Times New Roman" w:hAnsi="Times New Roman"/>
          <w:sz w:val="22"/>
          <w:szCs w:val="22"/>
          <w:b w:val="1"/>
          <w:bCs w:val="1"/>
          <w:color w:val="auto"/>
        </w:rPr>
      </w:pPr>
    </w:p>
    <w:p>
      <w:pPr>
        <w:ind w:right="20" w:firstLine="757"/>
        <w:spacing w:after="0" w:line="261"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undertake to make deductions, withholdings and tax reports with respect to payments and benefits under this Agreement to the extent that it reasonably and in good faith determines that it is required to make such deductions, withholdings and tax reports.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9" w:lineRule="exact"/>
        <w:rPr>
          <w:rFonts w:ascii="Times New Roman" w:cs="Times New Roman" w:eastAsia="Times New Roman" w:hAnsi="Times New Roman"/>
          <w:sz w:val="18"/>
          <w:szCs w:val="18"/>
          <w:color w:val="auto"/>
        </w:rPr>
      </w:pPr>
    </w:p>
    <w:p>
      <w:pPr>
        <w:ind w:right="20" w:firstLine="757"/>
        <w:spacing w:after="0" w:line="256"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payments under this Agreement will be exempt from or comply with Section 409A of the Code. To the extent that any provision of this Agreement is ambiguous as to its exemption from or compliance with Section 409A of the Code, the provision shall be read in such a manner so that all payments hereunder are exempt from or comply with Section 409A of the Code.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 Each payment pursuant to this Agreement is intended to constitute a separate payment for purposes of Treasury Regulation Section 1.409A 2(b)(2).</w:t>
      </w:r>
    </w:p>
    <w:p>
      <w:pPr>
        <w:spacing w:after="0" w:line="19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Other Provisions</w:t>
      </w:r>
    </w:p>
    <w:p>
      <w:pPr>
        <w:spacing w:after="0" w:line="224" w:lineRule="exact"/>
        <w:rPr>
          <w:rFonts w:ascii="Times New Roman" w:cs="Times New Roman" w:eastAsia="Times New Roman" w:hAnsi="Times New Roman"/>
          <w:sz w:val="22"/>
          <w:szCs w:val="22"/>
          <w:b w:val="1"/>
          <w:bCs w:val="1"/>
          <w:color w:val="auto"/>
        </w:rPr>
      </w:pPr>
    </w:p>
    <w:p>
      <w:pPr>
        <w:ind w:right="620" w:firstLine="757"/>
        <w:spacing w:after="0" w:line="234" w:lineRule="auto"/>
        <w:tabs>
          <w:tab w:leader="none" w:pos="10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Termination of Payments</w:t>
      </w:r>
      <w:r>
        <w:rPr>
          <w:rFonts w:ascii="Times New Roman" w:cs="Times New Roman" w:eastAsia="Times New Roman" w:hAnsi="Times New Roman"/>
          <w:sz w:val="18"/>
          <w:szCs w:val="18"/>
          <w:color w:val="auto"/>
        </w:rPr>
        <w:t>. If you breach any of your obligations under this Agreement (including, without limitation, the Continuing Obligations), then in addition to any other legal or equitable remedies it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such breach, the Company shall have the right to end the Advisor Period, terminate its payments of the Severance Amount and Benefits to you under this Agreement and/or to seek repayment of such payments. Any such actions in the event of your breach will not affect your Continuing Obligations to the Company.</w:t>
      </w:r>
    </w:p>
    <w:p>
      <w:pPr>
        <w:spacing w:after="0" w:line="184" w:lineRule="exact"/>
        <w:rPr>
          <w:sz w:val="20"/>
          <w:szCs w:val="20"/>
          <w:color w:val="auto"/>
        </w:rPr>
      </w:pPr>
    </w:p>
    <w:p>
      <w:pPr>
        <w:ind w:left="1020" w:hanging="263"/>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Absence of Reliance</w:t>
      </w:r>
      <w:r>
        <w:rPr>
          <w:rFonts w:ascii="Times New Roman" w:cs="Times New Roman" w:eastAsia="Times New Roman" w:hAnsi="Times New Roman"/>
          <w:sz w:val="18"/>
          <w:szCs w:val="18"/>
          <w:color w:val="auto"/>
        </w:rPr>
        <w:t>. In signing this Agreement, you are not relying upon any promises or representations made by anyone at or on behalf of</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w:t>
      </w:r>
    </w:p>
    <w:p>
      <w:pPr>
        <w:spacing w:after="0" w:line="232" w:lineRule="exact"/>
        <w:rPr>
          <w:rFonts w:ascii="Times New Roman" w:cs="Times New Roman" w:eastAsia="Times New Roman" w:hAnsi="Times New Roman"/>
          <w:sz w:val="22"/>
          <w:szCs w:val="22"/>
          <w:color w:val="auto"/>
        </w:rPr>
      </w:pPr>
    </w:p>
    <w:p>
      <w:pPr>
        <w:ind w:right="240" w:firstLine="757"/>
        <w:spacing w:after="0" w:line="243"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22" w:lineRule="exact"/>
        <w:rPr>
          <w:rFonts w:ascii="Times New Roman" w:cs="Times New Roman" w:eastAsia="Times New Roman" w:hAnsi="Times New Roman"/>
          <w:sz w:val="22"/>
          <w:szCs w:val="22"/>
          <w:color w:val="auto"/>
        </w:rPr>
      </w:pPr>
    </w:p>
    <w:p>
      <w:pPr>
        <w:ind w:right="340" w:firstLine="757"/>
        <w:spacing w:after="0" w:line="243"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This Agreement may not be modified or amended except in a writing signed by both you and a duly authorized officer of the Company.</w:t>
      </w:r>
    </w:p>
    <w:p>
      <w:pPr>
        <w:spacing w:after="0" w:line="222" w:lineRule="exact"/>
        <w:rPr>
          <w:rFonts w:ascii="Times New Roman" w:cs="Times New Roman" w:eastAsia="Times New Roman" w:hAnsi="Times New Roman"/>
          <w:sz w:val="22"/>
          <w:szCs w:val="22"/>
          <w:color w:val="auto"/>
        </w:rPr>
      </w:pPr>
    </w:p>
    <w:p>
      <w:pPr>
        <w:ind w:firstLine="757"/>
        <w:spacing w:after="0" w:line="246"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would be difficult to measure any harm caused to the Company that might result from any breach by you of any of the Continuing Obligations. You further agree that money damages would be an inadequate remedy for any breach of the Continuing Obligations. Accordingly, you agree that if you breach, or propose to breach, any portion of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 You further agree that if you violate any of the Continuing Obligations, in addition to all other remedies available to the Company at law, in equity, and under contract, you will be obligated to pay all of the Company’s costs of enforcement of the Continuing Obligations, including reasonable attorneys’ fees and expenses.</w:t>
      </w:r>
    </w:p>
    <w:p>
      <w:pPr>
        <w:spacing w:after="0" w:line="222" w:lineRule="exact"/>
        <w:rPr>
          <w:rFonts w:ascii="Times New Roman" w:cs="Times New Roman" w:eastAsia="Times New Roman" w:hAnsi="Times New Roman"/>
          <w:sz w:val="22"/>
          <w:szCs w:val="22"/>
          <w:color w:val="auto"/>
        </w:rPr>
      </w:pPr>
    </w:p>
    <w:p>
      <w:pPr>
        <w:ind w:right="460" w:firstLine="757"/>
        <w:spacing w:after="0" w:line="239"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226" w:lineRule="exact"/>
        <w:rPr>
          <w:rFonts w:ascii="Times New Roman" w:cs="Times New Roman" w:eastAsia="Times New Roman" w:hAnsi="Times New Roman"/>
          <w:sz w:val="22"/>
          <w:szCs w:val="22"/>
          <w:color w:val="auto"/>
        </w:rPr>
      </w:pPr>
    </w:p>
    <w:p>
      <w:pPr>
        <w:ind w:right="240" w:firstLine="757"/>
        <w:spacing w:after="0" w:line="239"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will be governed by the laws of the Commonwealth of Massachusetts, without regard to the conflicts of law principles thereof that would require the application of the laws of another jurisdiction. The parties hereby submit to the exclusive jurisdiction of the state and federal courts of the Commonwealth of Massachusetts with respect to any dispute arising under this Agreement.</w:t>
      </w:r>
    </w:p>
    <w:p>
      <w:pPr>
        <w:spacing w:after="0" w:line="226" w:lineRule="exact"/>
        <w:rPr>
          <w:rFonts w:ascii="Times New Roman" w:cs="Times New Roman" w:eastAsia="Times New Roman" w:hAnsi="Times New Roman"/>
          <w:sz w:val="22"/>
          <w:szCs w:val="22"/>
          <w:color w:val="auto"/>
        </w:rPr>
      </w:pPr>
    </w:p>
    <w:p>
      <w:pPr>
        <w:jc w:val="both"/>
        <w:ind w:right="580" w:firstLine="757"/>
        <w:spacing w:after="0" w:line="239"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Continuing Obligations (as modified by this Agreement), constitutes the entire agreement between you and the Company and supersedes any previous agreements or understandings between you and the Company, except for the Indemnification Agreement and the Equity Documents, which remain in full force and effect.</w:t>
      </w:r>
    </w:p>
    <w:p>
      <w:pPr>
        <w:spacing w:after="0" w:line="226" w:lineRule="exact"/>
        <w:rPr>
          <w:rFonts w:ascii="Times New Roman" w:cs="Times New Roman" w:eastAsia="Times New Roman" w:hAnsi="Times New Roman"/>
          <w:sz w:val="22"/>
          <w:szCs w:val="22"/>
          <w:color w:val="auto"/>
        </w:rPr>
      </w:pPr>
    </w:p>
    <w:p>
      <w:pPr>
        <w:ind w:right="20" w:firstLine="757"/>
        <w:spacing w:after="0" w:line="246"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Time for Consideration</w:t>
      </w:r>
      <w:r>
        <w:rPr>
          <w:rFonts w:ascii="Times New Roman" w:cs="Times New Roman" w:eastAsia="Times New Roman" w:hAnsi="Times New Roman"/>
          <w:sz w:val="18"/>
          <w:szCs w:val="18"/>
          <w:color w:val="auto"/>
        </w:rPr>
        <w:t>. You acknowledge and agree that the Company advises you to consult with an attorney before signing this Agreement. You understand and acknowledge that you have been given the opportunity to consider this Agreement for twenty-one (21) days from your receipt of this Agreement before signing it (the “</w:t>
      </w:r>
      <w:r>
        <w:rPr>
          <w:rFonts w:ascii="Times New Roman" w:cs="Times New Roman" w:eastAsia="Times New Roman" w:hAnsi="Times New Roman"/>
          <w:sz w:val="18"/>
          <w:szCs w:val="18"/>
          <w:u w:val="single" w:color="auto"/>
          <w:color w:val="auto"/>
        </w:rPr>
        <w:t>Consideration Period</w:t>
      </w:r>
      <w:r>
        <w:rPr>
          <w:rFonts w:ascii="Times New Roman" w:cs="Times New Roman" w:eastAsia="Times New Roman" w:hAnsi="Times New Roman"/>
          <w:sz w:val="18"/>
          <w:szCs w:val="18"/>
          <w:color w:val="auto"/>
        </w:rPr>
        <w:t>”). To accept this Agreement, you must return a signed, unmodified original or PDF copy of this Agreement so that it is received by the undersigned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business days from the date when you sign this Agreement, you have the right to revoke this Agreement by written notice to the undersigned, provided that such notice is delivered so that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received at or before the expiration of the seven (7) business day revocation period. This Agreement shall not become effective or enforceable during the revocation period. This Agreement shall become effective on the first business day following the expiration of the revocation period. For the avoidance of doubt, (i) if you breach any of the provisions of the Agreement during the Consideration Period, the offer of this Agreement may be withdrawn and your execution of the Agreement will not be valid, and (ii) if you do not enter into or revoke this Agreement, then your employment will end but you will not be entitled to any of the benefits set forth in this Agreement.</w:t>
      </w:r>
    </w:p>
    <w:p>
      <w:pPr>
        <w:spacing w:after="0" w:line="210" w:lineRule="exact"/>
        <w:rPr>
          <w:sz w:val="20"/>
          <w:szCs w:val="20"/>
          <w:color w:val="auto"/>
        </w:rPr>
      </w:pPr>
    </w:p>
    <w:p>
      <w:pPr>
        <w:ind w:firstLine="757"/>
        <w:spacing w:after="0" w:line="234" w:lineRule="auto"/>
        <w:tabs>
          <w:tab w:leader="none" w:pos="10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When both counterparts are signed, they shall be treated together as one and the same document. Electronic and pdf signatures shall be deemed to have the same legal effect as originals.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282" w:lineRule="auto"/>
        <w:rPr>
          <w:sz w:val="20"/>
          <w:szCs w:val="20"/>
          <w:color w:val="auto"/>
        </w:rPr>
      </w:pPr>
      <w:r>
        <w:rPr>
          <w:rFonts w:ascii="Times New Roman" w:cs="Times New Roman" w:eastAsia="Times New Roman" w:hAnsi="Times New Roman"/>
          <w:sz w:val="18"/>
          <w:szCs w:val="18"/>
          <w:color w:val="auto"/>
        </w:rPr>
        <w:t>Please indicate your agreement to the terms of this Agreement by signing and returning the original or a PDF copy of this letter within the time period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wish you the best in your future endeavors.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-127635</wp:posOffset>
            </wp:positionV>
            <wp:extent cx="29743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-127635</wp:posOffset>
            </wp:positionV>
            <wp:extent cx="305181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6420" w:val="left"/>
        </w:tabs>
        <w:rPr>
          <w:sz w:val="20"/>
          <w:szCs w:val="20"/>
          <w:color w:val="auto"/>
        </w:rPr>
      </w:pPr>
      <w:r>
        <w:rPr>
          <w:rFonts w:ascii="Times New Roman" w:cs="Times New Roman" w:eastAsia="Times New Roman" w:hAnsi="Times New Roman"/>
          <w:sz w:val="18"/>
          <w:szCs w:val="18"/>
          <w:color w:val="auto"/>
        </w:rPr>
        <w:t>Joanne Bryce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1187450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UPDATING RELEASE OF CLAIMS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(THIS SHOULD NOT BE SIGNED AT THE SAME TIME THE TRANSITIONAL SERVICES AND SEPARATION AGREEMENT IS SIGNED. IT SHOULD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BE SIGNED INSTEAD WITHIN THE 7 DAYS FOLLOWING THE DATE OF TERMINATION)</w:t>
      </w:r>
    </w:p>
    <w:p>
      <w:pPr>
        <w:spacing w:after="0" w:line="207"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I, hereby acknowledge and certify that I entered into the Transitional Services and Separation Agreement with the Company to which this Agreement is attached. Capitalized but undefined terms in this Certificate are defined in the Agreement. Pursuant to the Agreement, I am required to sign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which updates the release of claims in the Agreement, in order to receive the severance benefits described in the Agreement. </w:t>
      </w:r>
      <w:r>
        <w:rPr>
          <w:rFonts w:ascii="Times New Roman" w:cs="Times New Roman" w:eastAsia="Times New Roman" w:hAnsi="Times New Roman"/>
          <w:sz w:val="18"/>
          <w:szCs w:val="18"/>
          <w:b w:val="1"/>
          <w:bCs w:val="1"/>
          <w:i w:val="1"/>
          <w:iCs w:val="1"/>
          <w:color w:val="auto"/>
        </w:rPr>
        <w:t>For this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Certificate to become effective and for me to receive such severance benefits, I must sign this Certificate after the Date of Termination but no later than seven days after the Date of Termination. I will not sign this Certificate before the Date of Termination. </w:t>
      </w:r>
      <w:r>
        <w:rPr>
          <w:rFonts w:ascii="Times New Roman" w:cs="Times New Roman" w:eastAsia="Times New Roman" w:hAnsi="Times New Roman"/>
          <w:sz w:val="18"/>
          <w:szCs w:val="18"/>
          <w:color w:val="auto"/>
        </w:rPr>
        <w:t>Subject to the foregoing, the date I sign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is the “</w:t>
      </w:r>
      <w:r>
        <w:rPr>
          <w:rFonts w:ascii="Times New Roman" w:cs="Times New Roman" w:eastAsia="Times New Roman" w:hAnsi="Times New Roman"/>
          <w:sz w:val="18"/>
          <w:szCs w:val="18"/>
          <w:u w:val="single" w:color="auto"/>
          <w:color w:val="auto"/>
        </w:rPr>
        <w:t>Certificate Effective Date</w:t>
      </w:r>
      <w:r>
        <w:rPr>
          <w:rFonts w:ascii="Times New Roman" w:cs="Times New Roman" w:eastAsia="Times New Roman" w:hAnsi="Times New Roman"/>
          <w:sz w:val="18"/>
          <w:szCs w:val="18"/>
          <w:color w:val="auto"/>
        </w:rPr>
        <w:t>.” I further agree as follows:</w:t>
      </w:r>
    </w:p>
    <w:p>
      <w:pPr>
        <w:spacing w:after="0" w:line="194" w:lineRule="exact"/>
        <w:rPr>
          <w:sz w:val="20"/>
          <w:szCs w:val="20"/>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copy of this Certificate was attached as an Exhibit to the Agreement.</w:t>
      </w:r>
    </w:p>
    <w:p>
      <w:pPr>
        <w:spacing w:after="0" w:line="224" w:lineRule="exact"/>
        <w:rPr>
          <w:rFonts w:ascii="Times New Roman" w:cs="Times New Roman" w:eastAsia="Times New Roman" w:hAnsi="Times New Roman"/>
          <w:sz w:val="22"/>
          <w:szCs w:val="22"/>
          <w:color w:val="auto"/>
        </w:rPr>
      </w:pPr>
    </w:p>
    <w:p>
      <w:pPr>
        <w:ind w:left="1500" w:hanging="743"/>
        <w:spacing w:after="0" w:line="239"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consideration of the benefits described in the Agreement, for which I become eligible only if I sign this Certificate, I hereby extend the release of claims set forth in the Agreement to any and all claims that arose after the date I signed the Agreement through the date I signed this Certificate, subject to all other exclusions and terms set forth in the Agreement.</w:t>
      </w:r>
    </w:p>
    <w:p>
      <w:pPr>
        <w:spacing w:after="0" w:line="226" w:lineRule="exact"/>
        <w:rPr>
          <w:rFonts w:ascii="Times New Roman" w:cs="Times New Roman" w:eastAsia="Times New Roman" w:hAnsi="Times New Roman"/>
          <w:sz w:val="22"/>
          <w:szCs w:val="22"/>
          <w:color w:val="auto"/>
        </w:rPr>
      </w:pPr>
    </w:p>
    <w:p>
      <w:pPr>
        <w:ind w:left="1500" w:right="80" w:hanging="743"/>
        <w:spacing w:after="0" w:line="243"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officers, directors, employees, agents or other representatives with the exception of those promises expressly contained in this Certificate and the Agreement.</w:t>
      </w:r>
    </w:p>
    <w:p>
      <w:pPr>
        <w:spacing w:after="0" w:line="222" w:lineRule="exact"/>
        <w:rPr>
          <w:rFonts w:ascii="Times New Roman" w:cs="Times New Roman" w:eastAsia="Times New Roman" w:hAnsi="Times New Roman"/>
          <w:sz w:val="22"/>
          <w:szCs w:val="22"/>
          <w:color w:val="auto"/>
        </w:rPr>
      </w:pPr>
    </w:p>
    <w:p>
      <w:pPr>
        <w:ind w:left="1500" w:right="20" w:hanging="743"/>
        <w:spacing w:after="0" w:line="245"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also represent that I have not been subject to any retaliation or any other form of adverse action by the released parties for any action taken by me as an employee or resulting from my exercise of or attempt to exercise any statutory rights recognized under federal, state or local law. I agree that I have been paid all unpaid wages and other compensation owed to me of the Date of Termination. I also agree that and that none of my rights have been violated under any statute, common law or Company policy, program or agreement. I represent that I have reported any and all workplace injuries that I suffered during my employment, if any, to the Company before executing this Certificate.</w:t>
      </w:r>
    </w:p>
    <w:p>
      <w:pPr>
        <w:spacing w:after="0" w:line="224" w:lineRule="exact"/>
        <w:rPr>
          <w:rFonts w:ascii="Times New Roman" w:cs="Times New Roman" w:eastAsia="Times New Roman" w:hAnsi="Times New Roman"/>
          <w:sz w:val="22"/>
          <w:szCs w:val="22"/>
          <w:color w:val="auto"/>
        </w:rPr>
      </w:pPr>
    </w:p>
    <w:p>
      <w:pPr>
        <w:ind w:left="1500" w:right="260" w:hanging="743"/>
        <w:spacing w:after="0" w:line="239"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represent that as of the Company’s most recent payroll payment of salary or wages to me, I have been fully paid for all salary or wages then due to me, and I acknowledge that I am not eligible for any other compensation from the Company, except as otherwise specified in this Agreement.</w:t>
      </w:r>
    </w:p>
    <w:p>
      <w:pPr>
        <w:spacing w:after="0" w:line="20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agree that this Certificate is part of the Agreement.</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-127635</wp:posOffset>
            </wp:positionV>
            <wp:extent cx="33089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18"/>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120" w:type="dxa"/>
            <w:vAlign w:val="bottom"/>
          </w:tcPr>
          <w:p>
            <w:pPr>
              <w:spacing w:after="0"/>
              <w:rPr>
                <w:sz w:val="24"/>
                <w:szCs w:val="24"/>
                <w:color w:val="auto"/>
              </w:rPr>
            </w:pPr>
          </w:p>
        </w:tc>
        <w:tc>
          <w:tcPr>
            <w:tcW w:w="1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State of Organization</w:t>
            </w:r>
          </w:p>
        </w:tc>
      </w:tr>
      <w:tr>
        <w:trPr>
          <w:trHeight w:val="37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 Medicine Opco, Inc.</w:t>
            </w:r>
          </w:p>
        </w:tc>
        <w:tc>
          <w:tcPr>
            <w:tcW w:w="120" w:type="dxa"/>
            <w:vAlign w:val="bottom"/>
          </w:tcPr>
          <w:p>
            <w:pPr>
              <w:spacing w:after="0"/>
              <w:rPr>
                <w:sz w:val="24"/>
                <w:szCs w:val="24"/>
                <w:color w:val="auto"/>
              </w:rPr>
            </w:pPr>
          </w:p>
        </w:tc>
        <w:tc>
          <w:tcPr>
            <w:tcW w:w="19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 Medicine Securities Corp.</w:t>
            </w:r>
          </w:p>
        </w:tc>
        <w:tc>
          <w:tcPr>
            <w:tcW w:w="120" w:type="dxa"/>
            <w:vAlign w:val="bottom"/>
          </w:tcPr>
          <w:p>
            <w:pPr>
              <w:spacing w:after="0"/>
              <w:rPr>
                <w:sz w:val="22"/>
                <w:szCs w:val="22"/>
                <w:color w:val="auto"/>
              </w:rPr>
            </w:pPr>
          </w:p>
        </w:tc>
        <w:tc>
          <w:tcPr>
            <w:tcW w:w="19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57"/>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Gemini Therapeutics Sub, Inc..</w:t>
            </w:r>
          </w:p>
        </w:tc>
        <w:tc>
          <w:tcPr>
            <w:tcW w:w="120" w:type="dxa"/>
            <w:vAlign w:val="bottom"/>
          </w:tcPr>
          <w:p>
            <w:pPr>
              <w:spacing w:after="0"/>
              <w:rPr>
                <w:sz w:val="22"/>
                <w:szCs w:val="22"/>
                <w:color w:val="auto"/>
              </w:rPr>
            </w:pPr>
          </w:p>
        </w:tc>
        <w:tc>
          <w:tcPr>
            <w:tcW w:w="19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rPr>
              <w:t>Delaware</w:t>
            </w:r>
          </w:p>
        </w:tc>
      </w:tr>
      <w:tr>
        <w:trPr>
          <w:trHeight w:val="1249"/>
        </w:trPr>
        <w:tc>
          <w:tcPr>
            <w:tcW w:w="9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333-269270) of Disc Medicine,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333-269272) of Disc Medicine,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333-275652) of Disc Medicine, Inc.</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333-269271) pertaining to the 2017 Stock Option and Grant Plan, Amended and Restated 2021 Stock Option and Incentive Plan, and Amended and Restated 2021 Employee Stock Purchase Plan, of Disc Medicine,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333-263410) pertaining to the 2021 Stock Option and Incentive Plan of Gemini Therapeutics, Inc.</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333-255194) pertaining to the 2021 Stock Option and Incentive Plan and the 2021 Inducement Plan of Gemini Therapeutics, Inc.,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333-260243) pertaining to the 2021 Employee Stock Purchase Plan of Gemini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report dated March 21, 2024, with respect to the consolidated financial statements of Disc Medicine, Inc. included in this Annual Report (Form 10-</w:t>
      </w:r>
    </w:p>
    <w:p>
      <w:pPr>
        <w:spacing w:after="0" w:line="27" w:lineRule="exact"/>
        <w:rPr>
          <w:sz w:val="20"/>
          <w:szCs w:val="20"/>
          <w:color w:val="auto"/>
        </w:rPr>
      </w:pPr>
    </w:p>
    <w:p>
      <w:pPr>
        <w:ind w:right="6500" w:firstLine="8"/>
        <w:spacing w:after="0" w:line="490" w:lineRule="auto"/>
        <w:tabs>
          <w:tab w:leader="none" w:pos="2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Disc Medicine, Inc. for the year ended December 31, 2023. /s/ Ernst &amp; Young LLP</w:t>
      </w: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7" w:name="page178"/>
    <w:bookmarkEnd w:id="17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13A-14( A ) / RULE 15D-14( A )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225" w:lineRule="exact"/>
        <w:rPr>
          <w:sz w:val="20"/>
          <w:szCs w:val="20"/>
          <w:color w:val="auto"/>
        </w:rPr>
      </w:pPr>
    </w:p>
    <w:p>
      <w:pPr>
        <w:ind w:left="180" w:hanging="172"/>
        <w:spacing w:after="0"/>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Disc Medicine, Inc.;</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8"/>
        <w:spacing w:after="0" w:line="266" w:lineRule="auto"/>
        <w:tabs>
          <w:tab w:leader="none" w:pos="2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4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78" w:name="page179"/>
    <w:bookmarkEnd w:id="17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13A-14(A) / RULE 15D-14(A)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225" w:lineRule="exact"/>
        <w:rPr>
          <w:sz w:val="20"/>
          <w:szCs w:val="20"/>
          <w:color w:val="auto"/>
        </w:rPr>
      </w:pPr>
    </w:p>
    <w:p>
      <w:pPr>
        <w:ind w:left="180" w:hanging="172"/>
        <w:spacing w:after="0"/>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Disc Medicine, Inc.;</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8"/>
        <w:spacing w:after="0" w:line="266"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4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79" w:name="page180"/>
    <w:bookmarkEnd w:id="17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Disc Medicine, Inc. (the “Company”) for the fiscal year ended December 31, 2023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upperLetter"/>
      <w:start w:val="34"/>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1."/>
      <w:numFmt w:val="decimal"/>
      <w:start w:val="3"/>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4"/>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2"/>
    </w:lvl>
  </w:abstractNum>
  <w:abstractNum w:abstractNumId="72">
    <w:nsid w:val="68EBC550"/>
    <w:multiLevelType w:val="hybridMultilevel"/>
    <w:lvl w:ilvl="0">
      <w:lvlJc w:val="left"/>
      <w:lvlText w:val="%1."/>
      <w:numFmt w:val="decimal"/>
      <w:start w:val="3"/>
    </w:lvl>
  </w:abstractNum>
  <w:abstractNum w:abstractNumId="73">
    <w:nsid w:val="2DF6D648"/>
    <w:multiLevelType w:val="hybridMultilevel"/>
    <w:lvl w:ilvl="0">
      <w:lvlJc w:val="left"/>
      <w:lvlText w:val="*"/>
      <w:numFmt w:val="bullet"/>
      <w:start w:val="1"/>
    </w:lvl>
    <w:lvl w:ilvl="1">
      <w:lvlJc w:val="left"/>
      <w:lvlText w:val="%2"/>
      <w:numFmt w:val="decimal"/>
      <w:start w:val="104"/>
    </w:lvl>
  </w:abstractNum>
  <w:abstractNum w:abstractNumId="74">
    <w:nsid w:val="46B7D447"/>
    <w:multiLevelType w:val="hybridMultilevel"/>
    <w:lvl w:ilvl="0">
      <w:lvlJc w:val="left"/>
      <w:lvlText w:val="**"/>
      <w:numFmt w:val="bullet"/>
      <w:start w:val="1"/>
    </w:lvl>
    <w:lvl w:ilvl="1">
      <w:lvlJc w:val="left"/>
      <w:lvlText w:val="%2"/>
      <w:numFmt w:val="decimal"/>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2"/>
    </w:lvl>
  </w:abstractNum>
  <w:abstractNum w:abstractNumId="79">
    <w:nsid w:val="43F18422"/>
    <w:multiLevelType w:val="hybridMultilevel"/>
    <w:lvl w:ilvl="0">
      <w:lvlJc w:val="left"/>
      <w:lvlText w:val="%1."/>
      <w:numFmt w:val="decimal"/>
      <w:start w:val="3"/>
    </w:lvl>
  </w:abstractNum>
  <w:abstractNum w:abstractNumId="80">
    <w:nsid w:val="60EF0119"/>
    <w:multiLevelType w:val="hybridMultilevel"/>
    <w:lvl w:ilvl="0">
      <w:lvlJc w:val="left"/>
      <w:lvlText w:val="%1."/>
      <w:numFmt w:val="decimal"/>
      <w:start w:val="4"/>
    </w:lvl>
  </w:abstractNum>
  <w:abstractNum w:abstractNumId="81">
    <w:nsid w:val="26F324BA"/>
    <w:multiLevelType w:val="hybridMultilevel"/>
    <w:lvl w:ilvl="0">
      <w:lvlJc w:val="left"/>
      <w:lvlText w:val="(%1)"/>
      <w:numFmt w:val="lowerLetter"/>
      <w:start w:val="1"/>
    </w:lvl>
  </w:abstractNum>
  <w:abstractNum w:abstractNumId="82">
    <w:nsid w:val="7F01579B"/>
    <w:multiLevelType w:val="hybridMultilevel"/>
    <w:lvl w:ilvl="0">
      <w:lvlJc w:val="left"/>
      <w:lvlText w:val="(%1)"/>
      <w:numFmt w:val="decimal"/>
      <w:start w:val="9"/>
    </w:lvl>
    <w:lvl w:ilvl="1">
      <w:lvlJc w:val="left"/>
      <w:lvlText w:val="(%2)"/>
      <w:numFmt w:val="lowerLetter"/>
      <w:start w:val="3"/>
    </w:lvl>
  </w:abstractNum>
  <w:abstractNum w:abstractNumId="83">
    <w:nsid w:val="49DA307D"/>
    <w:multiLevelType w:val="hybridMultilevel"/>
    <w:lvl w:ilvl="0">
      <w:lvlJc w:val="left"/>
      <w:lvlText w:val="%1."/>
      <w:numFmt w:val="decimal"/>
      <w:start w:val="5"/>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1."/>
      <w:numFmt w:val="decimal"/>
      <w:start w:val="6"/>
    </w:lvl>
  </w:abstractNum>
  <w:abstractNum w:abstractNumId="87">
    <w:nsid w:val="488AC1A"/>
    <w:multiLevelType w:val="hybridMultilevel"/>
    <w:lvl w:ilvl="0">
      <w:lvlJc w:val="left"/>
      <w:lvlText w:val="%1."/>
      <w:numFmt w:val="decimal"/>
      <w:start w:val="7"/>
    </w:lvl>
  </w:abstractNum>
  <w:abstractNum w:abstractNumId="88">
    <w:nsid w:val="5FB8011C"/>
    <w:multiLevelType w:val="hybridMultilevel"/>
    <w:lvl w:ilvl="0">
      <w:lvlJc w:val="left"/>
      <w:lvlText w:val="%1."/>
      <w:numFmt w:val="decimal"/>
      <w:start w:val="8"/>
    </w:lvl>
  </w:abstractNum>
  <w:abstractNum w:abstractNumId="89">
    <w:nsid w:val="6AA78F7F"/>
    <w:multiLevelType w:val="hybridMultilevel"/>
    <w:lvl w:ilvl="0">
      <w:lvlJc w:val="left"/>
      <w:lvlText w:val="%1."/>
      <w:numFmt w:val="decimal"/>
      <w:start w:val="9"/>
    </w:lvl>
  </w:abstractNum>
  <w:abstractNum w:abstractNumId="90">
    <w:nsid w:val="7672BD23"/>
    <w:multiLevelType w:val="hybridMultilevel"/>
    <w:lvl w:ilvl="0">
      <w:lvlJc w:val="left"/>
      <w:lvlText w:val="%1."/>
      <w:numFmt w:val="decimal"/>
      <w:start w:val="10"/>
    </w:lvl>
  </w:abstractNum>
  <w:abstractNum w:abstractNumId="91">
    <w:nsid w:val="6FC75AF8"/>
    <w:multiLevelType w:val="hybridMultilevel"/>
    <w:lvl w:ilvl="0">
      <w:lvlJc w:val="left"/>
      <w:lvlText w:val="%1."/>
      <w:numFmt w:val="decimal"/>
      <w:start w:val="11"/>
    </w:lvl>
  </w:abstractNum>
  <w:abstractNum w:abstractNumId="92">
    <w:nsid w:val="6A5F7029"/>
    <w:multiLevelType w:val="hybridMultilevel"/>
    <w:lvl w:ilvl="0">
      <w:lvlJc w:val="left"/>
      <w:lvlText w:val="%1."/>
      <w:numFmt w:val="decimal"/>
      <w:start w:val="12"/>
    </w:lvl>
    <w:lvl w:ilvl="1">
      <w:lvlJc w:val="left"/>
      <w:lvlText w:val="(%2)"/>
      <w:numFmt w:val="lowerLetter"/>
      <w:start w:val="1"/>
    </w:lvl>
  </w:abstractNum>
  <w:abstractNum w:abstractNumId="93">
    <w:nsid w:val="7D5E18F8"/>
    <w:multiLevelType w:val="hybridMultilevel"/>
    <w:lvl w:ilvl="0">
      <w:lvlJc w:val="left"/>
      <w:lvlText w:val="(%1)"/>
      <w:numFmt w:val="lowerLetter"/>
      <w:start w:val="2"/>
    </w:lvl>
  </w:abstractNum>
  <w:abstractNum w:abstractNumId="94">
    <w:nsid w:val="5F3534A4"/>
    <w:multiLevelType w:val="hybridMultilevel"/>
    <w:lvl w:ilvl="0">
      <w:lvlJc w:val="left"/>
      <w:lvlText w:val="(%1)"/>
      <w:numFmt w:val="lowerLetter"/>
      <w:start w:val="10"/>
    </w:lvl>
  </w:abstractNum>
  <w:abstractNum w:abstractNumId="95">
    <w:nsid w:val="73A1821B"/>
    <w:multiLevelType w:val="hybridMultilevel"/>
    <w:lvl w:ilvl="0">
      <w:lvlJc w:val="left"/>
      <w:lvlText w:val="%1."/>
      <w:numFmt w:val="decimal"/>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upperLetter"/>
      <w:start w:val="1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lowerLetter"/>
      <w:start w:val="1"/>
    </w:lvl>
  </w:abstractNum>
  <w:abstractNum w:abstractNumId="100">
    <w:nsid w:val="6A3DD3E8"/>
    <w:multiLevelType w:val="hybridMultilevel"/>
    <w:lvl w:ilvl="0">
      <w:lvlJc w:val="left"/>
      <w:lvlText w:val="%1."/>
      <w:numFmt w:val="decimal"/>
      <w:start w:val="5"/>
    </w:lvl>
  </w:abstractNum>
  <w:abstractNum w:abstractNumId="101">
    <w:nsid w:val="71C91298"/>
    <w:multiLevelType w:val="hybridMultilevel"/>
    <w:lvl w:ilvl="0">
      <w:lvlJc w:val="left"/>
      <w:lvlText w:val="(%1)"/>
      <w:numFmt w:val="lowerLetter"/>
      <w:start w:val="1"/>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1)"/>
      <w:numFmt w:val="lowerLetter"/>
      <w:start w:val="1"/>
    </w:lvl>
  </w:abstractNum>
  <w:abstractNum w:abstractNumId="104">
    <w:nsid w:val="1FBFE8E0"/>
    <w:multiLevelType w:val="hybridMultilevel"/>
    <w:lvl w:ilvl="0">
      <w:lvlJc w:val="left"/>
      <w:lvlText w:val="%1."/>
      <w:numFmt w:val="decimal"/>
      <w:start w:val="5"/>
    </w:lvl>
  </w:abstractNum>
  <w:abstractNum w:abstractNumId="105">
    <w:nsid w:val="5092CA79"/>
    <w:multiLevelType w:val="hybridMultilevel"/>
    <w:lvl w:ilvl="0">
      <w:lvlJc w:val="left"/>
      <w:lvlText w:val="(%1)"/>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30" Type="http://schemas.openxmlformats.org/officeDocument/2006/relationships/hyperlink" Target="https://www.sec.gov/Archives/edgar/data/1816736/000114036122032239/ny20005172x1_s4.htm#tANNEXA" TargetMode="External"/><Relationship Id="rId331" Type="http://schemas.openxmlformats.org/officeDocument/2006/relationships/hyperlink" Target="https://www.sec.gov/Archives/edgar/data/1816736/000114036122032239/ny20005172x1_ex3-1.htm" TargetMode="External"/><Relationship Id="rId332" Type="http://schemas.openxmlformats.org/officeDocument/2006/relationships/hyperlink" Target="https://www.sec.gov/Archives/edgar/data/1816736/000114036122047453/brhc10045896_ex3-1.htm" TargetMode="External"/><Relationship Id="rId333" Type="http://schemas.openxmlformats.org/officeDocument/2006/relationships/hyperlink" Target="https://www.sec.gov/Archives/edgar/data/1816736/000114036122047453/brhc10045896_ex3-2.htm" TargetMode="External"/><Relationship Id="rId334" Type="http://schemas.openxmlformats.org/officeDocument/2006/relationships/hyperlink" Target="https://www.sec.gov/Archives/edgar/data/1816736/000095017022003288/gmtx-ex4_4.htm" TargetMode="External"/><Relationship Id="rId335" Type="http://schemas.openxmlformats.org/officeDocument/2006/relationships/hyperlink" Target="https://www.sec.gov/Archives/edgar/data/1816736/000114036122047453/brhc10045896_ex10-1.htm" TargetMode="External"/><Relationship Id="rId336" Type="http://schemas.openxmlformats.org/officeDocument/2006/relationships/hyperlink" Target="https://www.sec.gov/Archives/edgar/data/1816736/000121390021007091/ea134758ex10-1_gemini.htm" TargetMode="External"/><Relationship Id="rId337" Type="http://schemas.openxmlformats.org/officeDocument/2006/relationships/hyperlink" Target="https://www.sec.gov/Archives/edgar/data/1816736/000119312523037151/d289637dex41.htm" TargetMode="External"/><Relationship Id="rId338" Type="http://schemas.openxmlformats.org/officeDocument/2006/relationships/hyperlink" Target="https://www.sec.gov/Archives/edgar/data/1816736/000114036122032239/ny20005172x1_ex10-2.htm" TargetMode="External"/><Relationship Id="rId339" Type="http://schemas.openxmlformats.org/officeDocument/2006/relationships/hyperlink" Target="https://www.sec.gov/Archives/edgar/data/1816736/000114036122032239/ny20005172x1_ex10-3.htm" TargetMode="External"/><Relationship Id="rId340" Type="http://schemas.openxmlformats.org/officeDocument/2006/relationships/hyperlink" Target="https://www.sec.gov/Archives/edgar/data/1816736/000095017023021963/iron-ex10_1.htm" TargetMode="External"/><Relationship Id="rId341" Type="http://schemas.openxmlformats.org/officeDocument/2006/relationships/hyperlink" Target="https://www.sec.gov/Archives/edgar/data/1816736/000114036122032239/ny20005172x1_ex10-4.htm" TargetMode="External"/><Relationship Id="rId342" Type="http://schemas.openxmlformats.org/officeDocument/2006/relationships/hyperlink" Target="https://www.sec.gov/Archives/edgar/data/1816736/000114036122032239/ny20005172x1_ex10-5.htm" TargetMode="External"/><Relationship Id="rId343" Type="http://schemas.openxmlformats.org/officeDocument/2006/relationships/hyperlink" Target="https://www.sec.gov/Archives/edgar/data/1816736/000114036122032239/ny20005172x1_ex10-6.htm" TargetMode="External"/><Relationship Id="rId346" Type="http://schemas.openxmlformats.org/officeDocument/2006/relationships/hyperlink" Target="https://www.sec.gov/Archives/edgar/data/1816736/000114036122032239/ny20005172x1_ex10-7.htm" TargetMode="External"/><Relationship Id="rId347" Type="http://schemas.openxmlformats.org/officeDocument/2006/relationships/hyperlink" Target="https://www.sec.gov/Archives/edgar/data/1816736/000114036122039701/ny20005172x4_ex10-21.htm" TargetMode="External"/><Relationship Id="rId348" Type="http://schemas.openxmlformats.org/officeDocument/2006/relationships/hyperlink" Target="https://www.sec.gov/Archives/edgar/data/1816736/000114036122047453/brhc10045896_ex10-5.htm" TargetMode="External"/><Relationship Id="rId349" Type="http://schemas.openxmlformats.org/officeDocument/2006/relationships/hyperlink" Target="https://www.sec.gov/Archives/edgar/data/1816736/000114036122043047/ny20005172x6_ex10-22.htm" TargetMode="External"/><Relationship Id="rId350" Type="http://schemas.openxmlformats.org/officeDocument/2006/relationships/hyperlink" Target="https://www.sec.gov/Archives/edgar/data/1816736/000119312523009656/d435326dex991.htm" TargetMode="External"/><Relationship Id="rId351" Type="http://schemas.openxmlformats.org/officeDocument/2006/relationships/hyperlink" Target="https://www.sec.gov/Archives/edgar/data/1816736/000119312523009656/d435326dex992.htm" TargetMode="External"/><Relationship Id="rId352" Type="http://schemas.openxmlformats.org/officeDocument/2006/relationships/hyperlink" Target="https://www.sec.gov/Archives/edgar/data/1816736/000119312523009656/d435326dex993.htm" TargetMode="External"/><Relationship Id="rId353" Type="http://schemas.openxmlformats.org/officeDocument/2006/relationships/hyperlink" Target="https://www.sec.gov/Archives/edgar/data/1816736/000114036122047453/brhc10045896_ex10-9.htm" TargetMode="External"/><Relationship Id="rId354" Type="http://schemas.openxmlformats.org/officeDocument/2006/relationships/hyperlink" Target="https://www.sec.gov/Archives/edgar/data/1816736/000121390021021222/ea139346ex99-3_gemini.htm" TargetMode="External"/><Relationship Id="rId355" Type="http://schemas.openxmlformats.org/officeDocument/2006/relationships/hyperlink" Target="https://www.sec.gov/Archives/edgar/data/1816736/000114036122047453/brhc10045896_ex10-3.htm" TargetMode="External"/><Relationship Id="rId356" Type="http://schemas.openxmlformats.org/officeDocument/2006/relationships/hyperlink" Target="https://www.sec.gov/Archives/edgar/data/1816736/000114036122047453/brhc10045896_ex10-4.htm" TargetMode="External"/><Relationship Id="rId357" Type="http://schemas.openxmlformats.org/officeDocument/2006/relationships/hyperlink" Target="https://www.sec.gov/Archives/edgar/data/1816736/000114036122047453/brhc10045896_ex10-6.htm" TargetMode="External"/><Relationship Id="rId358" Type="http://schemas.openxmlformats.org/officeDocument/2006/relationships/hyperlink" Target="https://www.sec.gov/Archives/edgar/data/1816736/000095017023011139/iron-ex10_19.htm" TargetMode="External"/><Relationship Id="rId359" Type="http://schemas.openxmlformats.org/officeDocument/2006/relationships/hyperlink" Target="https://www.sec.gov/Archives/edgar/data/1816736/000095017023011139/iron-ex10_20.htm" TargetMode="External"/><Relationship Id="rId360" Type="http://schemas.openxmlformats.org/officeDocument/2006/relationships/hyperlink" Target="https://www.sec.gov/Archives/edgar/data/1816736/000119312524025951/d758257dex101.htm" TargetMode="External"/><Relationship Id="rId363" Type="http://schemas.openxmlformats.org/officeDocument/2006/relationships/hyperlink" Target="https://www.sec.gov/Archives/edgar/data/1816736/000119312523253519/d555586dex11.htm" TargetMode="External"/><Relationship Id="rId364" Type="http://schemas.openxmlformats.org/officeDocument/2006/relationships/hyperlink" Target="https://www.sec.gov/Archives/edgar/data/1816736/000119312523289224/d632975dex11.htm" TargetMode="External"/><Relationship Id="rId365" Type="http://schemas.openxmlformats.org/officeDocument/2006/relationships/hyperlink" Target="https://www.sec.gov/Archives/edgar/data/1816736/000114036122047453/brhc10045896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2024-03-21T07:39:39Z</dcterms:created>
  <dcterms:modified xsi:type="dcterms:W3CDTF">2024-03-21T07:39:39Z</dcterms:modified>
</cp:coreProperties>
</file>