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321 Arsenal Street, Suite 101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Watertown, MA 02472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November 27,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 – 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4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Re: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Disc Medicine, Inc.</w:t>
            </w:r>
          </w:p>
        </w:tc>
      </w:tr>
      <w:tr>
        <w:trPr>
          <w:trHeight w:val="21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Registration Statement on Form S-3</w:t>
            </w:r>
          </w:p>
        </w:tc>
      </w:tr>
      <w:tr>
        <w:trPr>
          <w:trHeight w:val="21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 No. 333-269272</w:t>
            </w:r>
          </w:p>
        </w:tc>
      </w:tr>
      <w:tr>
        <w:trPr>
          <w:trHeight w:val="1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Request for Acceleration</w:t>
            </w: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Disc Medicine, Inc. (the “Company”) hereby requests acceleration of the effective date of its Registration Statement on Form S-3 (File No. 333-275652) (the “Registration Statement”), so that it may become effective at 4:01 pm Eastern time on November 29, 2023, or as soon thereafter as practicable.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DISC MEDICINE, INC.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John Quisel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4429125</wp:posOffset>
            </wp:positionH>
            <wp:positionV relativeFrom="paragraph">
              <wp:posOffset>17145</wp:posOffset>
            </wp:positionV>
            <wp:extent cx="25628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John Quisel, J.D., Ph.D.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 Chief Executive Officer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William Collins, Goodwin Procter LLP</w:t>
      </w:r>
    </w:p>
    <w:sectPr>
      <w:pgSz w:w="11900" w:h="16838" w:orient="portrait"/>
      <w:cols w:equalWidth="0" w:num="1">
        <w:col w:w="10800"/>
      </w:cols>
      <w:pgMar w:left="440" w:top="229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2024-01-15T00:21:13Z</dcterms:created>
  <dcterms:modified xsi:type="dcterms:W3CDTF">2024-01-15T00:21:13Z</dcterms:modified>
</cp:coreProperties>
</file>