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Washington, D.C. 20549</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SCHEDULE 13D/A</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(CUSIP Number)</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Robert Atchinson</w:t>
      </w:r>
    </w:p>
    <w:p>
      <w:pPr>
        <w:jc w:val="center"/>
        <w:ind w:right="-59"/>
        <w:spacing w:after="0" w:line="238" w:lineRule="auto"/>
        <w:rPr>
          <w:sz w:val="20"/>
          <w:szCs w:val="20"/>
          <w:color w:val="auto"/>
        </w:rPr>
      </w:pPr>
      <w:r>
        <w:rPr>
          <w:rFonts w:ascii="Arial" w:cs="Arial" w:eastAsia="Arial" w:hAnsi="Arial"/>
          <w:sz w:val="22"/>
          <w:szCs w:val="22"/>
          <w:color w:val="auto"/>
        </w:rPr>
        <w:t>Adage Capital Partners GP, L.L.C.</w:t>
      </w:r>
    </w:p>
    <w:p>
      <w:pPr>
        <w:jc w:val="center"/>
        <w:ind w:right="-59"/>
        <w:spacing w:after="0" w:line="230" w:lineRule="auto"/>
        <w:rPr>
          <w:sz w:val="20"/>
          <w:szCs w:val="20"/>
          <w:color w:val="auto"/>
        </w:rPr>
      </w:pPr>
      <w:r>
        <w:rPr>
          <w:rFonts w:ascii="Arial" w:cs="Arial" w:eastAsia="Arial" w:hAnsi="Arial"/>
          <w:sz w:val="22"/>
          <w:szCs w:val="22"/>
          <w:color w:val="auto"/>
        </w:rPr>
        <w:t>200 Clarendon Street, 52nd Floor</w:t>
      </w:r>
    </w:p>
    <w:p>
      <w:pPr>
        <w:jc w:val="center"/>
        <w:ind w:right="-59"/>
        <w:spacing w:after="0" w:line="233" w:lineRule="auto"/>
        <w:rPr>
          <w:sz w:val="20"/>
          <w:szCs w:val="20"/>
          <w:color w:val="auto"/>
        </w:rPr>
      </w:pPr>
      <w:r>
        <w:rPr>
          <w:rFonts w:ascii="Arial" w:cs="Arial" w:eastAsia="Arial" w:hAnsi="Arial"/>
          <w:sz w:val="22"/>
          <w:szCs w:val="22"/>
          <w:color w:val="auto"/>
        </w:rPr>
        <w:t>Boston, MA 02116</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(617) 867-2800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(Name, Address and Telephone Number of Person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Authorized to Receive Notices and Communications)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October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20" w:lineRule="exact"/>
        <w:rPr>
          <w:sz w:val="24"/>
          <w:szCs w:val="24"/>
          <w:color w:val="auto"/>
        </w:rPr>
      </w:pPr>
    </w:p>
    <w:p>
      <w:pPr>
        <w:ind w:right="100"/>
        <w:spacing w:after="0" w:line="32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(Page 1 of 9 Pages)</w:t>
      </w:r>
    </w:p>
    <w:p>
      <w:pPr>
        <w:spacing w:after="0" w:line="233" w:lineRule="auto"/>
        <w:rPr>
          <w:sz w:val="20"/>
          <w:szCs w:val="20"/>
          <w:color w:val="auto"/>
        </w:rPr>
      </w:pPr>
      <w:r>
        <w:rPr>
          <w:rFonts w:ascii="Arial" w:cs="Arial" w:eastAsia="Arial" w:hAnsi="Arial"/>
          <w:sz w:val="14"/>
          <w:szCs w:val="14"/>
          <w:color w:val="auto"/>
        </w:rPr>
        <w:t>______________________________</w:t>
      </w:r>
    </w:p>
    <w:p>
      <w:pPr>
        <w:ind w:right="40" w:firstLine="8"/>
        <w:spacing w:after="0" w:line="234"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4"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320" w:top="429"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CUSIP No. 36870G105</w:t>
            </w:r>
          </w:p>
        </w:tc>
        <w:tc>
          <w:tcPr>
            <w:tcW w:w="3500" w:type="dxa"/>
            <w:vAlign w:val="bottom"/>
          </w:tcPr>
          <w:p>
            <w:pPr>
              <w:ind w:left="340"/>
              <w:spacing w:after="0"/>
              <w:rPr>
                <w:sz w:val="20"/>
                <w:szCs w:val="20"/>
                <w:color w:val="auto"/>
              </w:rPr>
            </w:pPr>
            <w:r>
              <w:rPr>
                <w:rFonts w:ascii="Arial" w:cs="Arial" w:eastAsia="Arial" w:hAnsi="Arial"/>
                <w:sz w:val="18"/>
                <w:szCs w:val="18"/>
                <w:b w:val="1"/>
                <w:bCs w:val="1"/>
                <w:color w:val="auto"/>
              </w:rPr>
              <w:t>SCHEDULE 13D</w:t>
            </w:r>
          </w:p>
        </w:tc>
        <w:tc>
          <w:tcPr>
            <w:tcW w:w="3120" w:type="dxa"/>
            <w:vAlign w:val="bottom"/>
          </w:tcPr>
          <w:p>
            <w:pPr>
              <w:ind w:left="1800"/>
              <w:spacing w:after="0"/>
              <w:rPr>
                <w:sz w:val="20"/>
                <w:szCs w:val="20"/>
                <w:color w:val="auto"/>
              </w:rPr>
            </w:pPr>
            <w:r>
              <w:rPr>
                <w:rFonts w:ascii="Arial" w:cs="Arial" w:eastAsia="Arial" w:hAnsi="Arial"/>
                <w:sz w:val="18"/>
                <w:szCs w:val="18"/>
                <w:b w:val="1"/>
                <w:bCs w:val="1"/>
                <w:color w:val="auto"/>
                <w:w w:val="84"/>
              </w:rPr>
              <w:t>Page 2 of 9 Pages</w:t>
            </w:r>
          </w:p>
        </w:tc>
        <w:tc>
          <w:tcPr>
            <w:tcW w:w="0" w:type="dxa"/>
            <w:vAlign w:val="bottom"/>
          </w:tcPr>
          <w:p>
            <w:pPr>
              <w:spacing w:after="0"/>
              <w:rPr>
                <w:sz w:val="1"/>
                <w:szCs w:val="1"/>
                <w:color w:val="auto"/>
              </w:rPr>
            </w:pPr>
          </w:p>
        </w:tc>
      </w:tr>
      <w:tr>
        <w:trPr>
          <w:trHeight w:val="351"/>
        </w:trPr>
        <w:tc>
          <w:tcPr>
            <w:tcW w:w="13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1</w:t>
            </w:r>
          </w:p>
        </w:tc>
        <w:tc>
          <w:tcPr>
            <w:tcW w:w="332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35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3320" w:type="dxa"/>
            <w:vAlign w:val="bottom"/>
            <w:vMerge w:val="restart"/>
          </w:tcPr>
          <w:p>
            <w:pPr>
              <w:ind w:left="740"/>
              <w:spacing w:after="0"/>
              <w:rPr>
                <w:sz w:val="20"/>
                <w:szCs w:val="20"/>
                <w:color w:val="auto"/>
              </w:rPr>
            </w:pPr>
            <w:r>
              <w:rPr>
                <w:rFonts w:ascii="Arial" w:cs="Arial" w:eastAsia="Arial" w:hAnsi="Arial"/>
                <w:sz w:val="20"/>
                <w:szCs w:val="20"/>
                <w:color w:val="auto"/>
              </w:rPr>
              <w:t>Adage Capital Partners, L.P.</w:t>
            </w:r>
          </w:p>
        </w:tc>
        <w:tc>
          <w:tcPr>
            <w:tcW w:w="35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320" w:type="dxa"/>
            <w:vAlign w:val="bottom"/>
            <w:vMerge w:val="continue"/>
          </w:tcPr>
          <w:p>
            <w:pPr>
              <w:spacing w:after="0"/>
              <w:rPr>
                <w:sz w:val="6"/>
                <w:szCs w:val="6"/>
                <w:color w:val="auto"/>
              </w:rPr>
            </w:pPr>
          </w:p>
        </w:tc>
        <w:tc>
          <w:tcPr>
            <w:tcW w:w="350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gridSpan w:val="2"/>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2</w:t>
            </w:r>
          </w:p>
        </w:tc>
        <w:tc>
          <w:tcPr>
            <w:tcW w:w="6820" w:type="dxa"/>
            <w:vAlign w:val="bottom"/>
            <w:gridSpan w:val="2"/>
          </w:tcPr>
          <w:p>
            <w:pPr>
              <w:ind w:left="4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210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33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120" w:type="dxa"/>
            <w:vAlign w:val="bottom"/>
          </w:tcPr>
          <w:p>
            <w:pPr>
              <w:ind w:left="210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700" w:hanging="967"/>
        <w:spacing w:after="0" w:line="189" w:lineRule="auto"/>
        <w:tabs>
          <w:tab w:leader="none" w:pos="170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SOURCE OF FUNDS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WC</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81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00" w:type="dxa"/>
            <w:vAlign w:val="bottom"/>
          </w:tcPr>
          <w:p>
            <w:pPr>
              <w:ind w:left="48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w w:val="89"/>
              </w:rPr>
              <w:t>Delaware</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690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bottom w:val="single" w:sz="8" w:color="auto"/>
              <w:right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vMerge w:val="continue"/>
          </w:tcPr>
          <w:p>
            <w:pPr>
              <w:spacing w:after="0"/>
              <w:rPr>
                <w:sz w:val="11"/>
                <w:szCs w:val="11"/>
                <w:color w:val="auto"/>
              </w:rPr>
            </w:pPr>
          </w:p>
        </w:tc>
        <w:tc>
          <w:tcPr>
            <w:tcW w:w="69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3,500,620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69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69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69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3,500,620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w w:val="85"/>
              </w:rPr>
              <w:t>3,500,620</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81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00" w:type="dxa"/>
            <w:vAlign w:val="bottom"/>
          </w:tcPr>
          <w:p>
            <w:pPr>
              <w:ind w:left="6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9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13</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8.09%</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14</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CUSIP No. 36870G105</w:t>
            </w:r>
          </w:p>
        </w:tc>
        <w:tc>
          <w:tcPr>
            <w:tcW w:w="3260" w:type="dxa"/>
            <w:vAlign w:val="bottom"/>
          </w:tcPr>
          <w:p>
            <w:pPr>
              <w:ind w:left="100"/>
              <w:spacing w:after="0"/>
              <w:rPr>
                <w:sz w:val="20"/>
                <w:szCs w:val="20"/>
                <w:color w:val="auto"/>
              </w:rPr>
            </w:pPr>
            <w:r>
              <w:rPr>
                <w:rFonts w:ascii="Arial" w:cs="Arial" w:eastAsia="Arial" w:hAnsi="Arial"/>
                <w:sz w:val="18"/>
                <w:szCs w:val="18"/>
                <w:b w:val="1"/>
                <w:bCs w:val="1"/>
                <w:color w:val="auto"/>
              </w:rPr>
              <w:t>SCHEDULE 13D</w:t>
            </w:r>
          </w:p>
        </w:tc>
        <w:tc>
          <w:tcPr>
            <w:tcW w:w="3120" w:type="dxa"/>
            <w:vAlign w:val="bottom"/>
          </w:tcPr>
          <w:p>
            <w:pPr>
              <w:ind w:left="1800"/>
              <w:spacing w:after="0"/>
              <w:rPr>
                <w:sz w:val="20"/>
                <w:szCs w:val="20"/>
                <w:color w:val="auto"/>
              </w:rPr>
            </w:pPr>
            <w:r>
              <w:rPr>
                <w:rFonts w:ascii="Arial" w:cs="Arial" w:eastAsia="Arial" w:hAnsi="Arial"/>
                <w:sz w:val="18"/>
                <w:szCs w:val="18"/>
                <w:b w:val="1"/>
                <w:bCs w:val="1"/>
                <w:color w:val="auto"/>
                <w:w w:val="84"/>
              </w:rPr>
              <w:t>Page 3 of 9 Pages</w:t>
            </w:r>
          </w:p>
        </w:tc>
        <w:tc>
          <w:tcPr>
            <w:tcW w:w="0" w:type="dxa"/>
            <w:vAlign w:val="bottom"/>
          </w:tcPr>
          <w:p>
            <w:pPr>
              <w:spacing w:after="0"/>
              <w:rPr>
                <w:sz w:val="1"/>
                <w:szCs w:val="1"/>
                <w:color w:val="auto"/>
              </w:rPr>
            </w:pPr>
          </w:p>
        </w:tc>
      </w:tr>
      <w:tr>
        <w:trPr>
          <w:trHeight w:val="351"/>
        </w:trPr>
        <w:tc>
          <w:tcPr>
            <w:tcW w:w="13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1</w:t>
            </w:r>
          </w:p>
        </w:tc>
        <w:tc>
          <w:tcPr>
            <w:tcW w:w="356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32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3560" w:type="dxa"/>
            <w:vAlign w:val="bottom"/>
            <w:vMerge w:val="restart"/>
          </w:tcPr>
          <w:p>
            <w:pPr>
              <w:ind w:left="740"/>
              <w:spacing w:after="0"/>
              <w:rPr>
                <w:sz w:val="20"/>
                <w:szCs w:val="20"/>
                <w:color w:val="auto"/>
              </w:rPr>
            </w:pPr>
            <w:r>
              <w:rPr>
                <w:rFonts w:ascii="Arial" w:cs="Arial" w:eastAsia="Arial" w:hAnsi="Arial"/>
                <w:sz w:val="20"/>
                <w:szCs w:val="20"/>
                <w:color w:val="auto"/>
                <w:w w:val="91"/>
              </w:rPr>
              <w:t>Adage Capital Partners GP, L.L.C.</w:t>
            </w:r>
          </w:p>
        </w:tc>
        <w:tc>
          <w:tcPr>
            <w:tcW w:w="32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560" w:type="dxa"/>
            <w:vAlign w:val="bottom"/>
            <w:vMerge w:val="continue"/>
          </w:tcPr>
          <w:p>
            <w:pPr>
              <w:spacing w:after="0"/>
              <w:rPr>
                <w:sz w:val="6"/>
                <w:szCs w:val="6"/>
                <w:color w:val="auto"/>
              </w:rPr>
            </w:pPr>
          </w:p>
        </w:tc>
        <w:tc>
          <w:tcPr>
            <w:tcW w:w="32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gridSpan w:val="2"/>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2</w:t>
            </w:r>
          </w:p>
        </w:tc>
        <w:tc>
          <w:tcPr>
            <w:tcW w:w="6820" w:type="dxa"/>
            <w:vAlign w:val="bottom"/>
            <w:gridSpan w:val="2"/>
          </w:tcPr>
          <w:p>
            <w:pPr>
              <w:ind w:left="4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210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356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120" w:type="dxa"/>
            <w:vAlign w:val="bottom"/>
          </w:tcPr>
          <w:p>
            <w:pPr>
              <w:ind w:left="210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700" w:hanging="967"/>
        <w:spacing w:after="0" w:line="189" w:lineRule="auto"/>
        <w:tabs>
          <w:tab w:leader="none" w:pos="1700" w:val="left"/>
        </w:tabs>
        <w:numPr>
          <w:ilvl w:val="0"/>
          <w:numId w:val="3"/>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SOURCE OF FUNDS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AF</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81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00" w:type="dxa"/>
            <w:vAlign w:val="bottom"/>
          </w:tcPr>
          <w:p>
            <w:pPr>
              <w:ind w:left="48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w w:val="89"/>
              </w:rPr>
              <w:t>Delaware</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690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bottom w:val="single" w:sz="8" w:color="auto"/>
              <w:right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vMerge w:val="continue"/>
          </w:tcPr>
          <w:p>
            <w:pPr>
              <w:spacing w:after="0"/>
              <w:rPr>
                <w:sz w:val="11"/>
                <w:szCs w:val="11"/>
                <w:color w:val="auto"/>
              </w:rPr>
            </w:pPr>
          </w:p>
        </w:tc>
        <w:tc>
          <w:tcPr>
            <w:tcW w:w="69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3,500,620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69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69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69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3,500,620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w w:val="85"/>
              </w:rPr>
              <w:t>3,500,620</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81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00" w:type="dxa"/>
            <w:vAlign w:val="bottom"/>
          </w:tcPr>
          <w:p>
            <w:pPr>
              <w:ind w:left="6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9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13</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8.09%</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14</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CUSIP No. 36870G105</w:t>
            </w:r>
          </w:p>
        </w:tc>
        <w:tc>
          <w:tcPr>
            <w:tcW w:w="3360" w:type="dxa"/>
            <w:vAlign w:val="bottom"/>
          </w:tcPr>
          <w:p>
            <w:pPr>
              <w:ind w:left="200"/>
              <w:spacing w:after="0"/>
              <w:rPr>
                <w:sz w:val="20"/>
                <w:szCs w:val="20"/>
                <w:color w:val="auto"/>
              </w:rPr>
            </w:pPr>
            <w:r>
              <w:rPr>
                <w:rFonts w:ascii="Arial" w:cs="Arial" w:eastAsia="Arial" w:hAnsi="Arial"/>
                <w:sz w:val="18"/>
                <w:szCs w:val="18"/>
                <w:b w:val="1"/>
                <w:bCs w:val="1"/>
                <w:color w:val="auto"/>
              </w:rPr>
              <w:t>SCHEDULE 13D</w:t>
            </w:r>
          </w:p>
        </w:tc>
        <w:tc>
          <w:tcPr>
            <w:tcW w:w="3120" w:type="dxa"/>
            <w:vAlign w:val="bottom"/>
          </w:tcPr>
          <w:p>
            <w:pPr>
              <w:ind w:left="1800"/>
              <w:spacing w:after="0"/>
              <w:rPr>
                <w:sz w:val="20"/>
                <w:szCs w:val="20"/>
                <w:color w:val="auto"/>
              </w:rPr>
            </w:pPr>
            <w:r>
              <w:rPr>
                <w:rFonts w:ascii="Arial" w:cs="Arial" w:eastAsia="Arial" w:hAnsi="Arial"/>
                <w:sz w:val="18"/>
                <w:szCs w:val="18"/>
                <w:b w:val="1"/>
                <w:bCs w:val="1"/>
                <w:color w:val="auto"/>
                <w:w w:val="84"/>
              </w:rPr>
              <w:t>Page 4 of 9 Pages</w:t>
            </w:r>
          </w:p>
        </w:tc>
        <w:tc>
          <w:tcPr>
            <w:tcW w:w="0" w:type="dxa"/>
            <w:vAlign w:val="bottom"/>
          </w:tcPr>
          <w:p>
            <w:pPr>
              <w:spacing w:after="0"/>
              <w:rPr>
                <w:sz w:val="1"/>
                <w:szCs w:val="1"/>
                <w:color w:val="auto"/>
              </w:rPr>
            </w:pPr>
          </w:p>
        </w:tc>
      </w:tr>
      <w:tr>
        <w:trPr>
          <w:trHeight w:val="351"/>
        </w:trPr>
        <w:tc>
          <w:tcPr>
            <w:tcW w:w="13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1</w:t>
            </w:r>
          </w:p>
        </w:tc>
        <w:tc>
          <w:tcPr>
            <w:tcW w:w="346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33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3460" w:type="dxa"/>
            <w:vAlign w:val="bottom"/>
            <w:vMerge w:val="restart"/>
          </w:tcPr>
          <w:p>
            <w:pPr>
              <w:ind w:left="740"/>
              <w:spacing w:after="0"/>
              <w:rPr>
                <w:sz w:val="20"/>
                <w:szCs w:val="20"/>
                <w:color w:val="auto"/>
              </w:rPr>
            </w:pPr>
            <w:r>
              <w:rPr>
                <w:rFonts w:ascii="Arial" w:cs="Arial" w:eastAsia="Arial" w:hAnsi="Arial"/>
                <w:sz w:val="20"/>
                <w:szCs w:val="20"/>
                <w:color w:val="auto"/>
                <w:w w:val="99"/>
              </w:rPr>
              <w:t>Adage Capital Advisors, L.L.C.</w:t>
            </w:r>
          </w:p>
        </w:tc>
        <w:tc>
          <w:tcPr>
            <w:tcW w:w="3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33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gridSpan w:val="2"/>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2</w:t>
            </w:r>
          </w:p>
        </w:tc>
        <w:tc>
          <w:tcPr>
            <w:tcW w:w="6820" w:type="dxa"/>
            <w:vAlign w:val="bottom"/>
            <w:gridSpan w:val="2"/>
          </w:tcPr>
          <w:p>
            <w:pPr>
              <w:ind w:left="4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210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120" w:type="dxa"/>
            <w:vAlign w:val="bottom"/>
          </w:tcPr>
          <w:p>
            <w:pPr>
              <w:ind w:left="210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700" w:hanging="967"/>
        <w:spacing w:after="0" w:line="189" w:lineRule="auto"/>
        <w:tabs>
          <w:tab w:leader="none" w:pos="1700" w:val="left"/>
        </w:tabs>
        <w:numPr>
          <w:ilvl w:val="0"/>
          <w:numId w:val="4"/>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SOURCE OF FUNDS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AF</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81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00" w:type="dxa"/>
            <w:vAlign w:val="bottom"/>
          </w:tcPr>
          <w:p>
            <w:pPr>
              <w:ind w:left="48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w w:val="89"/>
              </w:rPr>
              <w:t>Delaware</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690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bottom w:val="single" w:sz="8" w:color="auto"/>
              <w:right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vMerge w:val="continue"/>
          </w:tcPr>
          <w:p>
            <w:pPr>
              <w:spacing w:after="0"/>
              <w:rPr>
                <w:sz w:val="11"/>
                <w:szCs w:val="11"/>
                <w:color w:val="auto"/>
              </w:rPr>
            </w:pPr>
          </w:p>
        </w:tc>
        <w:tc>
          <w:tcPr>
            <w:tcW w:w="69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3,500,620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69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69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69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3,500,620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w w:val="85"/>
              </w:rPr>
              <w:t>3,500,620</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81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00" w:type="dxa"/>
            <w:vAlign w:val="bottom"/>
          </w:tcPr>
          <w:p>
            <w:pPr>
              <w:ind w:left="6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9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13</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8.09%</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14</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2"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CUSIP No. 36870G105</w:t>
            </w:r>
          </w:p>
        </w:tc>
        <w:tc>
          <w:tcPr>
            <w:tcW w:w="3620" w:type="dxa"/>
            <w:vAlign w:val="bottom"/>
          </w:tcPr>
          <w:p>
            <w:pPr>
              <w:ind w:left="460"/>
              <w:spacing w:after="0"/>
              <w:rPr>
                <w:sz w:val="20"/>
                <w:szCs w:val="20"/>
                <w:color w:val="auto"/>
              </w:rPr>
            </w:pPr>
            <w:r>
              <w:rPr>
                <w:rFonts w:ascii="Arial" w:cs="Arial" w:eastAsia="Arial" w:hAnsi="Arial"/>
                <w:sz w:val="18"/>
                <w:szCs w:val="18"/>
                <w:b w:val="1"/>
                <w:bCs w:val="1"/>
                <w:color w:val="auto"/>
              </w:rPr>
              <w:t>SCHEDULE 13D</w:t>
            </w:r>
          </w:p>
        </w:tc>
        <w:tc>
          <w:tcPr>
            <w:tcW w:w="3120" w:type="dxa"/>
            <w:vAlign w:val="bottom"/>
          </w:tcPr>
          <w:p>
            <w:pPr>
              <w:ind w:left="1800"/>
              <w:spacing w:after="0"/>
              <w:rPr>
                <w:sz w:val="20"/>
                <w:szCs w:val="20"/>
                <w:color w:val="auto"/>
              </w:rPr>
            </w:pPr>
            <w:r>
              <w:rPr>
                <w:rFonts w:ascii="Arial" w:cs="Arial" w:eastAsia="Arial" w:hAnsi="Arial"/>
                <w:sz w:val="18"/>
                <w:szCs w:val="18"/>
                <w:b w:val="1"/>
                <w:bCs w:val="1"/>
                <w:color w:val="auto"/>
                <w:w w:val="84"/>
              </w:rPr>
              <w:t>Page 5 of 9 Pages</w:t>
            </w:r>
          </w:p>
        </w:tc>
        <w:tc>
          <w:tcPr>
            <w:tcW w:w="0" w:type="dxa"/>
            <w:vAlign w:val="bottom"/>
          </w:tcPr>
          <w:p>
            <w:pPr>
              <w:spacing w:after="0"/>
              <w:rPr>
                <w:sz w:val="1"/>
                <w:szCs w:val="1"/>
                <w:color w:val="auto"/>
              </w:rPr>
            </w:pPr>
          </w:p>
        </w:tc>
      </w:tr>
      <w:tr>
        <w:trPr>
          <w:trHeight w:val="351"/>
        </w:trPr>
        <w:tc>
          <w:tcPr>
            <w:tcW w:w="1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1</w:t>
            </w:r>
          </w:p>
        </w:tc>
        <w:tc>
          <w:tcPr>
            <w:tcW w:w="320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3200" w:type="dxa"/>
            <w:vAlign w:val="bottom"/>
            <w:vMerge w:val="restart"/>
          </w:tcPr>
          <w:p>
            <w:pPr>
              <w:ind w:left="740"/>
              <w:spacing w:after="0"/>
              <w:rPr>
                <w:sz w:val="20"/>
                <w:szCs w:val="20"/>
                <w:color w:val="auto"/>
              </w:rPr>
            </w:pPr>
            <w:r>
              <w:rPr>
                <w:rFonts w:ascii="Arial" w:cs="Arial" w:eastAsia="Arial" w:hAnsi="Arial"/>
                <w:sz w:val="20"/>
                <w:szCs w:val="20"/>
                <w:color w:val="auto"/>
              </w:rPr>
              <w:t>Robert Atchinson</w:t>
            </w:r>
          </w:p>
        </w:tc>
        <w:tc>
          <w:tcPr>
            <w:tcW w:w="3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200" w:type="dxa"/>
            <w:vAlign w:val="bottom"/>
            <w:vMerge w:val="continue"/>
          </w:tcPr>
          <w:p>
            <w:pPr>
              <w:spacing w:after="0"/>
              <w:rPr>
                <w:sz w:val="6"/>
                <w:szCs w:val="6"/>
                <w:color w:val="auto"/>
              </w:rPr>
            </w:pPr>
          </w:p>
        </w:tc>
        <w:tc>
          <w:tcPr>
            <w:tcW w:w="36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gridSpan w:val="2"/>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2</w:t>
            </w:r>
          </w:p>
        </w:tc>
        <w:tc>
          <w:tcPr>
            <w:tcW w:w="6820" w:type="dxa"/>
            <w:vAlign w:val="bottom"/>
            <w:gridSpan w:val="2"/>
          </w:tcPr>
          <w:p>
            <w:pPr>
              <w:ind w:left="4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210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120" w:type="dxa"/>
            <w:vAlign w:val="bottom"/>
          </w:tcPr>
          <w:p>
            <w:pPr>
              <w:ind w:left="210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700" w:hanging="967"/>
        <w:spacing w:after="0" w:line="189" w:lineRule="auto"/>
        <w:tabs>
          <w:tab w:leader="none" w:pos="1700" w:val="left"/>
        </w:tabs>
        <w:numPr>
          <w:ilvl w:val="0"/>
          <w:numId w:val="5"/>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SOURCE OF FUNDS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AF</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81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00" w:type="dxa"/>
            <w:vAlign w:val="bottom"/>
          </w:tcPr>
          <w:p>
            <w:pPr>
              <w:ind w:left="48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8160" w:type="dxa"/>
            <w:vAlign w:val="bottom"/>
            <w:gridSpan w:val="2"/>
            <w:vMerge w:val="restart"/>
          </w:tcPr>
          <w:p>
            <w:pPr>
              <w:ind w:left="460"/>
              <w:spacing w:after="0"/>
              <w:rPr>
                <w:sz w:val="20"/>
                <w:szCs w:val="20"/>
                <w:color w:val="auto"/>
              </w:rPr>
            </w:pPr>
            <w:r>
              <w:rPr>
                <w:rFonts w:ascii="Arial" w:cs="Arial" w:eastAsia="Arial" w:hAnsi="Arial"/>
                <w:sz w:val="20"/>
                <w:szCs w:val="20"/>
                <w:color w:val="auto"/>
              </w:rPr>
              <w:t>United States</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816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690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bottom w:val="single" w:sz="8" w:color="auto"/>
              <w:right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vMerge w:val="continue"/>
          </w:tcPr>
          <w:p>
            <w:pPr>
              <w:spacing w:after="0"/>
              <w:rPr>
                <w:sz w:val="11"/>
                <w:szCs w:val="11"/>
                <w:color w:val="auto"/>
              </w:rPr>
            </w:pPr>
          </w:p>
        </w:tc>
        <w:tc>
          <w:tcPr>
            <w:tcW w:w="69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3,500,620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69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69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69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3,500,620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w w:val="85"/>
              </w:rPr>
              <w:t>3,500,620</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81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00" w:type="dxa"/>
            <w:vAlign w:val="bottom"/>
          </w:tcPr>
          <w:p>
            <w:pPr>
              <w:ind w:left="6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9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13</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8.09%</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14</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IN</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2"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CUSIP No. 36870G105</w:t>
            </w:r>
          </w:p>
        </w:tc>
        <w:tc>
          <w:tcPr>
            <w:tcW w:w="3620" w:type="dxa"/>
            <w:vAlign w:val="bottom"/>
          </w:tcPr>
          <w:p>
            <w:pPr>
              <w:ind w:left="460"/>
              <w:spacing w:after="0"/>
              <w:rPr>
                <w:sz w:val="20"/>
                <w:szCs w:val="20"/>
                <w:color w:val="auto"/>
              </w:rPr>
            </w:pPr>
            <w:r>
              <w:rPr>
                <w:rFonts w:ascii="Arial" w:cs="Arial" w:eastAsia="Arial" w:hAnsi="Arial"/>
                <w:sz w:val="18"/>
                <w:szCs w:val="18"/>
                <w:b w:val="1"/>
                <w:bCs w:val="1"/>
                <w:color w:val="auto"/>
              </w:rPr>
              <w:t>SCHEDULE 13D</w:t>
            </w:r>
          </w:p>
        </w:tc>
        <w:tc>
          <w:tcPr>
            <w:tcW w:w="3120" w:type="dxa"/>
            <w:vAlign w:val="bottom"/>
          </w:tcPr>
          <w:p>
            <w:pPr>
              <w:ind w:left="1800"/>
              <w:spacing w:after="0"/>
              <w:rPr>
                <w:sz w:val="20"/>
                <w:szCs w:val="20"/>
                <w:color w:val="auto"/>
              </w:rPr>
            </w:pPr>
            <w:r>
              <w:rPr>
                <w:rFonts w:ascii="Arial" w:cs="Arial" w:eastAsia="Arial" w:hAnsi="Arial"/>
                <w:sz w:val="18"/>
                <w:szCs w:val="18"/>
                <w:b w:val="1"/>
                <w:bCs w:val="1"/>
                <w:color w:val="auto"/>
                <w:w w:val="84"/>
              </w:rPr>
              <w:t>Page 6 of 9 Pages</w:t>
            </w:r>
          </w:p>
        </w:tc>
        <w:tc>
          <w:tcPr>
            <w:tcW w:w="0" w:type="dxa"/>
            <w:vAlign w:val="bottom"/>
          </w:tcPr>
          <w:p>
            <w:pPr>
              <w:spacing w:after="0"/>
              <w:rPr>
                <w:sz w:val="1"/>
                <w:szCs w:val="1"/>
                <w:color w:val="auto"/>
              </w:rPr>
            </w:pPr>
          </w:p>
        </w:tc>
      </w:tr>
      <w:tr>
        <w:trPr>
          <w:trHeight w:val="351"/>
        </w:trPr>
        <w:tc>
          <w:tcPr>
            <w:tcW w:w="1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1</w:t>
            </w:r>
          </w:p>
        </w:tc>
        <w:tc>
          <w:tcPr>
            <w:tcW w:w="320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3200" w:type="dxa"/>
            <w:vAlign w:val="bottom"/>
            <w:vMerge w:val="restart"/>
          </w:tcPr>
          <w:p>
            <w:pPr>
              <w:ind w:left="740"/>
              <w:spacing w:after="0"/>
              <w:rPr>
                <w:sz w:val="20"/>
                <w:szCs w:val="20"/>
                <w:color w:val="auto"/>
              </w:rPr>
            </w:pPr>
            <w:r>
              <w:rPr>
                <w:rFonts w:ascii="Arial" w:cs="Arial" w:eastAsia="Arial" w:hAnsi="Arial"/>
                <w:sz w:val="20"/>
                <w:szCs w:val="20"/>
                <w:color w:val="auto"/>
              </w:rPr>
              <w:t>Phillip Gross</w:t>
            </w:r>
          </w:p>
        </w:tc>
        <w:tc>
          <w:tcPr>
            <w:tcW w:w="3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200" w:type="dxa"/>
            <w:vAlign w:val="bottom"/>
            <w:vMerge w:val="continue"/>
          </w:tcPr>
          <w:p>
            <w:pPr>
              <w:spacing w:after="0"/>
              <w:rPr>
                <w:sz w:val="6"/>
                <w:szCs w:val="6"/>
                <w:color w:val="auto"/>
              </w:rPr>
            </w:pPr>
          </w:p>
        </w:tc>
        <w:tc>
          <w:tcPr>
            <w:tcW w:w="36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gridSpan w:val="2"/>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2</w:t>
            </w:r>
          </w:p>
        </w:tc>
        <w:tc>
          <w:tcPr>
            <w:tcW w:w="6820" w:type="dxa"/>
            <w:vAlign w:val="bottom"/>
            <w:gridSpan w:val="2"/>
          </w:tcPr>
          <w:p>
            <w:pPr>
              <w:ind w:left="4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210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120" w:type="dxa"/>
            <w:vAlign w:val="bottom"/>
          </w:tcPr>
          <w:p>
            <w:pPr>
              <w:ind w:left="210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700" w:hanging="967"/>
        <w:spacing w:after="0" w:line="189" w:lineRule="auto"/>
        <w:tabs>
          <w:tab w:leader="none" w:pos="1700" w:val="left"/>
        </w:tabs>
        <w:numPr>
          <w:ilvl w:val="0"/>
          <w:numId w:val="6"/>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SOURCE OF FUNDS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AF</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81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00" w:type="dxa"/>
            <w:vAlign w:val="bottom"/>
          </w:tcPr>
          <w:p>
            <w:pPr>
              <w:ind w:left="48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8160" w:type="dxa"/>
            <w:vAlign w:val="bottom"/>
            <w:gridSpan w:val="2"/>
            <w:vMerge w:val="restart"/>
          </w:tcPr>
          <w:p>
            <w:pPr>
              <w:ind w:left="460"/>
              <w:spacing w:after="0"/>
              <w:rPr>
                <w:sz w:val="20"/>
                <w:szCs w:val="20"/>
                <w:color w:val="auto"/>
              </w:rPr>
            </w:pPr>
            <w:r>
              <w:rPr>
                <w:rFonts w:ascii="Arial" w:cs="Arial" w:eastAsia="Arial" w:hAnsi="Arial"/>
                <w:sz w:val="20"/>
                <w:szCs w:val="20"/>
                <w:color w:val="auto"/>
              </w:rPr>
              <w:t>United States</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816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690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bottom w:val="single" w:sz="8" w:color="auto"/>
              <w:right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vMerge w:val="continue"/>
          </w:tcPr>
          <w:p>
            <w:pPr>
              <w:spacing w:after="0"/>
              <w:rPr>
                <w:sz w:val="11"/>
                <w:szCs w:val="11"/>
                <w:color w:val="auto"/>
              </w:rPr>
            </w:pPr>
          </w:p>
        </w:tc>
        <w:tc>
          <w:tcPr>
            <w:tcW w:w="69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3,500,620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69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69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69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69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690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900" w:type="dxa"/>
            <w:vAlign w:val="bottom"/>
            <w:vMerge w:val="restart"/>
          </w:tcPr>
          <w:p>
            <w:pPr>
              <w:ind w:left="440"/>
              <w:spacing w:after="0"/>
              <w:rPr>
                <w:sz w:val="20"/>
                <w:szCs w:val="20"/>
                <w:color w:val="auto"/>
              </w:rPr>
            </w:pPr>
            <w:r>
              <w:rPr>
                <w:rFonts w:ascii="Arial" w:cs="Arial" w:eastAsia="Arial" w:hAnsi="Arial"/>
                <w:sz w:val="20"/>
                <w:szCs w:val="20"/>
                <w:color w:val="auto"/>
              </w:rPr>
              <w:t>3,500,620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w w:val="85"/>
              </w:rPr>
              <w:t>3,500,620</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81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00" w:type="dxa"/>
            <w:vAlign w:val="bottom"/>
          </w:tcPr>
          <w:p>
            <w:pPr>
              <w:ind w:left="6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6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9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13</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8.09%</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14</w:t>
            </w:r>
          </w:p>
        </w:tc>
        <w:tc>
          <w:tcPr>
            <w:tcW w:w="81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IN</w:t>
            </w:r>
          </w:p>
        </w:tc>
        <w:tc>
          <w:tcPr>
            <w:tcW w:w="6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2" w:right="339" w:bottom="1440" w:gutter="0" w:footer="0" w:header="0"/>
        </w:sectPr>
      </w:pPr>
    </w:p>
    <w:bookmarkStart w:id="6" w:name="page7"/>
    <w:bookmarkEnd w:id="6"/>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36870G105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7 of 9 Pages</w:t>
      </w:r>
    </w:p>
    <w:p>
      <w:pPr>
        <w:spacing w:after="0" w:line="357" w:lineRule="exact"/>
        <w:rPr>
          <w:sz w:val="20"/>
          <w:szCs w:val="20"/>
          <w:color w:val="auto"/>
        </w:rPr>
      </w:pPr>
    </w:p>
    <w:p>
      <w:pPr>
        <w:ind w:right="140"/>
        <w:spacing w:after="0" w:line="257" w:lineRule="auto"/>
        <w:rPr>
          <w:sz w:val="20"/>
          <w:szCs w:val="20"/>
          <w:color w:val="auto"/>
        </w:rPr>
      </w:pPr>
      <w:r>
        <w:rPr>
          <w:rFonts w:ascii="Arial" w:cs="Arial" w:eastAsia="Arial" w:hAnsi="Arial"/>
          <w:sz w:val="21"/>
          <w:szCs w:val="21"/>
          <w:color w:val="auto"/>
        </w:rPr>
        <w:t>This Amendment No. 1 ("</w:t>
      </w:r>
      <w:r>
        <w:rPr>
          <w:rFonts w:ascii="Arial" w:cs="Arial" w:eastAsia="Arial" w:hAnsi="Arial"/>
          <w:sz w:val="21"/>
          <w:szCs w:val="21"/>
          <w:u w:val="single" w:color="auto"/>
          <w:color w:val="auto"/>
        </w:rPr>
        <w:t>Amendment No. 1</w:t>
      </w:r>
      <w:r>
        <w:rPr>
          <w:rFonts w:ascii="Arial" w:cs="Arial" w:eastAsia="Arial" w:hAnsi="Arial"/>
          <w:sz w:val="21"/>
          <w:szCs w:val="21"/>
          <w:color w:val="auto"/>
        </w:rPr>
        <w:t>") amends and supplements the statement on Schedule 13D filed with the Securities and Exchange Commission (the "</w:t>
      </w:r>
      <w:r>
        <w:rPr>
          <w:rFonts w:ascii="Arial" w:cs="Arial" w:eastAsia="Arial" w:hAnsi="Arial"/>
          <w:sz w:val="21"/>
          <w:szCs w:val="21"/>
          <w:u w:val="single" w:color="auto"/>
          <w:color w:val="auto"/>
        </w:rPr>
        <w:t>SEC</w:t>
      </w:r>
      <w:r>
        <w:rPr>
          <w:rFonts w:ascii="Arial" w:cs="Arial" w:eastAsia="Arial" w:hAnsi="Arial"/>
          <w:sz w:val="21"/>
          <w:szCs w:val="21"/>
          <w:color w:val="auto"/>
        </w:rPr>
        <w:t>") on October 11, 2022 (the "</w:t>
      </w:r>
      <w:r>
        <w:rPr>
          <w:rFonts w:ascii="Arial" w:cs="Arial" w:eastAsia="Arial" w:hAnsi="Arial"/>
          <w:sz w:val="21"/>
          <w:szCs w:val="21"/>
          <w:u w:val="single" w:color="auto"/>
          <w:color w:val="auto"/>
        </w:rPr>
        <w:t>Original Schedule 13D</w:t>
      </w:r>
      <w:r>
        <w:rPr>
          <w:rFonts w:ascii="Arial" w:cs="Arial" w:eastAsia="Arial" w:hAnsi="Arial"/>
          <w:sz w:val="21"/>
          <w:szCs w:val="21"/>
          <w:color w:val="auto"/>
        </w:rPr>
        <w:t>" and together with this Amendment No. 1, the "</w:t>
      </w:r>
      <w:r>
        <w:rPr>
          <w:rFonts w:ascii="Arial" w:cs="Arial" w:eastAsia="Arial" w:hAnsi="Arial"/>
          <w:sz w:val="21"/>
          <w:szCs w:val="21"/>
          <w:u w:val="single" w:color="auto"/>
          <w:color w:val="auto"/>
        </w:rPr>
        <w:t>Schedule 13D</w:t>
      </w:r>
      <w:r>
        <w:rPr>
          <w:rFonts w:ascii="Arial" w:cs="Arial" w:eastAsia="Arial" w:hAnsi="Arial"/>
          <w:sz w:val="21"/>
          <w:szCs w:val="21"/>
          <w:color w:val="auto"/>
        </w:rPr>
        <w:t>"). This Amendment No. 1 amends Items 3 and 5 as set forth below.</w:t>
      </w:r>
    </w:p>
    <w:p>
      <w:pPr>
        <w:spacing w:after="0" w:line="190"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SOURCE AND AMOUNT OF FUNDS OR OTHER CONSIDERATION</w:t>
      </w:r>
    </w:p>
    <w:p>
      <w:pPr>
        <w:spacing w:after="0" w:line="1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Item 3 of the Schedule 13D is hereby amended and restated as follows:</w:t>
      </w:r>
    </w:p>
    <w:p>
      <w:pPr>
        <w:spacing w:after="0" w:line="215" w:lineRule="exact"/>
        <w:rPr>
          <w:sz w:val="20"/>
          <w:szCs w:val="20"/>
          <w:color w:val="auto"/>
        </w:rPr>
      </w:pPr>
    </w:p>
    <w:p>
      <w:pPr>
        <w:ind w:left="1360" w:right="300"/>
        <w:spacing w:after="0" w:line="249" w:lineRule="auto"/>
        <w:rPr>
          <w:sz w:val="20"/>
          <w:szCs w:val="20"/>
          <w:color w:val="auto"/>
        </w:rPr>
      </w:pPr>
      <w:r>
        <w:rPr>
          <w:rFonts w:ascii="Arial" w:cs="Arial" w:eastAsia="Arial" w:hAnsi="Arial"/>
          <w:sz w:val="21"/>
          <w:szCs w:val="21"/>
          <w:color w:val="auto"/>
        </w:rPr>
        <w:t>Funds for the purchase of the 3,500,620 shares of Common Stock to which this Schedule 13D relates were derived from working capital of ACP made in the ordinary course of business. A total of $11,751,110 was paid to acquire the 3,500,620 shares of Common Stock reported herein. ACPGP, ACA and Messrs. Atchinson or Gross control the investing and trading in securities of ACP. None of ACPGP, ACA or Messrs. Atchinson or Gross directly hold any shares of Common Stock.</w:t>
      </w:r>
    </w:p>
    <w:p>
      <w:pPr>
        <w:spacing w:after="0" w:line="159"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INTEREST IN SECURITIES OF THE ISSUER</w:t>
      </w:r>
    </w:p>
    <w:p>
      <w:pPr>
        <w:spacing w:after="0" w:line="1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Item 5 of the Schedule 13D is hereby amended and restated as follows:</w:t>
      </w:r>
    </w:p>
    <w:p>
      <w:pPr>
        <w:spacing w:after="0" w:line="215" w:lineRule="exact"/>
        <w:rPr>
          <w:sz w:val="20"/>
          <w:szCs w:val="20"/>
          <w:color w:val="auto"/>
        </w:rPr>
      </w:pPr>
    </w:p>
    <w:p>
      <w:pPr>
        <w:ind w:left="1360" w:right="120" w:hanging="1249"/>
        <w:spacing w:after="0" w:line="282" w:lineRule="auto"/>
        <w:tabs>
          <w:tab w:leader="none" w:pos="1360" w:val="left"/>
        </w:tabs>
        <w:numPr>
          <w:ilvl w:val="0"/>
          <w:numId w:val="7"/>
        </w:numPr>
        <w:rPr>
          <w:rFonts w:ascii="Arial" w:cs="Arial" w:eastAsia="Arial" w:hAnsi="Arial"/>
          <w:sz w:val="19"/>
          <w:szCs w:val="19"/>
          <w:color w:val="auto"/>
        </w:rPr>
      </w:pPr>
      <w:r>
        <w:rPr>
          <w:rFonts w:ascii="Arial" w:cs="Arial" w:eastAsia="Arial" w:hAnsi="Arial"/>
          <w:sz w:val="19"/>
          <w:szCs w:val="19"/>
          <w:color w:val="auto"/>
        </w:rPr>
        <w:t>See rows (11) and (13) of the cover pages to this Schedule 13D for the aggregate number of shares of Common Stock and percentages of the shares of Common Stock beneficially owned by each of the Reporting Persons. The percentages used in this Schedule 13D are calculated based upon 43,244,453 shares of Common Stock outstanding on August 5, 2022, as reported in Company's Quarterly Report on Form 10-Q for the quarterly period ended June 30, 2022 filed with the Securities and Exchange Commission on August 11, 2022.</w:t>
      </w:r>
    </w:p>
    <w:p>
      <w:pPr>
        <w:spacing w:after="0" w:line="174" w:lineRule="exact"/>
        <w:rPr>
          <w:rFonts w:ascii="Arial" w:cs="Arial" w:eastAsia="Arial" w:hAnsi="Arial"/>
          <w:sz w:val="19"/>
          <w:szCs w:val="19"/>
          <w:color w:val="auto"/>
        </w:rPr>
      </w:pPr>
    </w:p>
    <w:p>
      <w:pPr>
        <w:ind w:left="1360" w:right="120" w:hanging="1249"/>
        <w:spacing w:after="0"/>
        <w:tabs>
          <w:tab w:leader="none" w:pos="1360" w:val="left"/>
        </w:tabs>
        <w:numPr>
          <w:ilvl w:val="0"/>
          <w:numId w:val="7"/>
        </w:numPr>
        <w:rPr>
          <w:rFonts w:ascii="Arial" w:cs="Arial" w:eastAsia="Arial" w:hAnsi="Arial"/>
          <w:sz w:val="22"/>
          <w:szCs w:val="22"/>
          <w:color w:val="auto"/>
        </w:rPr>
      </w:pPr>
      <w:r>
        <w:rPr>
          <w:rFonts w:ascii="Arial" w:cs="Arial" w:eastAsia="Arial" w:hAnsi="Arial"/>
          <w:sz w:val="22"/>
          <w:szCs w:val="22"/>
          <w:color w:val="auto"/>
        </w:rPr>
        <w:t>See rows (7) through (10) of the cover pages to this Schedule 13D for the number of shares of Common Stock as to which each Reporting Person has the sole or shared power to vote or direct the vote and sole or shared power to dispose or to direct the disposition.</w:t>
      </w:r>
    </w:p>
    <w:p>
      <w:pPr>
        <w:spacing w:after="0" w:line="213" w:lineRule="exact"/>
        <w:rPr>
          <w:rFonts w:ascii="Arial" w:cs="Arial" w:eastAsia="Arial" w:hAnsi="Arial"/>
          <w:sz w:val="22"/>
          <w:szCs w:val="22"/>
          <w:color w:val="auto"/>
        </w:rPr>
      </w:pPr>
    </w:p>
    <w:p>
      <w:pPr>
        <w:ind w:left="1360" w:right="400" w:hanging="1249"/>
        <w:spacing w:after="0" w:line="238" w:lineRule="auto"/>
        <w:tabs>
          <w:tab w:leader="none" w:pos="1360"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The transactions in the shares of Common Stock since the filing of the Original Schedule 13D by ACP, which were all in the open market, are set forth in </w:t>
      </w:r>
      <w:r>
        <w:rPr>
          <w:rFonts w:ascii="Arial" w:cs="Arial" w:eastAsia="Arial" w:hAnsi="Arial"/>
          <w:sz w:val="22"/>
          <w:szCs w:val="22"/>
          <w:u w:val="single" w:color="auto"/>
          <w:color w:val="auto"/>
        </w:rPr>
        <w:t>Schedule A</w:t>
      </w:r>
      <w:r>
        <w:rPr>
          <w:rFonts w:ascii="Arial" w:cs="Arial" w:eastAsia="Arial" w:hAnsi="Arial"/>
          <w:sz w:val="22"/>
          <w:szCs w:val="22"/>
          <w:color w:val="auto"/>
        </w:rPr>
        <w:t>, and are incorporated herein by reference. The other Reporting Persons did not enter into any transactions in the shares of Common Stock since the fling of the Original Schedule 13D.</w:t>
      </w:r>
    </w:p>
    <w:p>
      <w:pPr>
        <w:spacing w:after="0" w:line="211" w:lineRule="exact"/>
        <w:rPr>
          <w:rFonts w:ascii="Arial" w:cs="Arial" w:eastAsia="Arial" w:hAnsi="Arial"/>
          <w:sz w:val="22"/>
          <w:szCs w:val="22"/>
          <w:color w:val="auto"/>
        </w:rPr>
      </w:pPr>
    </w:p>
    <w:p>
      <w:pPr>
        <w:ind w:left="1360" w:right="620" w:hanging="1249"/>
        <w:spacing w:after="0" w:line="274" w:lineRule="auto"/>
        <w:tabs>
          <w:tab w:leader="none" w:pos="1360" w:val="left"/>
        </w:tabs>
        <w:numPr>
          <w:ilvl w:val="0"/>
          <w:numId w:val="7"/>
        </w:numPr>
        <w:rPr>
          <w:rFonts w:ascii="Arial" w:cs="Arial" w:eastAsia="Arial" w:hAnsi="Arial"/>
          <w:sz w:val="21"/>
          <w:szCs w:val="21"/>
          <w:color w:val="auto"/>
        </w:rPr>
      </w:pPr>
      <w:r>
        <w:rPr>
          <w:rFonts w:ascii="Arial" w:cs="Arial" w:eastAsia="Arial" w:hAnsi="Arial"/>
          <w:sz w:val="21"/>
          <w:szCs w:val="21"/>
          <w:color w:val="auto"/>
        </w:rPr>
        <w:t>No person other than the Reporting Persons is known to have the right to receive, or the power to direct the receipt of dividends from, or proceeds from the sale of, such shares of Common Stock.</w:t>
      </w:r>
    </w:p>
    <w:p>
      <w:pPr>
        <w:spacing w:after="0" w:line="177" w:lineRule="exact"/>
        <w:rPr>
          <w:rFonts w:ascii="Arial" w:cs="Arial" w:eastAsia="Arial" w:hAnsi="Arial"/>
          <w:sz w:val="21"/>
          <w:szCs w:val="21"/>
          <w:color w:val="auto"/>
        </w:rPr>
      </w:pPr>
    </w:p>
    <w:p>
      <w:pPr>
        <w:ind w:left="1360" w:hanging="1249"/>
        <w:spacing w:after="0"/>
        <w:tabs>
          <w:tab w:leader="none" w:pos="1360" w:val="left"/>
        </w:tabs>
        <w:numPr>
          <w:ilvl w:val="0"/>
          <w:numId w:val="7"/>
        </w:numPr>
        <w:rPr>
          <w:rFonts w:ascii="Arial" w:cs="Arial" w:eastAsia="Arial" w:hAnsi="Arial"/>
          <w:sz w:val="22"/>
          <w:szCs w:val="22"/>
          <w:color w:val="auto"/>
        </w:rPr>
      </w:pPr>
      <w:r>
        <w:rPr>
          <w:rFonts w:ascii="Arial" w:cs="Arial" w:eastAsia="Arial" w:hAnsi="Arial"/>
          <w:sz w:val="22"/>
          <w:szCs w:val="22"/>
          <w:color w:val="auto"/>
        </w:rPr>
        <w:t>Not applicable.</w:t>
      </w:r>
    </w:p>
    <w:p>
      <w:pPr>
        <w:sectPr>
          <w:pgSz w:w="11900" w:h="16838" w:orient="portrait"/>
          <w:cols w:equalWidth="0" w:num="1">
            <w:col w:w="11240"/>
          </w:cols>
          <w:pgMar w:left="320" w:top="472" w:right="339" w:bottom="1440" w:gutter="0" w:footer="0" w:header="0"/>
        </w:sectPr>
      </w:pPr>
    </w:p>
    <w:bookmarkStart w:id="7" w:name="page8"/>
    <w:bookmarkEnd w:id="7"/>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36870G105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8 of 9 Pages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280" w:firstLine="1296"/>
        <w:spacing w:after="0" w:line="250" w:lineRule="auto"/>
        <w:rPr>
          <w:sz w:val="20"/>
          <w:szCs w:val="20"/>
          <w:color w:val="auto"/>
        </w:rPr>
      </w:pPr>
      <w:r>
        <w:rPr>
          <w:rFonts w:ascii="Arial" w:cs="Arial" w:eastAsia="Arial" w:hAnsi="Arial"/>
          <w:sz w:val="22"/>
          <w:szCs w:val="22"/>
          <w:color w:val="auto"/>
        </w:rPr>
        <w:t>After reasonable inquiry and to the best of his or its knowledge and belief, each of the undersigned certifies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October 27, 2022</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ADAGE CAPITAL PARTNERS, L.P.</w:t>
      </w:r>
    </w:p>
    <w:p>
      <w:pPr>
        <w:spacing w:after="0" w:line="238" w:lineRule="auto"/>
        <w:rPr>
          <w:sz w:val="20"/>
          <w:szCs w:val="20"/>
          <w:color w:val="auto"/>
        </w:rPr>
      </w:pPr>
      <w:r>
        <w:rPr>
          <w:rFonts w:ascii="Arial" w:cs="Arial" w:eastAsia="Arial" w:hAnsi="Arial"/>
          <w:sz w:val="22"/>
          <w:szCs w:val="22"/>
          <w:color w:val="auto"/>
        </w:rPr>
        <w:t>By: Adage Capital Partners GP, L.L.C.,</w:t>
      </w:r>
    </w:p>
    <w:p>
      <w:pPr>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Adage Capital Advisors,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its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Atchinson</w:t>
      </w:r>
    </w:p>
    <w:p>
      <w:pPr>
        <w:spacing w:after="0" w:line="238" w:lineRule="auto"/>
        <w:rPr>
          <w:sz w:val="20"/>
          <w:szCs w:val="20"/>
          <w:color w:val="auto"/>
        </w:rPr>
      </w:pPr>
      <w:r>
        <w:rPr>
          <w:rFonts w:ascii="Arial" w:cs="Arial" w:eastAsia="Arial" w:hAnsi="Arial"/>
          <w:sz w:val="22"/>
          <w:szCs w:val="22"/>
          <w:color w:val="auto"/>
        </w:rPr>
        <w:t>Name: Robert Atchinson</w:t>
      </w:r>
    </w:p>
    <w:p>
      <w:pPr>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ADAGE CAPITAL PARTNERS GP, L.L.C.</w:t>
      </w:r>
    </w:p>
    <w:p>
      <w:pPr>
        <w:spacing w:after="0" w:line="238" w:lineRule="auto"/>
        <w:rPr>
          <w:sz w:val="20"/>
          <w:szCs w:val="20"/>
          <w:color w:val="auto"/>
        </w:rPr>
      </w:pPr>
      <w:r>
        <w:rPr>
          <w:rFonts w:ascii="Arial" w:cs="Arial" w:eastAsia="Arial" w:hAnsi="Arial"/>
          <w:sz w:val="22"/>
          <w:szCs w:val="22"/>
          <w:color w:val="auto"/>
        </w:rPr>
        <w:t>By: Adage Capital Advisors, L.L.C.,</w:t>
      </w:r>
    </w:p>
    <w:p>
      <w:pPr>
        <w:spacing w:after="0"/>
        <w:rPr>
          <w:sz w:val="20"/>
          <w:szCs w:val="20"/>
          <w:color w:val="auto"/>
        </w:rPr>
      </w:pPr>
      <w:r>
        <w:rPr>
          <w:rFonts w:ascii="Arial" w:cs="Arial" w:eastAsia="Arial" w:hAnsi="Arial"/>
          <w:sz w:val="22"/>
          <w:szCs w:val="22"/>
          <w:color w:val="auto"/>
        </w:rPr>
        <w:t>its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Atchinson</w:t>
      </w:r>
    </w:p>
    <w:p>
      <w:pPr>
        <w:spacing w:after="0" w:line="238" w:lineRule="auto"/>
        <w:rPr>
          <w:sz w:val="20"/>
          <w:szCs w:val="20"/>
          <w:color w:val="auto"/>
        </w:rPr>
      </w:pPr>
      <w:r>
        <w:rPr>
          <w:rFonts w:ascii="Arial" w:cs="Arial" w:eastAsia="Arial" w:hAnsi="Arial"/>
          <w:sz w:val="22"/>
          <w:szCs w:val="22"/>
          <w:color w:val="auto"/>
        </w:rPr>
        <w:t>Name: Robert Atchinson</w:t>
      </w:r>
    </w:p>
    <w:p>
      <w:pPr>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ADAGE CAPITAL ADVISORS,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Atchinson</w:t>
      </w:r>
    </w:p>
    <w:p>
      <w:pPr>
        <w:spacing w:after="0" w:line="238" w:lineRule="auto"/>
        <w:rPr>
          <w:sz w:val="20"/>
          <w:szCs w:val="20"/>
          <w:color w:val="auto"/>
        </w:rPr>
      </w:pPr>
      <w:r>
        <w:rPr>
          <w:rFonts w:ascii="Arial" w:cs="Arial" w:eastAsia="Arial" w:hAnsi="Arial"/>
          <w:sz w:val="22"/>
          <w:szCs w:val="22"/>
          <w:color w:val="auto"/>
        </w:rPr>
        <w:t>Name: Robert Atchinson</w:t>
      </w:r>
    </w:p>
    <w:p>
      <w:pPr>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ROBERT ATCHINSON, individually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Phillip Gross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PHILLIP GROSS, individually</w:t>
      </w:r>
    </w:p>
    <w:p>
      <w:pPr>
        <w:sectPr>
          <w:pgSz w:w="11900" w:h="16838" w:orient="portrait"/>
          <w:cols w:equalWidth="0" w:num="1">
            <w:col w:w="11240"/>
          </w:cols>
          <w:pgMar w:left="320" w:top="472" w:right="339" w:bottom="1440" w:gutter="0" w:footer="0" w:header="0"/>
        </w:sectPr>
      </w:pPr>
    </w:p>
    <w:bookmarkStart w:id="8" w:name="page9"/>
    <w:bookmarkEnd w:id="8"/>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36870G105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9 of 9 Pages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Schedule A</w:t>
      </w:r>
    </w:p>
    <w:p>
      <w:pPr>
        <w:spacing w:after="0" w:line="233" w:lineRule="exact"/>
        <w:rPr>
          <w:sz w:val="20"/>
          <w:szCs w:val="20"/>
          <w:color w:val="auto"/>
        </w:rPr>
      </w:pPr>
    </w:p>
    <w:p>
      <w:pPr>
        <w:jc w:val="both"/>
        <w:ind w:firstLine="652"/>
        <w:spacing w:after="0" w:line="248" w:lineRule="auto"/>
        <w:rPr>
          <w:sz w:val="20"/>
          <w:szCs w:val="20"/>
          <w:color w:val="auto"/>
        </w:rPr>
      </w:pPr>
      <w:r>
        <w:rPr>
          <w:rFonts w:ascii="Arial" w:cs="Arial" w:eastAsia="Arial" w:hAnsi="Arial"/>
          <w:sz w:val="21"/>
          <w:szCs w:val="21"/>
          <w:color w:val="auto"/>
        </w:rPr>
        <w:t>This Schedule sets forth information with respect to each purchase and sale of shares of Common Stock which were effectuated by ACP since the filing of the Original Schedule 13D. All transactions were effectuated in the open market through a broker. The price reported in the column Price Per Share ($) is a weighted average price if a price range is indicated in the column Price Range ($). These shares of Common Stock were purchased/sold in multiple transactions at prices between the price ranges below. The Reporting Persons will undertake to provide to the staff of the SEC, upon request, full information regarding the number of shares of Common Stock sold at each separate price.</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22"/>
                <w:szCs w:val="22"/>
                <w:color w:val="auto"/>
                <w:w w:val="85"/>
              </w:rPr>
              <w:t>Trade Date</w:t>
            </w:r>
          </w:p>
        </w:tc>
        <w:tc>
          <w:tcPr>
            <w:tcW w:w="150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2"/>
                <w:szCs w:val="22"/>
                <w:color w:val="auto"/>
                <w:w w:val="85"/>
              </w:rPr>
              <w:t>Shares Purchased (Sold)</w:t>
            </w:r>
          </w:p>
        </w:tc>
        <w:tc>
          <w:tcPr>
            <w:tcW w:w="480" w:type="dxa"/>
            <w:vAlign w:val="bottom"/>
          </w:tcPr>
          <w:p>
            <w:pPr>
              <w:spacing w:after="0"/>
              <w:rPr>
                <w:sz w:val="21"/>
                <w:szCs w:val="21"/>
                <w:color w:val="auto"/>
              </w:rPr>
            </w:pPr>
          </w:p>
        </w:tc>
        <w:tc>
          <w:tcPr>
            <w:tcW w:w="2740" w:type="dxa"/>
            <w:vAlign w:val="bottom"/>
            <w:gridSpan w:val="3"/>
          </w:tcPr>
          <w:p>
            <w:pPr>
              <w:jc w:val="center"/>
              <w:spacing w:after="0"/>
              <w:rPr>
                <w:sz w:val="20"/>
                <w:szCs w:val="20"/>
                <w:color w:val="auto"/>
              </w:rPr>
            </w:pPr>
            <w:r>
              <w:rPr>
                <w:rFonts w:ascii="Arial" w:cs="Arial" w:eastAsia="Arial" w:hAnsi="Arial"/>
                <w:sz w:val="22"/>
                <w:szCs w:val="22"/>
                <w:color w:val="auto"/>
                <w:w w:val="88"/>
              </w:rPr>
              <w:t xml:space="preserve">Price Per Share </w:t>
            </w:r>
            <w:r>
              <w:rPr>
                <w:rFonts w:ascii="Arial" w:cs="Arial" w:eastAsia="Arial" w:hAnsi="Arial"/>
                <w:sz w:val="22"/>
                <w:szCs w:val="22"/>
                <w:u w:val="single" w:color="auto"/>
                <w:color w:val="auto"/>
                <w:w w:val="88"/>
              </w:rPr>
              <w:t>($</w:t>
            </w:r>
            <w:r>
              <w:rPr>
                <w:rFonts w:ascii="Arial" w:cs="Arial" w:eastAsia="Arial" w:hAnsi="Arial"/>
                <w:sz w:val="22"/>
                <w:szCs w:val="22"/>
                <w:color w:val="auto"/>
                <w:w w:val="88"/>
              </w:rPr>
              <w:t>)*</w:t>
            </w:r>
          </w:p>
        </w:tc>
        <w:tc>
          <w:tcPr>
            <w:tcW w:w="1940" w:type="dxa"/>
            <w:vAlign w:val="bottom"/>
            <w:gridSpan w:val="2"/>
          </w:tcPr>
          <w:p>
            <w:pPr>
              <w:ind w:left="480"/>
              <w:spacing w:after="0"/>
              <w:rPr>
                <w:sz w:val="20"/>
                <w:szCs w:val="20"/>
                <w:color w:val="auto"/>
              </w:rPr>
            </w:pPr>
            <w:r>
              <w:rPr>
                <w:rFonts w:ascii="Arial" w:cs="Arial" w:eastAsia="Arial" w:hAnsi="Arial"/>
                <w:sz w:val="22"/>
                <w:szCs w:val="22"/>
                <w:color w:val="auto"/>
                <w:w w:val="88"/>
              </w:rPr>
              <w:t xml:space="preserve">Price Range </w:t>
            </w:r>
            <w:r>
              <w:rPr>
                <w:rFonts w:ascii="Arial" w:cs="Arial" w:eastAsia="Arial" w:hAnsi="Arial"/>
                <w:sz w:val="22"/>
                <w:szCs w:val="22"/>
                <w:u w:val="single" w:color="auto"/>
                <w:color w:val="auto"/>
                <w:w w:val="88"/>
              </w:rPr>
              <w:t>($</w:t>
            </w:r>
            <w:r>
              <w:rPr>
                <w:rFonts w:ascii="Arial" w:cs="Arial" w:eastAsia="Arial" w:hAnsi="Arial"/>
                <w:sz w:val="22"/>
                <w:szCs w:val="22"/>
                <w:color w:val="auto"/>
                <w:w w:val="88"/>
              </w:rPr>
              <w:t>)*</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42"/>
        </w:trPr>
        <w:tc>
          <w:tcPr>
            <w:tcW w:w="2480" w:type="dxa"/>
            <w:vAlign w:val="bottom"/>
            <w:gridSpan w:val="3"/>
          </w:tcPr>
          <w:p>
            <w:pPr>
              <w:spacing w:after="0" w:line="242" w:lineRule="exact"/>
              <w:rPr>
                <w:sz w:val="20"/>
                <w:szCs w:val="20"/>
                <w:color w:val="auto"/>
              </w:rPr>
            </w:pPr>
            <w:r>
              <w:rPr>
                <w:rFonts w:ascii="Arial" w:cs="Arial" w:eastAsia="Arial" w:hAnsi="Arial"/>
                <w:sz w:val="22"/>
                <w:szCs w:val="22"/>
                <w:color w:val="auto"/>
              </w:rPr>
              <w:t>10/13/2022</w:t>
            </w:r>
          </w:p>
        </w:tc>
        <w:tc>
          <w:tcPr>
            <w:tcW w:w="2120" w:type="dxa"/>
            <w:vAlign w:val="bottom"/>
          </w:tcPr>
          <w:p>
            <w:pPr>
              <w:jc w:val="center"/>
              <w:spacing w:after="0" w:line="242" w:lineRule="exact"/>
              <w:rPr>
                <w:sz w:val="20"/>
                <w:szCs w:val="20"/>
                <w:color w:val="auto"/>
              </w:rPr>
            </w:pPr>
            <w:r>
              <w:rPr>
                <w:rFonts w:ascii="Arial" w:cs="Arial" w:eastAsia="Arial" w:hAnsi="Arial"/>
                <w:sz w:val="22"/>
                <w:szCs w:val="22"/>
                <w:color w:val="auto"/>
                <w:w w:val="87"/>
              </w:rPr>
              <w:t>9,100</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2" w:lineRule="exact"/>
              <w:rPr>
                <w:sz w:val="20"/>
                <w:szCs w:val="20"/>
                <w:color w:val="auto"/>
              </w:rPr>
            </w:pPr>
            <w:r>
              <w:rPr>
                <w:rFonts w:ascii="Arial" w:cs="Arial" w:eastAsia="Arial" w:hAnsi="Arial"/>
                <w:sz w:val="22"/>
                <w:szCs w:val="22"/>
                <w:color w:val="auto"/>
                <w:w w:val="86"/>
              </w:rPr>
              <w:t>1.6600</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3"/>
        </w:trPr>
        <w:tc>
          <w:tcPr>
            <w:tcW w:w="2480" w:type="dxa"/>
            <w:vAlign w:val="bottom"/>
            <w:gridSpan w:val="3"/>
          </w:tcPr>
          <w:p>
            <w:pPr>
              <w:spacing w:after="0" w:line="243" w:lineRule="exact"/>
              <w:rPr>
                <w:sz w:val="20"/>
                <w:szCs w:val="20"/>
                <w:color w:val="auto"/>
              </w:rPr>
            </w:pPr>
            <w:r>
              <w:rPr>
                <w:rFonts w:ascii="Arial" w:cs="Arial" w:eastAsia="Arial" w:hAnsi="Arial"/>
                <w:sz w:val="22"/>
                <w:szCs w:val="22"/>
                <w:color w:val="auto"/>
              </w:rPr>
              <w:t>10/14/2022</w:t>
            </w:r>
          </w:p>
        </w:tc>
        <w:tc>
          <w:tcPr>
            <w:tcW w:w="2120" w:type="dxa"/>
            <w:vAlign w:val="bottom"/>
          </w:tcPr>
          <w:p>
            <w:pPr>
              <w:jc w:val="center"/>
              <w:spacing w:after="0" w:line="243" w:lineRule="exact"/>
              <w:rPr>
                <w:sz w:val="20"/>
                <w:szCs w:val="20"/>
                <w:color w:val="auto"/>
              </w:rPr>
            </w:pPr>
            <w:r>
              <w:rPr>
                <w:rFonts w:ascii="Arial" w:cs="Arial" w:eastAsia="Arial" w:hAnsi="Arial"/>
                <w:sz w:val="22"/>
                <w:szCs w:val="22"/>
                <w:color w:val="auto"/>
                <w:w w:val="87"/>
              </w:rPr>
              <w:t>2,500</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Arial" w:cs="Arial" w:eastAsia="Arial" w:hAnsi="Arial"/>
                <w:sz w:val="22"/>
                <w:szCs w:val="22"/>
                <w:color w:val="auto"/>
                <w:w w:val="86"/>
              </w:rPr>
              <w:t>1.6746</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Arial" w:cs="Arial" w:eastAsia="Arial" w:hAnsi="Arial"/>
                <w:sz w:val="22"/>
                <w:szCs w:val="22"/>
                <w:color w:val="auto"/>
                <w:w w:val="88"/>
              </w:rPr>
              <w:t>1.66 – 1.68</w:t>
            </w:r>
          </w:p>
        </w:tc>
      </w:tr>
      <w:tr>
        <w:trPr>
          <w:trHeight w:val="243"/>
        </w:trPr>
        <w:tc>
          <w:tcPr>
            <w:tcW w:w="2480" w:type="dxa"/>
            <w:vAlign w:val="bottom"/>
            <w:gridSpan w:val="3"/>
          </w:tcPr>
          <w:p>
            <w:pPr>
              <w:spacing w:after="0" w:line="243" w:lineRule="exact"/>
              <w:rPr>
                <w:sz w:val="20"/>
                <w:szCs w:val="20"/>
                <w:color w:val="auto"/>
              </w:rPr>
            </w:pPr>
            <w:r>
              <w:rPr>
                <w:rFonts w:ascii="Arial" w:cs="Arial" w:eastAsia="Arial" w:hAnsi="Arial"/>
                <w:sz w:val="22"/>
                <w:szCs w:val="22"/>
                <w:color w:val="auto"/>
              </w:rPr>
              <w:t>10/17/2022</w:t>
            </w:r>
          </w:p>
        </w:tc>
        <w:tc>
          <w:tcPr>
            <w:tcW w:w="2120" w:type="dxa"/>
            <w:vAlign w:val="bottom"/>
          </w:tcPr>
          <w:p>
            <w:pPr>
              <w:jc w:val="center"/>
              <w:spacing w:after="0" w:line="243" w:lineRule="exact"/>
              <w:rPr>
                <w:sz w:val="20"/>
                <w:szCs w:val="20"/>
                <w:color w:val="auto"/>
              </w:rPr>
            </w:pPr>
            <w:r>
              <w:rPr>
                <w:rFonts w:ascii="Arial" w:cs="Arial" w:eastAsia="Arial" w:hAnsi="Arial"/>
                <w:sz w:val="22"/>
                <w:szCs w:val="22"/>
                <w:color w:val="auto"/>
                <w:w w:val="87"/>
              </w:rPr>
              <w:t>4,400</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Arial" w:cs="Arial" w:eastAsia="Arial" w:hAnsi="Arial"/>
                <w:sz w:val="22"/>
                <w:szCs w:val="22"/>
                <w:color w:val="auto"/>
                <w:w w:val="86"/>
              </w:rPr>
              <w:t>1.6999</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Arial" w:cs="Arial" w:eastAsia="Arial" w:hAnsi="Arial"/>
                <w:sz w:val="22"/>
                <w:szCs w:val="22"/>
                <w:color w:val="auto"/>
                <w:w w:val="88"/>
              </w:rPr>
              <w:t>1.695 – 1.7</w:t>
            </w:r>
          </w:p>
        </w:tc>
      </w:tr>
      <w:tr>
        <w:trPr>
          <w:trHeight w:val="243"/>
        </w:trPr>
        <w:tc>
          <w:tcPr>
            <w:tcW w:w="2480" w:type="dxa"/>
            <w:vAlign w:val="bottom"/>
            <w:gridSpan w:val="3"/>
          </w:tcPr>
          <w:p>
            <w:pPr>
              <w:spacing w:after="0" w:line="243" w:lineRule="exact"/>
              <w:rPr>
                <w:sz w:val="20"/>
                <w:szCs w:val="20"/>
                <w:color w:val="auto"/>
              </w:rPr>
            </w:pPr>
            <w:r>
              <w:rPr>
                <w:rFonts w:ascii="Arial" w:cs="Arial" w:eastAsia="Arial" w:hAnsi="Arial"/>
                <w:sz w:val="22"/>
                <w:szCs w:val="22"/>
                <w:color w:val="auto"/>
              </w:rPr>
              <w:t>10/18/2022</w:t>
            </w:r>
          </w:p>
        </w:tc>
        <w:tc>
          <w:tcPr>
            <w:tcW w:w="2120" w:type="dxa"/>
            <w:vAlign w:val="bottom"/>
          </w:tcPr>
          <w:p>
            <w:pPr>
              <w:jc w:val="center"/>
              <w:spacing w:after="0" w:line="243" w:lineRule="exact"/>
              <w:rPr>
                <w:sz w:val="20"/>
                <w:szCs w:val="20"/>
                <w:color w:val="auto"/>
              </w:rPr>
            </w:pPr>
            <w:r>
              <w:rPr>
                <w:rFonts w:ascii="Arial" w:cs="Arial" w:eastAsia="Arial" w:hAnsi="Arial"/>
                <w:sz w:val="22"/>
                <w:szCs w:val="22"/>
                <w:color w:val="auto"/>
                <w:w w:val="87"/>
              </w:rPr>
              <w:t>600</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Arial" w:cs="Arial" w:eastAsia="Arial" w:hAnsi="Arial"/>
                <w:sz w:val="22"/>
                <w:szCs w:val="22"/>
                <w:color w:val="auto"/>
                <w:w w:val="86"/>
              </w:rPr>
              <w:t>1.7417</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Arial" w:cs="Arial" w:eastAsia="Arial" w:hAnsi="Arial"/>
                <w:sz w:val="22"/>
                <w:szCs w:val="22"/>
                <w:color w:val="auto"/>
                <w:w w:val="88"/>
              </w:rPr>
              <w:t>1.735 – 1.75</w:t>
            </w:r>
          </w:p>
        </w:tc>
      </w:tr>
      <w:tr>
        <w:trPr>
          <w:trHeight w:val="243"/>
        </w:trPr>
        <w:tc>
          <w:tcPr>
            <w:tcW w:w="2480" w:type="dxa"/>
            <w:vAlign w:val="bottom"/>
            <w:gridSpan w:val="3"/>
          </w:tcPr>
          <w:p>
            <w:pPr>
              <w:spacing w:after="0" w:line="243" w:lineRule="exact"/>
              <w:rPr>
                <w:sz w:val="20"/>
                <w:szCs w:val="20"/>
                <w:color w:val="auto"/>
              </w:rPr>
            </w:pPr>
            <w:r>
              <w:rPr>
                <w:rFonts w:ascii="Arial" w:cs="Arial" w:eastAsia="Arial" w:hAnsi="Arial"/>
                <w:sz w:val="22"/>
                <w:szCs w:val="22"/>
                <w:color w:val="auto"/>
              </w:rPr>
              <w:t>10/25/2022</w:t>
            </w:r>
          </w:p>
        </w:tc>
        <w:tc>
          <w:tcPr>
            <w:tcW w:w="2120" w:type="dxa"/>
            <w:vAlign w:val="bottom"/>
          </w:tcPr>
          <w:p>
            <w:pPr>
              <w:jc w:val="center"/>
              <w:spacing w:after="0" w:line="243" w:lineRule="exact"/>
              <w:rPr>
                <w:sz w:val="20"/>
                <w:szCs w:val="20"/>
                <w:color w:val="auto"/>
              </w:rPr>
            </w:pPr>
            <w:r>
              <w:rPr>
                <w:rFonts w:ascii="Arial" w:cs="Arial" w:eastAsia="Arial" w:hAnsi="Arial"/>
                <w:sz w:val="22"/>
                <w:szCs w:val="22"/>
                <w:color w:val="auto"/>
                <w:w w:val="87"/>
              </w:rPr>
              <w:t>961,133</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Arial" w:cs="Arial" w:eastAsia="Arial" w:hAnsi="Arial"/>
                <w:sz w:val="22"/>
                <w:szCs w:val="22"/>
                <w:color w:val="auto"/>
                <w:w w:val="86"/>
              </w:rPr>
              <w:t>2.0000</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Arial" w:cs="Arial" w:eastAsia="Arial" w:hAnsi="Arial"/>
                <w:sz w:val="22"/>
                <w:szCs w:val="22"/>
                <w:color w:val="auto"/>
                <w:w w:val="87"/>
              </w:rPr>
              <w:t>1.97 – 2</w:t>
            </w:r>
          </w:p>
        </w:tc>
      </w:tr>
      <w:tr>
        <w:trPr>
          <w:trHeight w:val="243"/>
        </w:trPr>
        <w:tc>
          <w:tcPr>
            <w:tcW w:w="2480" w:type="dxa"/>
            <w:vAlign w:val="bottom"/>
            <w:gridSpan w:val="3"/>
          </w:tcPr>
          <w:p>
            <w:pPr>
              <w:spacing w:after="0" w:line="243" w:lineRule="exact"/>
              <w:rPr>
                <w:sz w:val="20"/>
                <w:szCs w:val="20"/>
                <w:color w:val="auto"/>
              </w:rPr>
            </w:pPr>
            <w:r>
              <w:rPr>
                <w:rFonts w:ascii="Arial" w:cs="Arial" w:eastAsia="Arial" w:hAnsi="Arial"/>
                <w:sz w:val="22"/>
                <w:szCs w:val="22"/>
                <w:color w:val="auto"/>
              </w:rPr>
              <w:t>10/26/2022</w:t>
            </w:r>
          </w:p>
        </w:tc>
        <w:tc>
          <w:tcPr>
            <w:tcW w:w="2120" w:type="dxa"/>
            <w:vAlign w:val="bottom"/>
          </w:tcPr>
          <w:p>
            <w:pPr>
              <w:jc w:val="center"/>
              <w:spacing w:after="0" w:line="243" w:lineRule="exact"/>
              <w:rPr>
                <w:sz w:val="20"/>
                <w:szCs w:val="20"/>
                <w:color w:val="auto"/>
              </w:rPr>
            </w:pPr>
            <w:r>
              <w:rPr>
                <w:rFonts w:ascii="Arial" w:cs="Arial" w:eastAsia="Arial" w:hAnsi="Arial"/>
                <w:sz w:val="22"/>
                <w:szCs w:val="22"/>
                <w:color w:val="auto"/>
                <w:w w:val="87"/>
              </w:rPr>
              <w:t>9,082</w:t>
            </w:r>
          </w:p>
        </w:tc>
        <w:tc>
          <w:tcPr>
            <w:tcW w:w="480" w:type="dxa"/>
            <w:vAlign w:val="bottom"/>
          </w:tcPr>
          <w:p>
            <w:pPr>
              <w:spacing w:after="0"/>
              <w:rPr>
                <w:sz w:val="21"/>
                <w:szCs w:val="21"/>
                <w:color w:val="auto"/>
              </w:rPr>
            </w:pPr>
          </w:p>
        </w:tc>
        <w:tc>
          <w:tcPr>
            <w:tcW w:w="2240" w:type="dxa"/>
            <w:vAlign w:val="bottom"/>
            <w:gridSpan w:val="2"/>
          </w:tcPr>
          <w:p>
            <w:pPr>
              <w:jc w:val="center"/>
              <w:ind w:left="392"/>
              <w:spacing w:after="0" w:line="243" w:lineRule="exact"/>
              <w:rPr>
                <w:sz w:val="20"/>
                <w:szCs w:val="20"/>
                <w:color w:val="auto"/>
              </w:rPr>
            </w:pPr>
            <w:r>
              <w:rPr>
                <w:rFonts w:ascii="Arial" w:cs="Arial" w:eastAsia="Arial" w:hAnsi="Arial"/>
                <w:sz w:val="22"/>
                <w:szCs w:val="22"/>
                <w:color w:val="auto"/>
                <w:w w:val="86"/>
              </w:rPr>
              <w:t>2.0000</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4"/>
        </w:trPr>
        <w:tc>
          <w:tcPr>
            <w:tcW w:w="2480" w:type="dxa"/>
            <w:vAlign w:val="bottom"/>
            <w:gridSpan w:val="3"/>
          </w:tcPr>
          <w:p>
            <w:pPr>
              <w:spacing w:after="0"/>
              <w:rPr>
                <w:sz w:val="20"/>
                <w:szCs w:val="20"/>
                <w:color w:val="auto"/>
              </w:rPr>
            </w:pPr>
            <w:r>
              <w:rPr>
                <w:rFonts w:ascii="Arial" w:cs="Arial" w:eastAsia="Arial" w:hAnsi="Arial"/>
                <w:sz w:val="22"/>
                <w:szCs w:val="22"/>
                <w:color w:val="auto"/>
              </w:rPr>
              <w:t>10/26/2022</w:t>
            </w:r>
          </w:p>
        </w:tc>
        <w:tc>
          <w:tcPr>
            <w:tcW w:w="2120" w:type="dxa"/>
            <w:vAlign w:val="bottom"/>
          </w:tcPr>
          <w:p>
            <w:pPr>
              <w:jc w:val="center"/>
              <w:spacing w:after="0"/>
              <w:rPr>
                <w:sz w:val="20"/>
                <w:szCs w:val="20"/>
                <w:color w:val="auto"/>
              </w:rPr>
            </w:pPr>
            <w:r>
              <w:rPr>
                <w:rFonts w:ascii="Arial" w:cs="Arial" w:eastAsia="Arial" w:hAnsi="Arial"/>
                <w:sz w:val="22"/>
                <w:szCs w:val="22"/>
                <w:color w:val="auto"/>
                <w:w w:val="89"/>
              </w:rPr>
              <w:t>13,805</w:t>
            </w:r>
          </w:p>
        </w:tc>
        <w:tc>
          <w:tcPr>
            <w:tcW w:w="480" w:type="dxa"/>
            <w:vAlign w:val="bottom"/>
          </w:tcPr>
          <w:p>
            <w:pPr>
              <w:spacing w:after="0"/>
              <w:rPr>
                <w:sz w:val="23"/>
                <w:szCs w:val="23"/>
                <w:color w:val="auto"/>
              </w:rPr>
            </w:pPr>
          </w:p>
        </w:tc>
        <w:tc>
          <w:tcPr>
            <w:tcW w:w="2240" w:type="dxa"/>
            <w:vAlign w:val="bottom"/>
            <w:gridSpan w:val="2"/>
          </w:tcPr>
          <w:p>
            <w:pPr>
              <w:jc w:val="center"/>
              <w:ind w:left="392"/>
              <w:spacing w:after="0"/>
              <w:rPr>
                <w:sz w:val="20"/>
                <w:szCs w:val="20"/>
                <w:color w:val="auto"/>
              </w:rPr>
            </w:pPr>
            <w:r>
              <w:rPr>
                <w:rFonts w:ascii="Arial" w:cs="Arial" w:eastAsia="Arial" w:hAnsi="Arial"/>
                <w:sz w:val="22"/>
                <w:szCs w:val="22"/>
                <w:color w:val="auto"/>
                <w:w w:val="86"/>
              </w:rPr>
              <w:t>1.9994</w:t>
            </w: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22"/>
                <w:szCs w:val="22"/>
                <w:color w:val="auto"/>
                <w:w w:val="89"/>
              </w:rPr>
              <w:t>1.985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00" w:hanging="492"/>
        <w:spacing w:after="0"/>
        <w:tabs>
          <w:tab w:leader="none" w:pos="500" w:val="left"/>
        </w:tabs>
        <w:numPr>
          <w:ilvl w:val="0"/>
          <w:numId w:val="8"/>
        </w:numPr>
        <w:rPr>
          <w:rFonts w:ascii="Arial" w:cs="Arial" w:eastAsia="Arial" w:hAnsi="Arial"/>
          <w:sz w:val="22"/>
          <w:szCs w:val="22"/>
          <w:color w:val="auto"/>
        </w:rPr>
      </w:pPr>
      <w:r>
        <w:rPr>
          <w:rFonts w:ascii="Arial" w:cs="Arial" w:eastAsia="Arial" w:hAnsi="Arial"/>
          <w:sz w:val="22"/>
          <w:szCs w:val="22"/>
          <w:color w:val="auto"/>
        </w:rPr>
        <w:t>Excluding commissions.</w:t>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2022-10-27T15:47:43Z</dcterms:created>
  <dcterms:modified xsi:type="dcterms:W3CDTF">2022-10-27T15:47:43Z</dcterms:modified>
</cp:coreProperties>
</file>