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2025</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3940" w:type="dxa"/>
            <w:vAlign w:val="bottom"/>
          </w:tcPr>
          <w:p>
            <w:pPr>
              <w:spacing w:after="0"/>
              <w:rPr>
                <w:sz w:val="15"/>
                <w:szCs w:val="15"/>
                <w:color w:val="auto"/>
              </w:rPr>
            </w:pPr>
          </w:p>
        </w:tc>
        <w:tc>
          <w:tcPr>
            <w:tcW w:w="374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For the transition period from ___________to___________</w:t>
            </w:r>
          </w:p>
        </w:tc>
        <w:tc>
          <w:tcPr>
            <w:tcW w:w="3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180" w:type="dxa"/>
            <w:vAlign w:val="bottom"/>
            <w:gridSpan w:val="2"/>
          </w:tcPr>
          <w:p>
            <w:pPr>
              <w:jc w:val="center"/>
              <w:ind w:right="940"/>
              <w:spacing w:after="0"/>
              <w:rPr>
                <w:sz w:val="20"/>
                <w:szCs w:val="20"/>
                <w:color w:val="auto"/>
              </w:rPr>
            </w:pPr>
            <w:r>
              <w:rPr>
                <w:rFonts w:ascii="Times New Roman" w:cs="Times New Roman" w:eastAsia="Times New Roman" w:hAnsi="Times New Roman"/>
                <w:sz w:val="13"/>
                <w:szCs w:val="13"/>
                <w:b w:val="1"/>
                <w:bCs w:val="1"/>
                <w:color w:val="auto"/>
              </w:rPr>
              <w:t>Commission file number: 001-39438</w:t>
            </w:r>
          </w:p>
        </w:tc>
        <w:tc>
          <w:tcPr>
            <w:tcW w:w="3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5"/>
        </w:trPr>
        <w:tc>
          <w:tcPr>
            <w:tcW w:w="3940" w:type="dxa"/>
            <w:vAlign w:val="bottom"/>
          </w:tcPr>
          <w:p>
            <w:pPr>
              <w:spacing w:after="0"/>
              <w:rPr>
                <w:sz w:val="24"/>
                <w:szCs w:val="24"/>
                <w:color w:val="auto"/>
              </w:rPr>
            </w:pPr>
          </w:p>
        </w:tc>
        <w:tc>
          <w:tcPr>
            <w:tcW w:w="2800" w:type="dxa"/>
            <w:vAlign w:val="bottom"/>
            <w:gridSpan w:val="2"/>
          </w:tcPr>
          <w:p>
            <w:pPr>
              <w:ind w:left="400"/>
              <w:spacing w:after="0"/>
              <w:rPr>
                <w:sz w:val="20"/>
                <w:szCs w:val="20"/>
                <w:color w:val="auto"/>
              </w:rPr>
            </w:pPr>
            <w:r>
              <w:rPr>
                <w:rFonts w:ascii="Times New Roman" w:cs="Times New Roman" w:eastAsia="Times New Roman" w:hAnsi="Times New Roman"/>
                <w:sz w:val="31"/>
                <w:szCs w:val="31"/>
                <w:b w:val="1"/>
                <w:bCs w:val="1"/>
                <w:color w:val="auto"/>
                <w:w w:val="93"/>
              </w:rPr>
              <w:t>Disc Medicine, Inc.</w:t>
            </w:r>
          </w:p>
        </w:tc>
        <w:tc>
          <w:tcPr>
            <w:tcW w:w="9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940" w:type="dxa"/>
            <w:vAlign w:val="bottom"/>
          </w:tcPr>
          <w:p>
            <w:pPr>
              <w:spacing w:after="0"/>
              <w:rPr>
                <w:sz w:val="15"/>
                <w:szCs w:val="15"/>
                <w:color w:val="auto"/>
              </w:rPr>
            </w:pPr>
          </w:p>
        </w:tc>
        <w:tc>
          <w:tcPr>
            <w:tcW w:w="374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3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3940" w:type="dxa"/>
            <w:vAlign w:val="bottom"/>
            <w:vMerge w:val="restart"/>
          </w:tcPr>
          <w:p>
            <w:pPr>
              <w:jc w:val="center"/>
              <w:ind w:left="1612"/>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56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3560" w:type="dxa"/>
            <w:vAlign w:val="bottom"/>
            <w:vMerge w:val="restart"/>
          </w:tcPr>
          <w:p>
            <w:pPr>
              <w:jc w:val="right"/>
              <w:ind w:right="2412"/>
              <w:spacing w:after="0"/>
              <w:rPr>
                <w:sz w:val="20"/>
                <w:szCs w:val="20"/>
                <w:color w:val="auto"/>
              </w:rPr>
            </w:pPr>
            <w:r>
              <w:rPr>
                <w:rFonts w:ascii="Times New Roman" w:cs="Times New Roman" w:eastAsia="Times New Roman" w:hAnsi="Times New Roman"/>
                <w:sz w:val="13"/>
                <w:szCs w:val="13"/>
                <w:b w:val="1"/>
                <w:bCs w:val="1"/>
                <w:color w:val="auto"/>
              </w:rPr>
              <w:t>85-1612845</w:t>
            </w:r>
          </w:p>
        </w:tc>
        <w:tc>
          <w:tcPr>
            <w:tcW w:w="0" w:type="dxa"/>
            <w:vAlign w:val="bottom"/>
          </w:tcPr>
          <w:p>
            <w:pPr>
              <w:spacing w:after="0"/>
              <w:rPr>
                <w:sz w:val="1"/>
                <w:szCs w:val="1"/>
                <w:color w:val="auto"/>
              </w:rPr>
            </w:pPr>
          </w:p>
        </w:tc>
      </w:tr>
      <w:tr>
        <w:trPr>
          <w:trHeight w:val="139"/>
        </w:trPr>
        <w:tc>
          <w:tcPr>
            <w:tcW w:w="39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jc w:val="center"/>
              <w:ind w:left="1632"/>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5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60" w:type="dxa"/>
            <w:vAlign w:val="bottom"/>
          </w:tcPr>
          <w:p>
            <w:pPr>
              <w:jc w:val="center"/>
              <w:ind w:right="1992"/>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6"/>
        </w:trPr>
        <w:tc>
          <w:tcPr>
            <w:tcW w:w="3940" w:type="dxa"/>
            <w:vAlign w:val="bottom"/>
          </w:tcPr>
          <w:p>
            <w:pPr>
              <w:jc w:val="center"/>
              <w:ind w:left="1632"/>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5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560" w:type="dxa"/>
            <w:vAlign w:val="bottom"/>
          </w:tcPr>
          <w:p>
            <w:pPr>
              <w:jc w:val="center"/>
              <w:ind w:right="1992"/>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148"/>
        </w:trPr>
        <w:tc>
          <w:tcPr>
            <w:tcW w:w="3940" w:type="dxa"/>
            <w:vAlign w:val="bottom"/>
          </w:tcPr>
          <w:p>
            <w:pPr>
              <w:jc w:val="center"/>
              <w:ind w:left="1612"/>
              <w:spacing w:after="0"/>
              <w:rPr>
                <w:sz w:val="20"/>
                <w:szCs w:val="20"/>
                <w:color w:val="auto"/>
              </w:rPr>
            </w:pPr>
            <w:r>
              <w:rPr>
                <w:rFonts w:ascii="Times New Roman" w:cs="Times New Roman" w:eastAsia="Times New Roman" w:hAnsi="Times New Roman"/>
                <w:sz w:val="13"/>
                <w:szCs w:val="13"/>
                <w:b w:val="1"/>
                <w:bCs w:val="1"/>
                <w:color w:val="auto"/>
              </w:rPr>
              <w:t>321 Arsenal Street, Suite 101</w:t>
            </w:r>
          </w:p>
        </w:tc>
        <w:tc>
          <w:tcPr>
            <w:tcW w:w="5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tcPr>
          <w:p>
            <w:pPr>
              <w:jc w:val="center"/>
              <w:ind w:left="1632"/>
              <w:spacing w:after="0"/>
              <w:rPr>
                <w:sz w:val="20"/>
                <w:szCs w:val="20"/>
                <w:color w:val="auto"/>
              </w:rPr>
            </w:pPr>
            <w:r>
              <w:rPr>
                <w:rFonts w:ascii="Times New Roman" w:cs="Times New Roman" w:eastAsia="Times New Roman" w:hAnsi="Times New Roman"/>
                <w:sz w:val="13"/>
                <w:szCs w:val="13"/>
                <w:b w:val="1"/>
                <w:bCs w:val="1"/>
                <w:color w:val="auto"/>
              </w:rPr>
              <w:t>Watertown, Massachusetts</w:t>
            </w:r>
          </w:p>
        </w:tc>
        <w:tc>
          <w:tcPr>
            <w:tcW w:w="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560" w:type="dxa"/>
            <w:vAlign w:val="bottom"/>
          </w:tcPr>
          <w:p>
            <w:pPr>
              <w:jc w:val="right"/>
              <w:ind w:right="2572"/>
              <w:spacing w:after="0"/>
              <w:rPr>
                <w:sz w:val="20"/>
                <w:szCs w:val="20"/>
                <w:color w:val="auto"/>
              </w:rPr>
            </w:pPr>
            <w:r>
              <w:rPr>
                <w:rFonts w:ascii="Times New Roman" w:cs="Times New Roman" w:eastAsia="Times New Roman" w:hAnsi="Times New Roman"/>
                <w:sz w:val="13"/>
                <w:szCs w:val="13"/>
                <w:b w:val="1"/>
                <w:bCs w:val="1"/>
                <w:color w:val="auto"/>
              </w:rPr>
              <w:t>02472</w:t>
            </w:r>
          </w:p>
        </w:tc>
        <w:tc>
          <w:tcPr>
            <w:tcW w:w="0" w:type="dxa"/>
            <w:vAlign w:val="bottom"/>
          </w:tcPr>
          <w:p>
            <w:pPr>
              <w:spacing w:after="0"/>
              <w:rPr>
                <w:sz w:val="1"/>
                <w:szCs w:val="1"/>
                <w:color w:val="auto"/>
              </w:rPr>
            </w:pPr>
          </w:p>
        </w:tc>
      </w:tr>
      <w:tr>
        <w:trPr>
          <w:trHeight w:val="162"/>
        </w:trPr>
        <w:tc>
          <w:tcPr>
            <w:tcW w:w="3940" w:type="dxa"/>
            <w:vAlign w:val="bottom"/>
          </w:tcPr>
          <w:p>
            <w:pPr>
              <w:jc w:val="center"/>
              <w:ind w:left="1632"/>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560" w:type="dxa"/>
            <w:vAlign w:val="bottom"/>
          </w:tcPr>
          <w:p>
            <w:pPr>
              <w:jc w:val="center"/>
              <w:ind w:right="1992"/>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162"/>
        </w:trPr>
        <w:tc>
          <w:tcPr>
            <w:tcW w:w="7680" w:type="dxa"/>
            <w:vAlign w:val="bottom"/>
            <w:gridSpan w:val="4"/>
          </w:tcPr>
          <w:p>
            <w:pPr>
              <w:jc w:val="center"/>
              <w:ind w:left="3512"/>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(617) 674-9274</w:t>
            </w: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374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180" w:type="dxa"/>
            <w:vAlign w:val="bottom"/>
            <w:gridSpan w:val="2"/>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3560" w:type="dxa"/>
            <w:vAlign w:val="bottom"/>
          </w:tcPr>
          <w:p>
            <w:pPr>
              <w:jc w:val="center"/>
              <w:ind w:right="392"/>
              <w:spacing w:after="0"/>
              <w:rPr>
                <w:sz w:val="20"/>
                <w:szCs w:val="20"/>
                <w:color w:val="auto"/>
              </w:rPr>
            </w:pPr>
            <w:r>
              <w:rPr>
                <w:rFonts w:ascii="Times New Roman" w:cs="Times New Roman" w:eastAsia="Times New Roman" w:hAnsi="Times New Roman"/>
                <w:sz w:val="13"/>
                <w:szCs w:val="13"/>
                <w:b w:val="1"/>
                <w:bCs w:val="1"/>
                <w:color w:val="auto"/>
              </w:rPr>
              <w:t>Name of each exchange</w:t>
            </w:r>
          </w:p>
        </w:tc>
        <w:tc>
          <w:tcPr>
            <w:tcW w:w="0" w:type="dxa"/>
            <w:vAlign w:val="bottom"/>
          </w:tcPr>
          <w:p>
            <w:pPr>
              <w:spacing w:after="0"/>
              <w:rPr>
                <w:sz w:val="1"/>
                <w:szCs w:val="1"/>
                <w:color w:val="auto"/>
              </w:rPr>
            </w:pPr>
          </w:p>
        </w:tc>
      </w:tr>
      <w:tr>
        <w:trPr>
          <w:trHeight w:val="165"/>
        </w:trPr>
        <w:tc>
          <w:tcPr>
            <w:tcW w:w="394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5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2"/>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560" w:type="dxa"/>
            <w:vAlign w:val="bottom"/>
            <w:tcBorders>
              <w:bottom w:val="single" w:sz="8" w:color="auto"/>
            </w:tcBorders>
          </w:tcPr>
          <w:p>
            <w:pPr>
              <w:jc w:val="center"/>
              <w:ind w:right="412"/>
              <w:spacing w:after="0"/>
              <w:rPr>
                <w:sz w:val="20"/>
                <w:szCs w:val="20"/>
                <w:color w:val="auto"/>
              </w:rPr>
            </w:pPr>
            <w:r>
              <w:rPr>
                <w:rFonts w:ascii="Times New Roman" w:cs="Times New Roman" w:eastAsia="Times New Roman" w:hAnsi="Times New Roman"/>
                <w:sz w:val="13"/>
                <w:szCs w:val="13"/>
                <w:b w:val="1"/>
                <w:bCs w:val="1"/>
                <w:color w:val="auto"/>
              </w:rPr>
              <w:t>on which registered</w:t>
            </w:r>
          </w:p>
        </w:tc>
        <w:tc>
          <w:tcPr>
            <w:tcW w:w="0" w:type="dxa"/>
            <w:vAlign w:val="bottom"/>
          </w:tcPr>
          <w:p>
            <w:pPr>
              <w:spacing w:after="0"/>
              <w:rPr>
                <w:sz w:val="1"/>
                <w:szCs w:val="1"/>
                <w:color w:val="auto"/>
              </w:rPr>
            </w:pPr>
          </w:p>
        </w:tc>
      </w:tr>
      <w:tr>
        <w:trPr>
          <w:trHeight w:val="166"/>
        </w:trPr>
        <w:tc>
          <w:tcPr>
            <w:tcW w:w="3940" w:type="dxa"/>
            <w:vAlign w:val="bottom"/>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rPr>
              <w:t>Common Stock, $0.0001 Par Value</w:t>
            </w:r>
          </w:p>
        </w:tc>
        <w:tc>
          <w:tcPr>
            <w:tcW w:w="560" w:type="dxa"/>
            <w:vAlign w:val="bottom"/>
          </w:tcPr>
          <w:p>
            <w:pPr>
              <w:spacing w:after="0"/>
              <w:rPr>
                <w:sz w:val="14"/>
                <w:szCs w:val="14"/>
                <w:color w:val="auto"/>
              </w:rPr>
            </w:pPr>
          </w:p>
        </w:tc>
        <w:tc>
          <w:tcPr>
            <w:tcW w:w="3180" w:type="dxa"/>
            <w:vAlign w:val="bottom"/>
            <w:gridSpan w:val="2"/>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IRON</w:t>
            </w:r>
          </w:p>
        </w:tc>
        <w:tc>
          <w:tcPr>
            <w:tcW w:w="3560" w:type="dxa"/>
            <w:vAlign w:val="bottom"/>
          </w:tcPr>
          <w:p>
            <w:pPr>
              <w:jc w:val="center"/>
              <w:ind w:right="392"/>
              <w:spacing w:after="0"/>
              <w:rPr>
                <w:sz w:val="20"/>
                <w:szCs w:val="20"/>
                <w:color w:val="auto"/>
              </w:rPr>
            </w:pPr>
            <w:r>
              <w:rPr>
                <w:rFonts w:ascii="Times New Roman" w:cs="Times New Roman" w:eastAsia="Times New Roman" w:hAnsi="Times New Roman"/>
                <w:sz w:val="13"/>
                <w:szCs w:val="13"/>
                <w:b w:val="1"/>
                <w:bCs w:val="1"/>
                <w:color w:val="auto"/>
              </w:rPr>
              <w:t>The Nasdaq Global Market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374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180" w:type="dxa"/>
            <w:vAlign w:val="bottom"/>
            <w:gridSpan w:val="2"/>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None</w:t>
            </w:r>
          </w:p>
        </w:tc>
        <w:tc>
          <w:tcPr>
            <w:tcW w:w="3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4500" w:type="dxa"/>
            <w:vAlign w:val="bottom"/>
            <w:gridSpan w:val="2"/>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3560" w:type="dxa"/>
            <w:vAlign w:val="bottom"/>
            <w:vMerge w:val="restart"/>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1"/>
        </w:trPr>
        <w:tc>
          <w:tcPr>
            <w:tcW w:w="768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w:t>
            </w:r>
          </w:p>
        </w:tc>
        <w:tc>
          <w:tcPr>
            <w:tcW w:w="3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520"/>
        <w:spacing w:after="0" w:line="161" w:lineRule="exact"/>
        <w:tabs>
          <w:tab w:leader="none" w:pos="7520" w:val="left"/>
          <w:tab w:leader="none" w:pos="810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120" w:firstLine="509"/>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509"/>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85"/>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6"/>
        </w:trPr>
        <w:tc>
          <w:tcPr>
            <w:tcW w:w="15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52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Emerging growth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bl>
    <w:p>
      <w:pPr>
        <w:ind w:right="40"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8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340"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180" w:val="left"/>
          <w:tab w:leader="none" w:pos="77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60" w:firstLine="509"/>
        <w:spacing w:after="0" w:line="237"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computed by reference to the price of the registrant’s Common Stock as of June 30, 2025, the last business day of the registrant’s most recently completed second fiscal quarter, was approximately $1.4 billion (based on the last reported sale price on the Nasdaq Global Market as of such date).</w:t>
      </w:r>
    </w:p>
    <w:p>
      <w:pPr>
        <w:spacing w:after="0" w:line="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February 19, 2026, there were 38,160,065 shares of the registrant’s Common Stock, $0.0001 par value per share, outstanding.</w:t>
      </w:r>
    </w:p>
    <w:p>
      <w:pPr>
        <w:spacing w:after="0" w:line="7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98" w:lineRule="exact"/>
        <w:rPr>
          <w:sz w:val="24"/>
          <w:szCs w:val="24"/>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Portions of the registrant’s Proxy Statement for its 2026 Annual Meeting of Stockholders, which the registrant intends to file with the Securities and Exchange Commission not later than 120 days after the registrant’s fiscal year ended December 31, 2025,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gridSpan w:val="15"/>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Disc Medicine, Inc.</w:t>
            </w:r>
          </w:p>
        </w:tc>
        <w:tc>
          <w:tcPr>
            <w:tcW w:w="780" w:type="dxa"/>
            <w:vAlign w:val="bottom"/>
          </w:tcPr>
          <w:p>
            <w:pPr>
              <w:spacing w:after="0"/>
              <w:rPr>
                <w:sz w:val="18"/>
                <w:szCs w:val="18"/>
                <w:color w:val="auto"/>
              </w:rPr>
            </w:pPr>
          </w:p>
        </w:tc>
      </w:tr>
      <w:tr>
        <w:trPr>
          <w:trHeight w:val="238"/>
        </w:trPr>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0" w:type="dxa"/>
            <w:vAlign w:val="bottom"/>
            <w:gridSpan w:val="11"/>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8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6"/>
        </w:trPr>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60" w:type="dxa"/>
            <w:vAlign w:val="bottom"/>
            <w:gridSpan w:val="14"/>
          </w:tcPr>
          <w:p>
            <w:pPr>
              <w:jc w:val="center"/>
              <w:ind w:right="4880"/>
              <w:spacing w:after="0" w:line="176" w:lineRule="exact"/>
              <w:rPr>
                <w:sz w:val="20"/>
                <w:szCs w:val="20"/>
                <w:color w:val="auto"/>
              </w:rPr>
            </w:pPr>
            <w:r>
              <w:rPr>
                <w:rFonts w:ascii="Times New Roman" w:cs="Times New Roman" w:eastAsia="Times New Roman" w:hAnsi="Times New Roman"/>
                <w:sz w:val="18"/>
                <w:szCs w:val="18"/>
                <w:b w:val="1"/>
                <w:bCs w:val="1"/>
                <w:color w:val="0000FF"/>
                <w:w w:val="99"/>
              </w:rPr>
              <w:t>PART I</w:t>
            </w:r>
          </w:p>
        </w:tc>
        <w:tc>
          <w:tcPr>
            <w:tcW w:w="780" w:type="dxa"/>
            <w:vAlign w:val="bottom"/>
          </w:tcPr>
          <w:p>
            <w:pPr>
              <w:spacing w:after="0"/>
              <w:rPr>
                <w:sz w:val="15"/>
                <w:szCs w:val="15"/>
                <w:color w:val="auto"/>
              </w:rPr>
            </w:pPr>
          </w:p>
        </w:tc>
      </w:tr>
      <w:tr>
        <w:trPr>
          <w:trHeight w:val="41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Business</w:t>
            </w:r>
          </w:p>
        </w:tc>
        <w:tc>
          <w:tcPr>
            <w:tcW w:w="600" w:type="dxa"/>
            <w:vAlign w:val="bottom"/>
            <w:tcBorders>
              <w:top w:val="single" w:sz="8" w:color="0000FF"/>
            </w:tcBorders>
            <w:gridSpan w:val="3"/>
          </w:tcPr>
          <w:p>
            <w:pPr>
              <w:spacing w:after="0"/>
              <w:rPr>
                <w:sz w:val="24"/>
                <w:szCs w:val="24"/>
                <w:color w:val="auto"/>
              </w:rPr>
            </w:pPr>
          </w:p>
        </w:tc>
        <w:tc>
          <w:tcPr>
            <w:tcW w:w="492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99</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99</w:t>
            </w:r>
          </w:p>
        </w:tc>
      </w:tr>
      <w:tr>
        <w:trPr>
          <w:trHeight w:val="412"/>
        </w:trPr>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14"/>
          </w:tcPr>
          <w:p>
            <w:pPr>
              <w:jc w:val="center"/>
              <w:ind w:right="4900"/>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78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5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78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Securities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100</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101</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102</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111</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112</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142</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142</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144</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Disclosures Regarding Foreign Jurisdictions That Prevent Inspections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144</w:t>
            </w:r>
          </w:p>
        </w:tc>
      </w:tr>
      <w:tr>
        <w:trPr>
          <w:trHeight w:val="412"/>
        </w:trPr>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760" w:type="dxa"/>
            <w:vAlign w:val="bottom"/>
            <w:tcBorders>
              <w:top w:val="single" w:sz="8" w:color="0000FF"/>
              <w:bottom w:val="single" w:sz="8" w:color="0000FF"/>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320" w:type="dxa"/>
            <w:vAlign w:val="bottom"/>
            <w:tcBorders>
              <w:top w:val="single" w:sz="8" w:color="0000FF"/>
            </w:tcBorders>
          </w:tcPr>
          <w:p>
            <w:pPr>
              <w:spacing w:after="0"/>
              <w:rPr>
                <w:sz w:val="24"/>
                <w:szCs w:val="24"/>
                <w:color w:val="auto"/>
              </w:rPr>
            </w:pPr>
          </w:p>
        </w:tc>
        <w:tc>
          <w:tcPr>
            <w:tcW w:w="452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95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145</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145</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145</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20" w:type="dxa"/>
            <w:vAlign w:val="bottom"/>
            <w:gridSpan w:val="7"/>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145</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20" w:type="dxa"/>
            <w:vAlign w:val="bottom"/>
            <w:gridSpan w:val="7"/>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145</w:t>
            </w:r>
          </w:p>
        </w:tc>
      </w:tr>
      <w:tr>
        <w:trPr>
          <w:trHeight w:val="412"/>
        </w:trPr>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0" w:type="dxa"/>
            <w:vAlign w:val="bottom"/>
            <w:gridSpan w:val="16"/>
          </w:tcPr>
          <w:p>
            <w:pPr>
              <w:jc w:val="center"/>
              <w:ind w:right="4860"/>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780" w:type="dxa"/>
            <w:vAlign w:val="bottom"/>
          </w:tcPr>
          <w:p>
            <w:pPr>
              <w:spacing w:after="0"/>
              <w:rPr>
                <w:sz w:val="24"/>
                <w:szCs w:val="24"/>
                <w:color w:val="auto"/>
              </w:rPr>
            </w:pPr>
          </w:p>
        </w:tc>
      </w:tr>
      <w:tr>
        <w:trPr>
          <w:trHeight w:val="41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3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20" w:type="dxa"/>
            <w:vAlign w:val="bottom"/>
            <w:tcBorders>
              <w:top w:val="single" w:sz="8" w:color="0000FF"/>
            </w:tcBorders>
            <w:gridSpan w:val="7"/>
          </w:tcPr>
          <w:p>
            <w:pPr>
              <w:spacing w:after="0"/>
              <w:rPr>
                <w:sz w:val="24"/>
                <w:szCs w:val="24"/>
                <w:color w:val="auto"/>
              </w:rPr>
            </w:pPr>
          </w:p>
        </w:tc>
        <w:tc>
          <w:tcPr>
            <w:tcW w:w="486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146</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64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5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150</w:t>
            </w: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151</w:t>
            </w: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Annual Report on Form 10-K may include, for example, statements about:</w:t>
      </w:r>
    </w:p>
    <w:p>
      <w:pPr>
        <w:spacing w:after="0" w:line="81" w:lineRule="exact"/>
        <w:rPr>
          <w:sz w:val="20"/>
          <w:szCs w:val="20"/>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manufacture our drug substances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further develop and, if approved,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bitopertin and any of our other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 candidates,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geopolitical conflicts, economic sanctions and economic slowdowns or recessions that may result from such developments which could harm our research and development efforts as well as the value of our common stock and our ability to access capital markets; and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Annual Report on Form 10-K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Factors that could cause actual results to differ include, but are not limited to, those discussed in the section titled “Risk Factors” included within Item 1A of this Annual Report on Form 10-K.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believe are material to our investors can be found below under the heading “Item 1A. Risk Factors” and should be carefully considered, together with other information in this Annual Report on Form 10-K and our other filings with the Securities and Exchange Commission, or SEC, before making an investment decision regarding our common stock.</w:t>
      </w:r>
    </w:p>
    <w:p>
      <w:pPr>
        <w:spacing w:after="0" w:line="75"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for you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any future indebtedness could adversely affect our ability to operate our business.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substantial additional funding. If we are unable to raise capital when needed or on terms acceptable to us, we may be forced to delay, reduce, or eliminate some of our product development programs or commercialization efforts.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progressed any product candidates through a Phase 3 clinical trial and may be unable to successfully complete any additional clinical trials for any product candidates we develop. Certain of our programs are still in preclinical development and may never advance to clinical development.</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conducted and are currently conducting clinical trials for bitopertin, and may in the future conduct additional clinical trials of our product candidates, outside the United States, and the FDA and comparable foreign regulatory authorities may not accept data from such trials.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 w:name="page6"/>
    <w:bookmarkEnd w:id="5"/>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our product candidates are smaller than we estimate or if any regulatory approval that we obtain is based on a narrower definition of the patient population, our revenue and ability to achieve profitability could be materially adversely affected.</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product candidates or any future product candidates do not achieve broad market acceptance, the revenue that we generate from our sales may be limited, and we may never become profitable.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realize the anticipated benefits of our current collaborations with Mabwell or NIH, or any other collaborations we enter into in the future.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obtain licenses or sublicenses to intellectual property rights in all markets on equally or sufficiently favorable terms with third parties.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a Commissioner’s National Priority Voucher for bitopertin but the accelerated timeline for review of our NDA submission for bitopertin in EPP and XLP by the FDA did not result in an approval and it is unclear what, if any, benefits this voucher may provide in the future.</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experienced scientists and to attract, retain, and motivate qualified personnel.</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political, trade or regulatory developments, unfavorable global economic conditions, and other circumstances beyond our control, could have a material adverse effect on our business, financial condition or results of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has been, and may continue to be, volatile.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increased costs and increased demands upon management as a result of complying with the laws and regulations affecting public companies.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section contains forward-looking statements. You should refer to the explanation of the qualifications and limitations on forward-looking statements beginning on page ii.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Except where the context otherwise requires or where otherwise indicated, the terms “Disc,” “we,” “us,” “our,” “our company,” “the company,” and “our business” refer to Disc Medicine, Inc. and its consolidated subsidiaries.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DISC-0974 for the treatment of anemia of myelofibrosis, or MF, and anemia of inflammatory bowel disease, or IBD; and DISC-3405 for the treatment of polycythemia vera, or PV, sickle cell disease, or SCD, and other hematologic disorders. In addition, our preclinical programs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Heme Biosynthesis: Bitopertin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resulting in skin hypersensitivity to sunlight and some types of artificial light.</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completed two Phase 2 clinical trials of bitopertin: BEACON, an open-label, parallel-dose clinical trial in EPP and XLP patients conducted at sites in Australia, and AURORA, a randomized, double-blind, placebo-controlled clinical trial in EPP patients conducted at sites in the United States. In both trials, bitopertin significantly reduced the toxic metabolite, protoporphyrin IX, or PPIX, and was associated with improvements in measures of time spent in sunlight and quality of life. In addition, bitopertin was generally well-tolerated. All participants in AURORA and BEACON were eligible to participate in HELIOS, an ongoing open-label, long-term extension study of bitopertin in EPP and XLP patients. Interim data from HELIOS, presented in June 2025, demonstrated that longer term treatment of bitopertin was associated with sustained reductions in PPIX, as well as improvements in quality of life and liver biomarkers. In our end-of-Phase 2 meeting in September 2024, the U.S. Food &amp; Drug Administration, or the FDA, agreed with the potential for reduction of PPIX to serve as a surrogate endpoint to support a potential accelerated approval of bitopertin in EPP and XLP. In our Type C meeting in December 2024, we aligned with the FDA on the design of APOLLO, a Phase 3, randomized, double-blind, placebo-controlled, clinical trial of bitopertin in EPP and XLP patients that in the setting of an accelerated approval would serve as a post-marketing confirmatory trial. We initiated the APOLLO trial in May 2025 and in September 2025 we submitted a New Drug Application, or NDA, for accelerated approval of bitopertin in EPP and XLP in the United States based on our existing data. In October 2025, we were awarded a Commissioner’s National Priority Voucher, or CNPV, from the FDA for bitopertin in EPP and XLP. The CNPV program, announced in June 2025, is designed to accelerate the development and review of certain drugs aligned with US national health priorities. The FDA accepted our NDA for review in November 2025 and in February 2026 issued a complete response letter, or CRL. Although the FDA agreed that clinical data from AURORA and BEACON provided sufficient evidence that bitopertin significantly lowers whole blood metal-free PPIX, the FDA concluded that the trials did not show evidence of association between percent change in PPIX and sunlight exposure-based endpoints as measured in the trials. As such, the FDA determined that there is uncertainty regarding whether bitopertin’s effect on PPIX is reasonably likely to predict clinical benefit, despite the strong mechanistic and biological plausibility supporting the use of the PPIX biomarker in protoporphyria. The FDA indicated that results of the ongoing APOLLO trial could serve as evidence to support a potential traditional approval, and we plan to request a Type A meeting to review our approach with the FDA. We expect to report topline data from APOLLO in the fourth quarter of 2026, following which we plan to submit a response to the CRL.</w:t>
      </w:r>
    </w:p>
    <w:p>
      <w:pPr>
        <w:spacing w:after="0" w:line="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APOLLO clinical trial is also intended to serve as a registrational trial with respect to any potential future marketing applications for bitopertin in EPP and XLP outside the United States. We continue to evaluate potential additional trials of bitopertin in other indications.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Iron Homeostasis: DISC-0974 and DISC-3405</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licensed from AbbVie Deutschland GmbH &amp; Co. KG, or AbbVie. DISC-0974 is designed to suppress hepcidin production and increase serum iron levels. We completed a Phase 1 clinical trial in healthy volunteers in the United States in June 2022, with results showing an acceptable tolerability profile and evidence of target engagement, iron mobilization and augmented erythropoiesis. We initiated a Phase 1b/2 clinical trial in June 2022 in patients with anemia of MF, with results from the Phase 1b portion of this clinical trial showing substantial and sustained reductions in hepcidin levels and increases in iron alongside strong hematologic responses across patient types and an acceptable tolerability profile. We initiated RALLY-MF, the open-label Phase 2 portion of this clinical trial, in December 2024 and reported initial data from this Phase 2 trial in December 2025, with results demonstrating meaningful overall anemia responses across all patient subgroups, regardless of baseline transfusion status and independent of concomitant Janus Kinase, or JAK, inhibitor therapy use. Topline data from this trial is expected in the second half of 2026, which, if positive, is expected to support discussions with regulatory agencies on the potential regulatory path for DISC-0974 in anemia of MF. We initiated a Phase 2 clinical trial of DISC-0974 in patients with IBD and anemia in the first quarter of 2026, and we are planning exploratory studies in additional patient populations with anemia of chronic disease. We are also developing a preclinical anti-hemojuvelin, or HJV, monoclonal antibody, DISC-0998, which also targets hepcidin suppression and was 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We initiated a Phase 1 clinical trial of DISC-3405 in healthy adult volunteers in October 2023 and presented interim data from the single-ascending dose, or SAD, portion of this clinical trial in June 2024. We presented data from the multiple ascending dose, or MAD, portion of this clinical trial in December 2024, and presented updated data from both the SAD and MAD portions of this clinical trial in June 2025, with results showing an acceptable tolerability profile and evidence of target engagement, including dose-related increases in serum hepcidin and corresponding reductions in serum iron across all dose levels. We are developing DISC-3405 for the treatment of PV, SCD, and other hematologic disorders. We initiated RESTORE-PV, an open-label Phase 2 clinical trial of DISC-3405 in patients with PV, in the first half of 2025, with initial data expected in the second half of 2026. We also initiated a Phase 1b, open-label clinical trial of DISC-3405 in patients with SCD in October 2025, with initial data expected in the second half of 2026, and plan to explore the role of therapeutic iron restriction in other indications.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goal is to continue to build and advance a portfolio of product candidates that focus on fundamental biological pathways associated with the formation and function of red blood cells. Red blood cells have the essential role of carrying oxygen via hemoglobin to all tissues and organs in the body. The biological processes that are required to maintain normal levels of functional red blood cells are complex, and a variety of congenital and acquired diseases occur due to imbalances or deficiencies in red blood cell formation and function. Two key components needed to support the formation and function of red blood cells are heme and iron. Heme is an essential part of red blood cells, and when complexed into the hemoglobin protein, it performs the vital function of transporting oxygen throughout the body. Iron is a key component of heme, and therefore both iron and heme are required for erythropoiesis, the biological process by which precursor cells in the bone marrow mature to become red blood cells. Based on results in animal models and preclinical and clinical data, we believe that our product candidate portfolio, by targeting fundamental pathways in red blood cell biology, has the potential to address a range of hematologic diseases in which modification of iron and heme plays a critical function.</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focused on therapeutic approaches that modulate heme and iron to address diseases of heme biosynthesis and red blood cell production, and we target therapeutic mechanisms that have been validated in humans, through evidence from either human genetics or third-party clinical trials. For example, our lead program, bitopertin, has been evaluated in over 4,000 individuals and demonstrated suppression of heme biosynthesis in multiple clinical trials conducted by Roche. The targets of our iron homeostasis portfolio, HJV and TMPRSS6, have both been genetically validated in humans and shown to have a role in the regulation of hepcidin and iron homeostasis. For example, individuals with inherited loss of the HJV gene exhibit low levels of hepcidin and individuals with inherited loss of the TMPRSS6 gene exhibit elevated levels of hepcidin.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focusing on fundamental red blood cell biology that is validated in humans, we believe that our product candidates are more likely to exhibit well-defined biological effects in clinical trials and have the potential for broad applicability across a wide range of hematologic diseases. Our current pipeline is focused on the following three approaches:</w:t>
      </w:r>
    </w:p>
    <w:p>
      <w:pPr>
        <w:spacing w:after="0" w:line="68" w:lineRule="exact"/>
        <w:rPr>
          <w:sz w:val="20"/>
          <w:szCs w:val="20"/>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Modulating the heme biosynthesis pathway, which is anticipated to be useful in diseases caused by excesses in toxic heme pathway metabolites, e.g., EPs;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iron availability to red blood cell precursors, which is anticipated to have direct effects on increasing red blood cell production to correct anemia in diseases of iron restriction, e.g., anemia associated with inflammatory diseases;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iron availability, which is anticipated to lower red blood cell production in diseases of excessive red cell production, e.g., PV.</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building an innovative pipeline of product candidates that aim to modify fundamental biological pathways associated with the formation and function of red blood cells. We have obtained exclusive, worldwide licenses for the development and commercialization of bitopertin, DISC-0974, and DISC-0998, and exclusive rights for DISC-3405 and related antibodies in all territories outside of Greater China and Southeast Asia.</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diagram below reflects the status of our clinical-stage product candidates, bitopertin, DISC-0974 and DISC-3405, and related clinical trials, and our preclinical product candidate, DISC-0998. The timelines shown reflect our current expectations and beliefs based on our internal plans and regulatory interactions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54610</wp:posOffset>
            </wp:positionV>
            <wp:extent cx="5966460" cy="2682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646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also plan to develop bitopertin, DISC-0974 and DISC-3405 for other indications. For example, we are exploring the potential of bitopertin as a treatment for Diamond-Blackfan Anemia, or DBA, and other porphyrias.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mission is to significantly improve the lives of patients suffering from hematologic diseases by developing differentiated product candidates designed to target fundamental pathways associated with the formation and function of red blood cells. To achieve our mission, we are pursuing increasingly large market opportunities as we grow and scale by focusing on the following key elements of our strategy:</w:t>
      </w:r>
    </w:p>
    <w:p>
      <w:pPr>
        <w:spacing w:after="0" w:line="64" w:lineRule="exact"/>
        <w:rPr>
          <w:sz w:val="20"/>
          <w:szCs w:val="20"/>
          <w:color w:val="auto"/>
        </w:rPr>
      </w:pPr>
    </w:p>
    <w:p>
      <w:pPr>
        <w:jc w:val="both"/>
        <w:ind w:left="760" w:hanging="378"/>
        <w:spacing w:after="0" w:line="253"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Obtain regulatory approval and successfully commercialize bitopertin for the treatment of patients with EPP, a well-defined rare disease with high unmet need. </w:t>
      </w:r>
      <w:r>
        <w:rPr>
          <w:rFonts w:ascii="Times New Roman" w:cs="Times New Roman" w:eastAsia="Times New Roman" w:hAnsi="Times New Roman"/>
          <w:sz w:val="18"/>
          <w:szCs w:val="18"/>
          <w:color w:val="auto"/>
        </w:rPr>
        <w:t>Based on our analyses of medical claims data, there are approximately 14,000 diagnosed EPP patients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and while the incidence of XLP is unknown, it is often estimated at one-tenth the incidence of EPP. There are currently no other disease-modifying therapies available to treat EPs such as EPP except bone marrow transplantation, which is associated with high rates of morbidity and mortality. The only other class of approved therapies for patients with EP are melanocortin 1 receptor agonists, which are designed to promote melanin production, or tanning, and thereby increase patient tolerance to sunlight. Based on the clinical data generated by Roche in multiple clinical trials in other indications, the compelling preclinical data we have generated, and the results of our BEACON and AURORA Phase 2 clinical trials, we believe bitopertin has the potential to be a disease-modifying treatment for these patients. In the CRL issued by the FDA in February 2026 in response to our NDA for accelerated approval of bitopertin in EPP and XLP, the FDA indicated that results from our ongoing Phase 3 APOLLO clinical trial of bitopertin in EPP and XLP patients could serve as evidence to support a potential traditional approval. We plan to request a Type A meeting to review our approach with the FDA, and we expect to report topline data from APOLLO in the fourth quarter of 2026, following which we plan to submit a response to the CRL.</w:t>
      </w:r>
    </w:p>
    <w:p>
      <w:pPr>
        <w:spacing w:after="0" w:line="81"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 a franchise in myeloproliferative neoplasms, or MPNs, with significant unmet need by advancing the development of DISC-0974 and DISC-3405 for the treatment of anemia of MF and PV, respectively. </w:t>
      </w:r>
      <w:r>
        <w:rPr>
          <w:rFonts w:ascii="Times New Roman" w:cs="Times New Roman" w:eastAsia="Times New Roman" w:hAnsi="Times New Roman"/>
          <w:sz w:val="18"/>
          <w:szCs w:val="18"/>
          <w:color w:val="auto"/>
        </w:rPr>
        <w:t>We are initially developing our lead hepcidin-suppressing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DISC-0974, for the treatment of anemia associated with MF, a rare,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jc w:val="both"/>
        <w:ind w:left="760"/>
        <w:spacing w:after="0" w:line="252" w:lineRule="auto"/>
        <w:rPr>
          <w:sz w:val="20"/>
          <w:szCs w:val="20"/>
          <w:color w:val="auto"/>
        </w:rPr>
      </w:pPr>
      <w:r>
        <w:rPr>
          <w:rFonts w:ascii="Times New Roman" w:cs="Times New Roman" w:eastAsia="Times New Roman" w:hAnsi="Times New Roman"/>
          <w:sz w:val="18"/>
          <w:szCs w:val="18"/>
          <w:color w:val="auto"/>
        </w:rPr>
        <w:t>chronic blood cancer that currently affects an estimated 25,000 patients in the United States. At diagnosis, approximately 87% of patients with MF have anemia, which progressively worsens over time and ultimately renders the majority of patients dependent on chronic red blood cell transfusions. DISC-0974 is currently being evaluated in RALLY-MF, an open-label Phase 2 clinical trial in patients with anemia of MF. We reported initial data from this trial in December 2025, with results demonstrating meaningful overall anemia responses across all patient subgroups, regardless of baseline transfusion status and independent of concomitant JAK inhibitor therapy use. DISC-0974 was also generally well-tolerated. Topline data from this trial is expected in the second half of 2026, which, if positive, is expected to support discussions with regulatory agencies on the potential regulatory path for DISC-0974 in anemia of MF. The second program in our iron homeostasis portfolio is DISC-3405, which is designed to induce hepcidin production and which we are initially developing for the treatment of PV. PV is a chronic and rare MPN characterized by the overproduction of red blood cells and increased red cell mass that affects approximately 150,000 patients in the United States. In clinical trials conducted by third parties, iron restriction through a hepcidin mechanism resulted in disease control in patients with PV, and in our Phase 1 clinical trial of DISC-3405 in healthy adult volunteers, results showed an acceptable tolerability profile and evidence of target engagement, including dose-related increases in serum hepcidin and corresponding reductions in serum iron across all dose levels. We are currently studying DISC-3405 in RESTORE-PV, an open-label Phase 2 clinical trial of DISC-3405 in patients with PV, from which we expect initial data in the second half of 2026 and topline data in 2027.</w:t>
      </w:r>
    </w:p>
    <w:p>
      <w:pPr>
        <w:spacing w:after="0" w:line="85" w:lineRule="exact"/>
        <w:rPr>
          <w:sz w:val="20"/>
          <w:szCs w:val="20"/>
          <w:color w:val="auto"/>
        </w:rPr>
      </w:pPr>
    </w:p>
    <w:p>
      <w:pPr>
        <w:jc w:val="both"/>
        <w:ind w:left="760" w:hanging="378"/>
        <w:spacing w:after="0" w:line="25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our existing portfolio into a broad range of new indications, including SCD and anemias of inflammation. </w:t>
      </w:r>
      <w:r>
        <w:rPr>
          <w:rFonts w:ascii="Times New Roman" w:cs="Times New Roman" w:eastAsia="Times New Roman" w:hAnsi="Times New Roman"/>
          <w:sz w:val="18"/>
          <w:szCs w:val="18"/>
          <w:color w:val="auto"/>
        </w:rPr>
        <w:t>Though we have yet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 complete clinical data for each of our product candidates, we believe that all of our current product candidates could have pipeline-in-a-product potential, and for each product candidate, we plan to explore its potential across multiple hematologic diseases. With respect to DISC-3405, we initiated a Phase 1b, open-label clinical trial in patients with SCD in October 2025, with initial data expected in the second half of 2026, and plan to explore the role of therapeutic iron restriction in other indications. With respect to DISC-0974, we initiated a Phase 2 clinical trial in patients with IBD and anemia in the first quarter of 2026, and we are planning exploratory studies in additional patient populations with anemia of chronic disease.</w:t>
      </w:r>
    </w:p>
    <w:p>
      <w:pPr>
        <w:spacing w:after="0" w:line="74"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build our pipeline through internal research or business development. </w:t>
      </w:r>
      <w:r>
        <w:rPr>
          <w:rFonts w:ascii="Times New Roman" w:cs="Times New Roman" w:eastAsia="Times New Roman" w:hAnsi="Times New Roman"/>
          <w:sz w:val="18"/>
          <w:szCs w:val="18"/>
          <w:color w:val="auto"/>
        </w:rPr>
        <w:t>We plan to leverage our expertise in hematology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grow our pipeline through both internal discovery and development of new therapeutic candidates and in-licensing of external assets. This approach includes developing both next-generation programs to support our existing heme biosynthesis and iron homeostasis portfolios as well as molecules that target other pathways associated with red blood cells that may be of strategic and biological interest. For example, we are developing DISC-0998, a preclinical monoclonal antibody, as a next generation product candidate against HJV, the same target as DISC-0974. We believe DISC-0998 has improved pharmacokinetic, or PK, and pharmacodynamic, or PD, properties that may benefit certain subsets of patients with anemia associated with inflammatory diseases.</w:t>
      </w:r>
    </w:p>
    <w:p>
      <w:pPr>
        <w:spacing w:after="0" w:line="74"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Opportunistically evaluate strategic collaborations to maximize the value of our product candidates and preclinical programs.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obtained exclusive, worldwide licenses for the development and commercialization of bitopertin, DISC-0974, and DISC-0998, and exclusive rights for DISC-3405 and related antibodies in all territories outside of Greater China and Southeast Asia. As we advance the development of our product candidates and preclinical programs across multiple indications and continue to generate additional data, we intend to continuously evaluate our options for maximizing the value of our overall portfolio. For example, in certain geographies, we may opportunistically enter into strategic collaborations to accelerate the development and maximize the commercial potential of any or all of our product candidates or preclinical programs. For each product candidate, preclinical program, indication, and geographic region, our goal is to find the best path forward for the development of our product candidates and preclinical programs in order to treat patients in need of new therapies, while also maximizing value for our stockholders.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History and Team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founded in 2017 with the mission to design, develop, and commercialize medicines for patients with hematologic diseases. Since inception, we have focused on building our pipeline of product candidates through both internal drug discovery activities and external business development, conducting preclinical studies and clinical trials, preparing for the potential commercialization of bitopertin, if approved, and establishing and maintaining our intellectual property portfolio.</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assembled a management team with extensive experience in successfully developing, manufacturing, and commercializing transformative therapies as well as in business development and alliance management. Collectively, our team led, or was involved in, the development, regulatory approval, and commercialization of therapies for hematologic diseases, such as Idhifa, Reblozyl, Pyrukynd, Adynovate, Tibsovo, Casgevy, and Roxadustat, as well as numerous late-stage clinical and approved therapies for other therapeutic areas. Our team has significant previous experience at leading biotechnology and pharmaceutical companies, including Acceleron Pharma, Inc., Agios Pharmaceuticals, Inc., Albireo Pharma, Inc., Bristol-Myers Squibb Company, CRISPR Therapeutics AG, FibroGen, Inc., Genzyme Corporation, Johnson &amp; Johnson, Merck &amp; Co., Inc., Pfizer Inc., Replimune Group Inc., Takeda Pharmaceutical Co., Vertex Pharmaceuticals Incorporated, and The Medicines Company. Our management team’s wide-ranging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expertise in rare diseases, hematology, medicinal chemistry, protein biochemistry, and clinical development provide a singular vision for building a company focused on fundamental mechanisms to develop treatments for patients with hematologic diseases.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Heme Biosynthesis Modulation Portfolio</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first therapeutic approach is focused on the treatment of diseases caused by defects in heme biosynthesis, a multistep enzymatic process that is critical for the formation of new red blood cells. Heme is an essential part of red blood cells, and when complexed into the hemoglobin protein, it performs the vital function of transporting oxygen throughout the body. However, genetic or acquired defects in the enzymes that mediate heme biosynthesis, as well as deficiencies in the incorporation of heme into hemoglobin, can result in the accumulation of toxic metabolites, leading to a range of hematologic diseases.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Heme Biosynthesis: Fundamental to Erythropoiesis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Erythropoiesis is the biological process by which precursor cells in the bone marrow mature to become red blood cells. The primary function of red blood cells is to transport oxygen throughout the body. Hemoglobin, an iron-containing protein found in all red blood cells, is responsible for binding to oxygen in the lungs, transporting it throughout the body and releasing it in peripheral tissues. The key oxygen binding function of hemoglobin is mediated by its heme component, a molecular complex comprising a porphyrin molecule and iron. Because red blood cells consist largely of heme-containing hemoglobin, newly forming red blood cells must synthesize tremendous amounts of heme. Heme biosynthesis is a complex process that begins with the amino acid glycine and requires multiple subsequent enzymatic reactions, as shown in the figure below. Heme is a highly reactive and potentially toxic complex, as are many of the porphyrin molecules that are generated as metabolic intermediates during heme biosynthesis. As a result, heme biosynthesis is tightly regulated to avoid a build-up of free heme or porphyrins. As new red blood cells are forming in the bone marrow, the heme biosynthesis pathway is tightly coordinated with the expression of the protein subunits of hemoglobin, the globins, and the uptake of iron. The vast majority of newly synthesized heme is incorporated into hemoglobin and does not accumulate in free form to toxic levels. Moreover, the entire process of erythropoiesis is regulated by the availability of heme. As a result, agents that affect heme biosynthesis have broad potential to treat diseases of the heme and hemoglobin biosynthesis pathways and other hematologic diseases resulting from dysregulated erythropoiesis.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 of the Heme Biosynthesis Process - Eight Enzymatic Steps from Glycine to 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173990</wp:posOffset>
            </wp:positionV>
            <wp:extent cx="4594860" cy="1731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9486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Heme Biosynthesis as a Therapeutic Target for Diseases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many hematologic diseases, there is abnormal proliferation and differentiation of the progenitor cells that develop into red blood cells. An alteration in any aspect of red blood cell maturation can result in the build-up of metabolic intermediates from heme and hemoglobin biosynthesis, and these intermediates can cause a variety of disease states. Defects of the heme biosynthesis enzymes in the erythroid lineage can cause the build-up of metabolic intermediates called porphyrins and lead to a set of diseases referred to as EPs. In EPs, porphyrins accumulate to inappropriately high levels and cause damage, particularly in the skin, gallbladder, and liver. Similarly, defects in globin biosynthesis, often caused by mutations in the ribosomes that are necessary for mediating globin biosynthesis, result in the build-up of heme that is not complexed with globin. This free heme can damage newly forming red blood cells, leading to forms of anemia observed in DBA and in certain types of myelodysplastic syndromes, or MDS. In diseases characterized by defects in the genes coding for the globins, such as sickle cell disease and beta thalassemia, the reduction of heme biosynthesis has the potential to reduce the production of pathologically altered globins that aggregate or polymerize, causing oxidative damage and hemolysis. In people without globin abnormalities, excessive production of red blood cells with normal hemoglobin can cause PV, in which the higher hematocrit can lead to thrombotic disease, including stroke. Restricting heme formation has the potential to ameliorate symptoms in certain patients with these hemoglobinopathies and disorders of red blood cell excess. Therefore, we believe that inhibitors of heme biosynthesis have the potential to treat a wide range of hematologic diseases by restricting the production of damaging metabolites, including porphyrins, heme and globins.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Erythropoietic Porphyrias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EPs are a family of rare, debilitating, and potentially life-threatening diseases caused by mutations that affect the heme biosynthesis pathway. These mutations result in the toxic accumulation of metabolic intermediates in the blood called porphyrins, which can absorb light through the skin and mediate the generation of toxic reactive oxygen species that cause damage to the skin and other tissues. Consequently, when patients with porphyria are exposed to sunlight, they experience excruciating pain, blistering, and edema in the skin. This severe phototoxicity often results in a lifelong aversion to and fear of light, which has a negative impact on patients and their families, particularly for young children. These effects include impaired psychosocial development and conditions, such as anxiety, depression, and social isolation that may require significant adjustments to career and other life choices. EPs comprise three subtypes that are each linked to a specific mutation or deficiency in one of the enzymes in the heme biosynthesis pathway: (1) EPP, which is linked to the ferrochelatase, or FECH, enzyme; (2) XLP, which is linked to the delta-aminolevulinic acid synthase-2, or ALAS2, enzyme; and (3) congenital erythropoietic porphyria, or CEP, which is linked to the uroporphyrinogen III cosynthase, or UROS, enzyme. As shown below, mutations in the FECH and ALAS2 enzymes lead to a pathological accumulation of PPIX, and as a result, patients with EPP or XLP typically have high levels of PPIX.</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Genetic and Biochemical Basis for EPP and XLP: FECH and ALAS2 Mutations Increase PPIX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182880</wp:posOffset>
            </wp:positionV>
            <wp:extent cx="2880360" cy="2528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8036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EPP is a rare, inherited metabolic disease characterized by a deficiency of the FECH enzyme. FECH is responsible for the last step in heme biosynthesis and catalyzes the insertion of iron into PPIX to create the final heme moiety. In patients with EPP who have abnormally low levels of FECH, excessive amounts of PPIX accumulate in the bone marrow, blood plasma, and red blood cells. This accumulation of PPIX, which becomes highly reactive and toxic when exposed to light, causes the hallmark EPP symptom of photosensitivity, or skin hypersensitivity to sunlight and some types of artificial light, such as fluorescent lights. After exposure to light, the patient’s skin may initially become itchy and red, and then affected individuals often experience a severe burning sensation that may persist for days. PPIX also accumulates in the gallbladder and liver and causes complications in these organs for some patients. An estimated 25% of patients may develop gallstones that require surgical removal. Many patients live with subclinical liver damage, which progresses to overt liver failure and requires liver transplant in approximately 2% to 5% of patients. The onset of symptoms affecting the skin usually occurs in early childhood; however, in some cases, onset may not occur until adolescence or adulthood. EPP has been reported worldwide, with prevalence between 1 in 75,000 to 1 in 200,000, but a recent genetic study suggests that the genetic prevalence may be higher at approximately 1 in 17,000. Recent analyses we completed of medical claims data using the ICD-10 code for EPP suggests there are approximately 14,000 diagnosed patients in the U.S.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XLP is a genetically distinct inherited metabolic disease with a clinical presentation that is similar to EPP. The causative mutation in XLP occurs in the ALAS2 gene, which codes for the first enzyme in the heme biosynthesis pathway that is found on the X chromosome and inherited with an X-linked pattern. The mutation causes increased ALAS2 function, which results in pathologic accumulation of PPIX. XLP affects both males and females, but males usually develop a severe form of the disease. Females with an ALAS2 mutation may also develop the disease, but severity can range from being asymptomatic to a severe form. Similar to EPP, the major symptom of this disease is skin hypersensitivity to sunlight and some types of artificial light. The exact incidence or prevalence of XLP is unknown, but it is often estimated at one-tenth the incidence of EPP. EPP and XLP, when combined, are the third most common porphyria.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CEP, also known as Günther Disease, is the rarest and most severe form of the EPs and results from the deficient function in UROS, the fourth enzyme in the heme biosynthesis pathway. In CEP, the impaired function of this enzyme leads to the accumulation of excessive amounts of certain porphyrins, particularly in the bone marrow, plasma, red blood cells, urine, teeth, and bones. Similar to EPP and XLP, the major symptom of this disease is skin hypersensitivity to sunlight and some types of artificial light. However, in patients with CEP, the photoactivated porphyrins in the skin cause more profound blistering and scarring. Additionally, the accumulation of porphyrins in the bone impairs bone metabolism and can cause bone loss and deformities. CEP is extremely rare and there have been about 220 affected individuals reported to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Treatment Options for Erythropoietic Porphyrias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currently no disease-modifying therapies available to treat EPs other than bone marrow transplantation, which is associated with high rates of morbidity and mortality. Lifestyle alterations to avoid light exposure are the primary approach to managing phototoxicity in EP patients. Sunscreens, tinted windows, and protective clothing are also commonly used in addition to behavioral modifications. The only class of approved therapies for patients with EP are melanocortin 1 receptor agonists, which are designed to promote melanin production, or tanning, and thereby increase patient tolerance to sunlight. Afamelanotide, an a-melanocyte-stimulating hormone analog delivered by a surgically-administered subcutaneous implant, was approved by the FDA in 2019 for the treatment of adults with EPP. Afamelanotide provides reduction in photosensitivity, but is not designed to reduce PPIX production and is associated with side effects, such as nausea, hyperpigmentation and a darkening of or increase in melanocytic nevi. In a pivotal trial, afamelanotide increased the median number of pain free hours in daytime (10am to 6pm) over 180 days from 40.5 hours in a placebo group to 64.1 hours in the treatment group. Another melanocortin 1 receptor agonist, dersimelagon, which is orally administered, recently completed a Phase 3 clinical trial run by a third party. Overall, there remains a significant unmet need despite the use of melanocortin 1 receptor agonists, as they provide incomplete resolution of photosensitivity and more importantly, are not designed to reduce the production of protoporphyrins or address hepatobiliary complications, such as gallstones and progressive liver disease.</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Patients with EP who have progressive liver damage are managed through periodic monitoring, and in cases of liver failure, transplantation is required. While bone marrow transplantation has been used to cure EPs, it is associated with high rates of morbidity and mortality. Therefore, this procedure is usually considered only for younger patients after a liver transplant, for older patients with recurrent disease affecting the liver allograft, or for patients with progressive liver disease.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Between PPIX Levels and EPP/XLP Symptoms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EPP and XLP are diseases marked by severe photosensitivity and damage to the hepatobiliary system caused by the accumulation of PPIX. PPIX has been well-characterized to absorb light and induce inflammation and tissue damage, manifesting clinically as painful phototoxic reactions. Lower levels of PPIX are associated with lower disease severity. Epidemiologic data correlate increasing PPIX concentrations with decreased light tolerance, and interventions that reduce PPIX in patients correlate directly with increased light tolerance. Lower PPIX levels (by roughly 30-50%) increased light tolerance in patients. 25% of patients with lower PPIX levels experienced symptoms versus 75-100% of patients with medium to high PPIX levels under controlled light exposure. During pregnancy, women with EPP experience temporary disease remissions that increase sunlight tolerance and coincide with a reduction in PPIX levels. For example, in a study conducted by a third-party, pregnant women were observed to have a median reduction of 53% in PPIX levels during pregnancy, resulting in a significant reduction in their EPP symptoms. Disease symptoms return after delivery when PPIX levels revert to pre-pregnancy levels, leading to the hypothesis that the fetus may utilize plasma PPIX as a substrate for its own escalating heme biosynthesis requirements, thus reducing PPIX levels in the mother’s bloodstream. In a third-party study of extracorporeal photoinactivation, a process that reduces circulating PPIX levels, symptoms were markedly improved after reduction in blood PPIX concentrations. In this study, blood was removed from the body and illuminated with controlled wavelength light to inactivate PPIX, and the blood in which the PPIX was inactivated was re-infused. This procedure resulted in PPIX reductions of approximately 30% and light tolerance was temporarily increased 14-fold, a level of improvement that is expected to permit near-normal patient lifestyle. However, given the technical complexities associated with this procedure, it has not been widely adopted as a therapeutic option in patients.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 Bitopertin, an Oral, Selective GlyT1 Inhibitor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Bitopertin is designed to be an oral, selective inhibitor of GlyT1, a key membrane transporter required to supply developing red blood cells with sufficient glycine to support erythropoiesis. By limiting glycine uptake at the first step in heme biosynthesis in newly forming red blood cells, bitopertin is designed to reduce the activity of this pathway and therefore has the potential to treat a range of hematologic disorders associated with the biosynthesis of heme and hemoglobin that are characterized by porphyrin toxicity or heme toxicity.</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are initially focused on the ability of bitopertin to suppress the accumulation of PPIX. Based on its mechanism of action, we believe bitopertin has the potential to be a disease-modifying treatment for EPP and XLP.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2376805</wp:posOffset>
            </wp:positionH>
            <wp:positionV relativeFrom="page">
              <wp:posOffset>706120</wp:posOffset>
            </wp:positionV>
            <wp:extent cx="2794635" cy="1877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794635"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believe that the findings from our preclinical studies, our clinical trials, and the clinical trials conducted by Roche demonstrate that bitopertin has the potential to act as a durable, and well-tolerated inhibitor of heme biosynthesis in humans. Importantly, we believe these studies support the potential for bitopertin to reduce PPIX to a degree that has, in third-party studies, been associated with marked symptom improvement in patients with EPP and XLP.</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Roche Clinical Data</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2021, we licensed exclusive worldwide rights to develop and commercialize bitopertin from Roche. Roche had previously developed bitopertin as a potential therapy for certain symptoms of schizophrenia and obsessive-compulsive disorder, but chose to discontinue the program due to failure to meet primary endpoints in Phase 3 trials for the lead indication after completing over 30 clinical trials in more than 4,000 individuals. Roche conducted a pilot study for the treatment of anemia in 12 patients with beta-thalassemia, a population with a normal heme biosynthesis pathway; this trial did not show consistent increases in hemoglobin at the doses tested. Despite the observed lack of efficacy, the clinical program established a well-defined and generally well-tolerated profile for bitopertin. Importantly, these trials confirmed that bitopertin inhibits glycine uptake in red blood cells and demonstrated the role of GlyT1 inhibition in heme biosynthesis during red blood cell production. A mild, dose-dependent decrease in heme biosynthesis was observed in multiple clinical trials, which manifested as a decrease in hemoglobin of approximately 0.5 to 2 g/dL that stabilized after approximately 16 weeks, the approximate lifespan of a red blood cell.</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example, a single dose clinical trial in healthy volunteers evaluating bitopertin at doses ranging from 3 mg to 80 mg administered once-daily in 24 individuals demonstrated dose-dependent inhibition of erythrocyte glycine uptake levels, as shown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Bitopertin Inhibited Erythrocyte Glycine Uptake in Humans in a Dose-Dependent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156845</wp:posOffset>
            </wp:positionV>
            <wp:extent cx="5006340" cy="1885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0634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multiple Phase 3 clinical trials, Roche demonstrated that in patients with schizophrenia who are otherwise hematologically normal, inhibition of glycine uptake resulted in a reduction in hemoglobin production. Patients were administered placebo or bitopertin at 10 mg/day or 20 mg/day dose levels. The effect on hemoglobin was dose-dependent, with patients receiving 10 mg/day and 20 mg/day of bitopertin experiencing a mean decrease in hemoglobin at 52 weeks of approximately 0.5 g/dL and approximately 1.0 g/dL, respectively. The effect of bitopertin on hemoglobin reached a plateau at approximately week 26 and effects were generally stable for the remainder of the 52-week trial.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jc w:val="both"/>
        <w:spacing w:after="0" w:line="253" w:lineRule="auto"/>
        <w:rPr>
          <w:sz w:val="20"/>
          <w:szCs w:val="20"/>
          <w:color w:val="auto"/>
        </w:rPr>
      </w:pPr>
      <w:r>
        <w:rPr>
          <w:rFonts w:ascii="Times New Roman" w:cs="Times New Roman" w:eastAsia="Times New Roman" w:hAnsi="Times New Roman"/>
          <w:sz w:val="18"/>
          <w:szCs w:val="18"/>
          <w:color w:val="auto"/>
        </w:rPr>
        <w:t>The comprehensive data package from Roche’s healthy volunteer trials provides further support for bitopertin's tolerability profile. The identified risks established by Roche across the development program are (percentage bitopertin treated vs. percentage placebo treated): headache (9.8% vs. 6.7%), somnolence (5.2% vs. 3.7%), and dizziness (4.2% vs. 3.6%). The results of single dose bitopertin clinical trials in healthy volunteers at doses ranging from 3 mg to 240 mg (n=290) and multiple dose trials at doses ranging from 10 mg to 180 mg daily for 10 to 120 days (n&gt; 360) did not demonstrate any significant tolerability issues. In one multiple ascending dose trial, reversible blurred vision was observed in 5 subjects (20%) at or above the 80 mg/day dose level. In a four-month pharmacodynamics study, 11.8% of subjects receiving an active dose noted dysphoria/low mood (mostly at 30 mg/day), as compared to 6.3% of placebo, and dermatological adverse events on hands and feet were observed in 15.7% of subjects (mostly at 60 mg/day). In Phase 3 studies, no association with bitopertin was found for dermatological adverse events or adverse events of blurred vision or low mood. The amount of hemoglobin per red blood cell or per reticulocyte decreased in a dose-dependent manner. No hematologic parameter reached a level at which we would expect clinical signs or symptoms. Roche’s Phase 3 program in schizophrenia consisted of six Phase 3 clinical trials (n=2,438) of 5 mg, 10 mg, and 20 mg doses of bitopertin for up to 52 weeks, followed by extension phases. In these trials, bitopertin treatment was not associated with any significant tolerability issues. Most of the adverse events were considered mild or moderate in severity in these trials.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BEACON: Completed Phase 2 Clinical Trial in Patients with EPP and XLP</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2022, we initiated BEACON, a Phase 2 clinical trial of bitopertin in EPP and XLP patients conducted at sites in Australia. The study was a randomized, open-label, parallel-dose clinical trial designed to evaluate the safety, tolerability, and efficacy of bitopertin. It enrolled 22 adult patients and four adolescent patients with EPP or XLP. The study primarily assessed changes in levels of PPIX as well as the PK profile, safety and tolerability of bitopertin in EPP or XLP patients. It also included measures of photosensitivity, daylight tolerance, pain and exploratory biomarkers of hepatobiliary disease. Patients received orally-administered bitopertin for 24 weeks at doses of either 20 mg once-daily or 60 mg once-daily. These dose levels have a well-understood profile and similar dosage strengths have been shown to provide substantial inhibition of erythroid glycine uptake in the clinical trials conducted by Roche. The trial design is summarized in the figure below. Participants in the BEACON trial were eligible to participate in HELIOS, an ongoing open-label, long-term extension study of bitopertin in EPP and XLP.</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BEACON Trial Design: Open-Label, Phase 2 Clinical Trial of Bitopertin in Patients with EPP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XLP (N = 22 adults, N = 4 adolescents)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1482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Interim data from BEACON were presented at the European Hematology Association, or EHA, annual meeting in June 2023 and at the American Society of Hematology, or ASH, annual meeting in December 2023. Additional analyses were presented at the EHA annual meeting in June 2024 and at the ASH annual meeting in December 2024. Twenty-one of the 22 enrolled adults and three of the four enrolled adolescents completed the study. The average age of the adult participants was 44 years, with 64% being female. Bitopertin significantly reduced PPIX in both the adult and adolescent populations, with reductions of whole blood metal-free PPIX of &gt;40% compared to baseline in the overall adult study population, and with greater reductions in the 60 mg group than the 20 mg group. Most of the PPIX reduction occurred in the first 6 weeks of treatment. Overall, there was a 92% reduction in the incidence of patient-reported full phototoxic reactions compared to baseline. The proportion of symptom-free days improved from 33% at baseline to 79% while taking bitopertin. Sunlight tolerance improved in a series of sunlight challenges that participants self-administered weekly, according to the protocol. People with EPP experience prodromes, or early warning symptoms, of an impending full phototoxic reaction. These prodromes are reversible when sunlight exposure is discontinued, and the time until a prodrome starts is an indicator of light tolerance. Combining data from all adult participants showed a &gt;3-fold improvement in average time to prodrome, as compared to baseline (p&lt;0.01). The proportion of adult participants who conducted a sunlight challenge that did not elicit a prodrome increased from 7% at baseline to 55% while taking bitopertin. Of the adult participants that completed at least 4 months of treatment (n=21), nearly all reported improvements in quality of life measures, with 20 of 21 reporting that their EPP was “much better” or “a little better”, 19 of 21 reporting that their EPP was “not at all” or “mild” in severity, and 18 of 21 reporting that EPP impacted their quality of life in the last 7 days “not at all” or “a little bit”.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BEACON: Primary Endpoint – Percent Change in Whole Blood PPIX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156845</wp:posOffset>
            </wp:positionV>
            <wp:extent cx="5966460" cy="1731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646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Associations between PPIX Reductions and Light Tolerance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156845</wp:posOffset>
            </wp:positionV>
            <wp:extent cx="3557270" cy="18770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727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Safety analyses showed no serious adverse events, stable hemoglobin levels, and no anemia adverse events reported. There was one discontinuation due to an adverse event that was assessed as probably related to bitopertin treatment: a Grade 3 headache in an adult participant. Overall, 65% of participants reported dizziness, 15% of participants reported headache, and 12% of participants reported nausea.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AURORA: Completed Phase 2 Clinical Trial in Patients with EPP</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Separately, in October 2022 we initiated AURORA, a Phase 2, randomized, double-blind, placebo-controlled, parallel dosing trial in 75 adult patients with EPP conducted at sites in the United States. We enrolled patients into a placebo group (n=24), a 20 mg/day dose group (n=26) and a 60 mg/day dose group (n=25), with bitopertin delivered as tablets taken orally once per day for a period of 17 weeks. These dose levels have a well-understood profile and similar dosage strengths have been shown to provide substantial inhibition of erythroid glycine uptake based on the clinical trials conducted by Roche. This trial included assessments of blood PPIX levels, with a primary endpoint of percent change in whole blood metal-free PPIX, and patient photosensitivity, including a secondary endpoint of cumulative total time in sunlight between 10:00 a.m. and 6:00 p.m. on days without pain observed over the four-month treatment period. The FDA has previously approved afamelanotide for the treatment of photosensitivity in adult EPP patients on the basis of a clinical endpoint measuring a change in pain-free time spent in sunlight in treated patients, relative to patients treated with placebo. Additional study measures included time to prodrome, hepatobiliary markers, quality of life, safety and tolerability, among others. The trial design is summarized in the figure below. Participants in the AURORA trial were eligible to participate in HELIOS, an ongoing open-label, long-term extension study of bitopertin in EPP and XLP.</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Trial Design: Randomized, Double-Blind, Placebo-Controlled Phase 2 Clinical Trial of Bitopertin in Patients with EPP (N = 75)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1450975</wp:posOffset>
            </wp:positionH>
            <wp:positionV relativeFrom="page">
              <wp:posOffset>749300</wp:posOffset>
            </wp:positionV>
            <wp:extent cx="4646295" cy="13627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4646295"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presented topline data from AURORA in April 2024. Additional analyses were presented at the EHA annual meeting in June 2024 and at the ASH annual meeting in December 2024. Seventy-two of the 75 participants completed the study. With respect to the primary endpoint, bitopertin resulted in significant, dose-dependent, and sustained reductions in whole blood PPIX levels compared to baseline (-21.5% for 20 mg (p=0.004 vs placebo) and -41.7% for 60 mg (p&lt;0.001 vs placebo); the placebo group had mean increases of +8.1%). As in BEACON, most of the PPIX reduction occurred in the first 6 weeks of treatment. With respect to clinical efficacy endpoints, there were substantial and dose-dependent reductions in phototoxic reactions with pain during the four-month study period, consisting of a 75% reduction in the incidence rate of new phototoxic reactions with pain at the 60 mg dose group compared to placebo (p=0.011), and a 60% reduction in the 20 mg dose group compared to placebo (p=0.109). Fewer bitopertin-treated patients reported a phototoxic event compared to placebo (19% for 20 mg and 12% for 60 mg compared to 46% for placebo). There were also dose-dependent improvements in quality-of-life scores as measured by the Patient Global Impression of Change, or PGIC, scale, which were statistically significant for the 60 mg dose: 77% of completers at 20 mg and 86% at 60 mg (p=0.022 vs placebo) reported that their EPP was “much better” compared with 50% for placebo. With respect to cumulative total time in sunlight on days without pain, bitopertin-treated patients recorded a mean of 175.1 hours at 20 mg and 153.1 hours at 60 mg, compared with 133.9 hours for placebo. While the magnitude of the improvement in the bitopertin-treated patients from baseline was comparable to that observed in the BEACON study, the benefit in the placebo arm in the AURORA trial was greater than expected and the results were not statistically significant compared to placebo. In addition, there were large improvements in light tolerance from baseline in 20 mg and 60 mg bitopertin treatment groups as measured by time to prodrome, but the results were not statistically significant relative to placebo. However, a post-hoc longitudinal analysis showed time-dependent improvement in light tolerance that was nominally significant compared to placebo in both the 20 mg (p=0.026) and 60 mg (p=0.013) dose groups, and a two-fold improvement in light tolerance relative to baseline in both 20 mg and 60 mg dose groups. Greater PPIX reductions were associated with improvements in multiple light tolerance measures, including cumulative total time in light, average time in sunlight without pain, change from baseline in time to prodrome, as well as PGIC, and evaluation of the time course of phototoxic reactions and sunlight exposure showed greater treatment effect in the time period after the PPIX nadir was reached, including elimination of observed phototoxic reactions in the 60 mg dose group.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AURORA: Primary Endpoint – Percent Change in Whole Blood PPIX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156845</wp:posOffset>
            </wp:positionV>
            <wp:extent cx="3634740" cy="17405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34740" cy="174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Association between PPIX Change and Clinical Measures with Bitopertin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156845</wp:posOffset>
            </wp:positionV>
            <wp:extent cx="3771900" cy="18516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71900" cy="185166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2419985</wp:posOffset>
            </wp:positionV>
            <wp:extent cx="3625850" cy="20231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2585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Bitopertin was generally well tolerated in both dose groups with no serious adverse events and stable hemoglobin levels. Two patients discontinued treatment due to treatment-emergent adverse events, both in the 60 mg dose group and both of which were assessed as possibly related to bitopertin: one due to dizziness and one due to a skin rash. The most common adverse event reported with bitopertin treatment was dizziness: n=4 in the 20 mg dose group and n=11 in the 60 mg dose group, compared with n=3 in the placebo group (median durations of 8.5, 5.0, and 1.0 days, for the 20 mg, 60 mg, and placebo groups,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HELIOS: Ongoing Phase 2 Open-Label, Long-Term Extension Study of Bitopertin in Patients with EPP and XLP</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HELIOS is an ongoing Phase 2, open-label, long-term extension trial of bitopertin in patients with EPP and XLP that enrolled 86 adult and adolescent patients with EPP from the BEACON and AURORA trials. Patients were randomized to receive 20 mg or 60 mg bitopertin in BEACON and 20 mg or 60 mg bitopertin or placebo in AURORA, with all patients transitioning to a 60 mg daily dose of bitopertin in HELIOS. The primary and secondary endpoints of this trial are safety and tolerability and percent change in whole blood metal-free PPIX, respectively. Additional study assessments include a daily sun exposure diary, patient-reported quality of life and liver fibrosis measurements.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Interim data from this trial was first presented at the EHA annual meeting in June 2025. Of the 86 enrolled patients, data were presented from the 67 participants who had completed a 24-week treatment period as of a February 4, 2025 data cutoff date. Two participants withdrew early from the trial due to an adverse event. Results demonstrated that longer term treatment with bitopertin was associated with sustained reductions in PPIX, with additional benefit for patients receiving the 60 mg dose continuously. In addition, continuous treatment with 60 mg of bitopertin was associated with reduction of alanine aminotransferase, or ALT, and other exploratory hepatobiliary biomarkers, and nearly all participants reported substantial improvements in quality of life measures. In this interim dataset, bitopertin exhibited a favorable longer-term safety profile with up to 2+ years of exposure and similar safety results across adults and adolescents with EPP and XLP.</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APOLLO: Ongoing Phase 3 Randomized, Double-Blind, Placebo-Controlled, Clinical Trial of Bitopertin in Patients with EPP and XLP</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2024, we aligned with the FDA on the design of APOLLO, a Phase 3, randomized, double-blind, placebo-controlled, clinical trial of bitopertin in EPP and XLP patients. Key features of the trial include:</w:t>
      </w:r>
    </w:p>
    <w:p>
      <w:pPr>
        <w:spacing w:after="0" w:line="54" w:lineRule="exact"/>
        <w:rPr>
          <w:sz w:val="20"/>
          <w:szCs w:val="20"/>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Co-primary endpoints of average monthly total time in sunlight without pain between 10:00 a.m. and 6:00 p.m. during the last month of the six-month treatment period and percent change from baseline in whole blood metal-free PPIX after six months of treatment;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measures of efficacy such as occurrence of phototoxic reactions, cumulative total pain-free time in sunlight, PGIC, and time to prodrome;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60 mg dose of bitopertin and six-month treatment duration;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patients aged 12+ with EPP, including XLP; and</w:t>
      </w:r>
    </w:p>
    <w:p>
      <w:pPr>
        <w:spacing w:after="0" w:line="117" w:lineRule="exact"/>
        <w:rPr>
          <w:rFonts w:ascii="Times New Roman" w:cs="Times New Roman" w:eastAsia="Times New Roman" w:hAnsi="Times New Roman"/>
          <w:sz w:val="18"/>
          <w:szCs w:val="18"/>
          <w:color w:val="auto"/>
        </w:rPr>
      </w:pPr>
    </w:p>
    <w:p>
      <w:pPr>
        <w:ind w:right="40" w:firstLine="382"/>
        <w:spacing w:after="0" w:line="374" w:lineRule="auto"/>
        <w:tabs>
          <w:tab w:leader="none" w:pos="7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Double-blind, placebo-controlled study with at least 150 patients randomized 1:1 across sites in the United States, Canada, Europe and Australia. We initiated the APOLLO trial in May 2025 and anticipate topline data in the fourth quarter of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NDA for Bitopertin in EPP and XLP</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our end-of-Phase 2 meeting in September 2024, the FDA agreed with the potential for reduction of PPIX to serve as a surrogate endpoint to support a potential accelerated approval of bitopertin in EPP and XLP. In our Type C meeting in December 2024, we aligned with the FDA on the design of our APOLLO clinical trial, that in the setting of an accelerated approval would serve as a post-marketing confirmatory trial. In September 2025 we submitted an NDA for accelerated approval of bitopertin in EPP and XLP in the United States based on our existing data. In October 2025, we were awarded a CNPV from the FDA for bitopertin in EPP and XLP. The CNPV program, announced in June 2025, is designed to accelerate the development and review of certain drugs aligned with US national health priorities. The FDA accepted our NDA for review in November 2025 and in February 2026 issued a CRL. Although the FDA agreed that clinical data from AURORA and BEACON provided sufficient evidence that bitopertin significantly lowers whole blood metal-free PPIX, the FDA concluded that the trials did not show evidence of association between percent change in PPIX and sunlight exposure-based endpoints as measured in the trials. As such, the FDA determined that there is uncertainty regarding whether bitopertin’s effect in PPIX is reasonably likely to predict clinical benefit, despite the strong mechanistic and biological plausibility supporting the use of the PPIX biomarker in protoporphyria. The FDA indicated that results of the ongoing APOLLO trial could serve as evidence to support a potential traditional approval, and we plan to request a Type A meeting to review our approach with the FDA. We plan to submit a response to the CRL following receipt of topline data from the APOLLO clinical trial, which we expect to report in the fourth quarter of 2026. The APOLLO trial is also intended to serve as a registrational trial with respect to any potential future marketing applications for bitopertin in EPP and XLP outside the United States.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Bitopertin in Additional Indications: Diamond-Blackfan Anemia</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bitopertin may be therapeutically beneficial for the treatment of DBA. DBA is a genetic condition marked by defective erythropoiesis that is usually caused by genetic mutations in genes coding for ribosomal proteins. Clinically, DBA is a lifelong anemia that presents in infancy and has a 25% mortality rate by age 50. Standard therapy includes chronic steroid treatment and/or regular blood transfusions, and hematopoietic stem cell transplantation is the only known cure for DBA. The ribosomal defects in patients with DBA are thought to cause a build-up of free heme in newly forming red blood cells, and this free heme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8"/>
          <w:szCs w:val="18"/>
          <w:color w:val="auto"/>
        </w:rPr>
        <w:t>exerts a toxic effect, resulting in poor red blood cell formation and anemia. Inhibitors of heme biosynthesis have shown marked effects in improving red blood cell production in third-party cellular and animal models of DBA. Accordingly, we anticipate that bitopertin may be able to provide relief from anemia and transfusion in patients with DBA by restricting the accumulation of toxic, free heme. We have entered into a collaborative research and development agreement with the NIH to conduct an NIH-sponsored clinical trial of bitopertin in DBA, which trial began in July 2023 and results were reported in December 2025. In this trial, bitopertin was generally well-tolerated, and bioavailability, pharmacokinetics and effects upon hemoglobin were consistent with the Roche clinical data set. Although bitopertin did not yield transfusion-independence in these patients, the baseline iron overload, marrow hypocellularity and prior failure of steroids reflected a cohort with long-standing disease and minimal erythropoietic marrow reserve.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Iron Homeostasis Portfolio</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our heme biosynthesis therapeutic approach, we are developing a portfolio of product candidates focused on the modulation of the hepcidin pathway to normalize iron homeostasis. Iron is an essential element that is required for erythropoiesis as well as other important biological functions. Nearly 70% of iron in the human body resides in red blood cells, where it is a fundamental component of hemoglobin, the protein that enables red blood cells to carry and transport oxygen. Although iron is critical to an array of biological functions, excessive levels can be toxic. Consequently, the management of iron levels in the body is a critical and carefully controlled process. Hepcidin is a potent hormone produced in the liver that serves as the primary regulator of iron homeostasis and plays a central role in controlling how iron is absorbed, utilized, stored, and recycled systemically. If this process becomes dysregulated, a wide range of serious, debilitating, and potentially fatal conditions can arise.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Hepcidin: The Master Regulator of Iron Homeostasis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Iron typically enters the body when it is absorbed in the intestine from dietary intake. As it enters circulation, iron is bound to carrier proteins. Iron is a highly reactive metal that can cause oxidative stress and tissue damage in an unbound state. Iron is utilized in target tissues, such as the bone marrow, to support erythropoiesis, and the remaining surplus is directed to specific storage tissues, such as the spleen, where it can be sequestered in specialized macrophages and redeployed when needed. This process is governed by hepcidin, which serves as a gatekeeper in tissues that are a source of iron, both blocking absorption of dietary iron from the intestine and preventing the release of stored iron from the spleen, as shown in the figure below. The body exerts control and responds to demands for iron by increasing or reducing the production of hepcidin, which leads to a reduction or increase in iron availability, respectively.</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Hepcidin Plays a Central Role in Iron Metabolism and Homeostasis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173990</wp:posOffset>
            </wp:positionV>
            <wp:extent cx="5083175" cy="19545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8317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Hepcidin is a Therapeutic Target for Diseases of Iron Metabolism</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iron is critical to so many biological functions, particularly in red blood cells, disruptions in its homeostasis, often due to the dysregulated production of hepcidin, can result in a wide range of hematologic diseases, as shown in the figure below. These include diseases that can cause abnormally high production of hepcidin, which deprives developing red blood cells of iron and causes anemia, a frequent complication of cancer, autoimmune conditions, and other inflammatory diseases. Conversely, in certain diseases with abnormally low production of hepcidin, increasing hepcidin and restricting iron availability are expected to provide a therapeutic benefit. For example, in PV, iron restriction through a hepcidin mechanism has been demonstrated to control pathologic production of red blood cells. In other diseases, such as SCD, iron restriction and agents that increase hepcidin could be beneficial by lowering the concentration of sickle hemoglobin inside red blood cells and reducing the tendency of red blood cells to sickle and hemolyze, the red blood cell processes which can lead to the clinical sequelae in SCD.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Dysregulated Hepcidin Drives a Wide Range of Hematologic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173990</wp:posOffset>
            </wp:positionV>
            <wp:extent cx="5486400" cy="1414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86400" cy="141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modulating the production of hepcidin to correct pathologic alterations in iron metabolism has the potential to be a powerful therapeutic strategy to address a wide range of diseases. We are leveraging two approaches that are designed to suppress or induce hepcidin production in order to increase or decrease serum iron levels, respectively. Our product candidates target novel pathways whose biological functions have been validated by human genetics and are specific to iron modulation.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Hepcidin Suppression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developing a portfolio of product candidates designed to lower hepcidin and restore serum iron levels to address anemia of inflammatory diseases. Our lead product candidate, DISC-0974, is a monoclonal antibody, which we in-licensed from AbbVie, that is designed to inhibit HJV, a critical target for hepcidin production. We selected this target because the effects of inhibiting HJV, namely decreased hepcidin and increased iron availability, have been genetically demonstrated in both animal knockout studies and in patients with juvenile hemochromatosis who lack fully functional genes encoding HJV.</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Hepcidin Induction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developing a portfolio of product candidates designed to increase hepcidin and decrease serum iron levels, an approach that has the potential to address a range of diseases where restricting iron would be beneficial, such as excessive red blood cell production in PV and diseases of iron overload. Our lead program, DISC-3405, which we licensed from Mabwell, is a monoclonal antibody designed to inhibit TMPRSS6, a serine protease that normally serves to limit hepcidin production. By inhibiting TMPRSS6, our compounds have the potential to increase production of hepcidin and, in turn, restrict iron availability. We selected this target based on the genetic confirmation of the effects of inhibiting TMPRSS6 in both animal knockout studies and in patients with iron-refractory iron deficiency anemia who lack fully functional genes encoding TMPRSS6.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Lead Hepcidin Suppression Program: DISC-0974 For the Treatment of Anemia of Inflammatory Diseases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developing DISC-0974, our lead antibody product candidate targeting hepcidin suppression, for the treatment of anemia resulting from iron restriction that typically occurs in the setting of inflammatory diseases. DISC-0974 is designed to be a selective inhibitor of HJV, a bone morphogenetic protein, or BMP, co-receptor. Inflammatory signals, potentiated by BMP signaling, are an underlying cause of elevated levels of hepcidin, leading to low iron bioavailability and subsequent anemia in a broad range of diseases. We believe that abnormally high levels of hepcidin are an important driver of anemia associated with inflammatory diseases and that suppression of hepcidin with DISC-0974 has the potential to provide meaningful benefit in these patients.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Anemia Associated with Inflammatory Diseases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Anemia of inflammation is a hallmark of a wide range of autoimmune and chronic diseases, including MF, IBD, CKD, rheumatoid arthritis, cancer, obesity, chronic obstructive pulmonary disease, and cardiovascular disease. Anemia occurs frequently in these diseases and for example, affects approximately 87% of MF, 25-35% of IBD, 17-50% of CKD, 35-80% of cancer, and 50% of lupus patients. It is a common cause of chronic anemia and has been estimated to affect over one billion individuals worldwide. This type of anemia is caused by the sustained inflammation associated with these diseases, which produces a host of pro-inflammatory cytokines that impair erythropoiesis. Importantly, these cytokines have an impact on iron homeostasis by inducing the production of hepcidin, which in turn deprives developing erythrocytes of iron. There are currently no approved therapies designed to primarily lower hepcidin, and most patients remain anemic or untreated.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Anemia of Myelofibrosis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MF is a rare, chronic blood cancer that currently affects an estimated 25,000 patients in the United States. It is characterized by progressive fibrosis of the bone marrow brought on by the proliferation of cytokine-producing myeloid cells, which creates a state of chronic inflammation. Severe, progressive, and treatment- resistant anemia is the primary clinical manifestation of MF, and a study in over 200 patients at the Mayo Clinic showed that hepcidin is elevated by approximately 12-fold in these patients, as shown below. Elevated hepcidin levels are correlated with disease severity, anemia, and the need for red blood cell transfusions.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diagnosis, approximately 87% of patients with MF have anemia, which progressively worsens over time and ultimately renders the majority of patients dependent on chronic red blood cell transfusions. In a study conducted by the Mayo Clinic, within a year of diagnosis, 58% of patients with MF had severe anemia, defined as hemoglobin levels of less than 10 g/dL, and 46% were transfusion-dependent, meaning they required regular transfusion therapy, as shown below. Moreover, existing treatments, such as erythropoiesis-stimulating agents, or ESAs, androgens, corticosteroids, immunomodulators, and splenectomy, are generally viewed as providing minimally effective or inconsistent results, are associated with safety concerns, and do not directly target hepcidin. This is in contrast to the effects observed in a recently published study of a hepcidin-targeted agent conducted in patients with advanced, transfusion-dependent myelofibrosis. In this clinical trial, a partial reduction of hepcidin levels led to approximately 85% of patients having lower transfusion requirements, 41% of patients becoming transfusion independent, increased hemoglobin and improved markers of iron homeostasis.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patients with MF are treated with JAK inhibitors approved to treat intermediate or high risk MF, including ruxolitinib and fedratinib, which reduce splenomegaly and other symptoms, but typically worsen anemia to the point that patients frequently discontinue treatment.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Elevated Hepcidin Levels in Patients with MF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173990</wp:posOffset>
            </wp:positionV>
            <wp:extent cx="3497580" cy="23577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9758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Anemia of MF is Progressive and Severe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182880</wp:posOffset>
            </wp:positionV>
            <wp:extent cx="2537460" cy="18942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3746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Anemia of Inflammatory Bowel Disease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IBD, which includes Crohn’s disease and ulcerative colitis, is characterized by chronic inflammation of the gastrointestinal tract. IBD is estimated to affect more than two million people in North America and is associated with numerous symptoms and complications, with the most common being anemia, which can be caused by anemia of inflammation, iron deficiency, and/or blood loss. Anemia has been found to occur in up to 74% of hospitalized IBD patients. Anemia of inflammation is driven by low iron availability from elevated hepcidin levels. Iron deficiency in IBD is caused by inadequate intake, malabsorption (including duodenal involvement and surgical removal), and chronic blood loss by mucosal ulcerations. There is no directed treatment option for anemia of inflammation beyond improving the disease status of the underlying IBD. Iron supplementation can correct iron deficiency and improve anemia due to low total body iron. IBD-associated anemia is associated with a significant decrease in quality of life and with clinical symptoms such as chronic fatigue, dizziness, reduced exercise tolerance, pale skin, nails, conjunctiva, and fainting. However, despite these numerous adverse symptoms, anemia of IBD remains undertreated.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 DISC-0974, an Anti-HJV Monoclonal Antibody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DISC-0974 is designed to be an injectable, selective monoclonal antibody targeting HJV, a co-receptor required for hepcidin expression. In multiple preclinical studies, we have demonstrated that DISC-0974 suppressed endogenous production of hepcidin and, as a consequence, increased serum iron levels. Based on this early confirmation of its mechanism, we believe DISC-0974 has the potential to treat a wide range of anemias associated with inflammatory diseases where hepcidin levels are pathologically elevated and serum iron levels for erythropoiesis are restricted. Based on data from our IND-enabling studies and our completed Phase 1 clinical trial, we are developing DISC-0974 as a once-monthly, subcutaneous injection.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Hemojuvelin Has a Critical and Specific Role for Hepcidin Regulation and Homeostasis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HJV, also called repulsive guidance molecule-c, is a cell surface co-receptor that is primarily expressed in the liver and other tissues with a significant role in iron metabolism, such as skeletal muscle, and is critical for hepcidin production. Signaling through the HJV pathway involves a complex of ligands of the TGF-b superfamily (BMP2/4/6) and other receptors (ALK2/3/6) that induce SMAD phosphorylation and hepcidin (HAMP gene) expression, as shown below. Many components of the BMP signaling pathway are expressed in tissues throughout the body and participate in a range of biological processes, including bone formation and immune cell production. As a result, therapeutic efforts to control hepcidin by targeting the ALK receptors or BMP ligands may affect other tissues and result in off-target side effects. However, based on the phenotype caused by the genetic loss of function of HJV in rodents and humans, we believe that the role of HJV is restricted to iron homeostasis and hepcidin expression, and therefore, we believe that targeting HJV has the potential to result in an improved risk-benefit profile as compared to targeting other members of the BMP pathway.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Hemojuvelin is a Critical and Specific Target for Hepcidin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182880</wp:posOffset>
            </wp:positionV>
            <wp:extent cx="2082800" cy="2117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8280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importance of HJV in hepcidin expression and iron homeostasis was established through genetic studies in both animals and humans. Specifically, mutations that result in a partial or complete lack of HJV result in significantly reduced hepcidin production and are phenotypically indistinguishable from loss-of-function mutations in hepcidin itself. For example, in a study in mice conducted by a third-party, a knockout of the HJV gene resulted in significantly reduced hepcidin levels in untreated animals as well as in animals challenged with LPS, an inflammatory stimulus, as compared to mice with a functional HJV gene, as shown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HJV Gene Knockout in Mice Resulted in Significantly Reduced Hepcidin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182880</wp:posOffset>
            </wp:positionV>
            <wp:extent cx="3008630" cy="2288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0863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mutations in the HJV gene in humans markedly reduce hepcidin expression in the liver and result in juvenile hemochromatosis, the most severe form of diseases of iron overload. This genetic evidence suggests that the function of HJV is specific to hepcidin and iron regulation. We believe this specificity is an important attribute in selecting HJV as a target and may result in an improved therapeutic outcome by avoiding unwanted side effects that can result from systemic changes in TGF-b superfamily signaling, such as changes in bone mineral density and immune function. By targeting HJV to reduce hepcidin production, we believe that DISC-0974 has the potential to normalize serum iron levels and restore the production of red blood cells, thereby addressing a key underlying driver of anemia of inflammatory diseases.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Completed Phase 1 Clinical Trial</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2021, we initiated a first-in-human, Phase 1, single ascending dose, randomized, double-blind, placebo-controlled clinical trial of DISC-0974 in healthy volunteers to evaluate safety, tolerability, PK, and PD markers such as hepcidin, serum iron levels, TSAT and measures of erythropoiesis. In the initial cohort of the Phase 1 trial, DISC-0974 was administered intravenously. Subsequent cohorts were dosed with DISC-0974 by subcutaneous administration, which has been shown to be comparable and well-tolerated as compared to intravenous administration in preclinical studies. The trial design is summarized in the figure below.</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DISC-0974 Phase 1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173990</wp:posOffset>
            </wp:positionV>
            <wp:extent cx="5083175" cy="1928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8317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completed this Phase 1 clinical trial. Data from the Phase 1 clinical trial showed an acceptable tolerability profile and evidence of target engagement and iron mobilization and augmented erythropoiesis.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Specifically, in this Phase 1 study, a single dose of DISC-0974 resulted in rapid, dose-dependent and sustained decrease in serum hepcidin and a corresponding, robust increase in measures of circulating iron. This included more than a doubling of transferrin saturation from baseline at the highest dose level (56 mg SC). Changes in serum iron also corresponded with markers of iron mobilization and erythropoiesis, including decreased ferritin levels, increased reticulocyte hemoglobin, and increased mean corpuscular hemoglobin. These findings are consistent with the mechanism of action of DISC-0974.</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Notably, at the 56 mg SC dose level, a single administration of DISC-0974 resulted in a statistically significant improvement in hemoglobin compared to placebo (+1.1 g/dL, p=0.009) at Day 42 and a marked increase in red blood cell count. DISC-0974 was well-tolerated at all dose levels with no serious or severe adverse events, no adverse events leading to study withdrawal, and no adverse event greater than Grade 1. Plasma exposure was dose-related in the 14 to 56 mg SC range and effects were observed through 28 days post-dose, indicating a sustained and potentially clinically meaningful duration of action. These findings were presented at the 2022 EHA meeting in June 2022 and the 2022 ASH annual meeting.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Phase 1b/2 Clinical Trial in Patients with Anemia of MF</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we initiated an open-label, multi-center, Phase 1b/2 trial to evaluate the safety, tolerability, and efficacy of DISC-0974 in patients with anemia of MF. The study endpoints include hepcidin levels, serum iron and markers of iron mobilization and measures of anemia benefit such as hemoglobin, reductions in transfusion burden and transfusion independence (TI) rate. The study allows enrollment of patients receiving stable background therapy, including JAK inhibitors. The study is being conducted in two parts:</w:t>
      </w:r>
    </w:p>
    <w:p>
      <w:pPr>
        <w:spacing w:after="0" w:line="72" w:lineRule="exact"/>
        <w:rPr>
          <w:sz w:val="20"/>
          <w:szCs w:val="20"/>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1b (Dose-Escalation): Ascending, monthly doses of DISC-0974 administered for six months to patients with anemia of MF, (Hb levels &lt; 10 g/dL,), where a dose level is selected based on optimal increases in hemoglobin and serum iron;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both"/>
        <w:ind w:left="76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(Expansion Stage): Multiple doses of DISC-0974 administered once-a-month at the dose level selected from the Phase 1b portion of the study to patients with anemia of MF who are transfusion dependent or non-transfusion dependent, generally defined according to the baseline transfusion burden in a 12-week period.</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Interim data from the Phase 1b part of this trial was first presented at the ASH annual meeting in December 2023, with additional interim data presented in June 2024 and additional analyses presented in December 2024 and June 2025. Of the 35 enrolled patients, data from 32 evaluable participants in the five dose cohorts (14 mg, 28 mg, 50 mg, 75 mg and 100 mg) were presented as of an October 17, 2024 data cutoff date. Two participants withdrew early from the trial due to an inadequate response, and two participants were not considered evaluable for efficacy due to incomplete transfusion data entry as of the October 17, 2024 data cutoff. Thirteen participants were taking concomitant JAK inhibitors. Twenty-two of the evaluable participants were non-transfusion dependent receiving no transfusions (nTD), five were transfusion dependent with one to two transfusions within a 12-week period at baseline (TD Low), and five were transfusion dependent with three to 12 transfusions within a 12-week period at baseline (TD High). DISC-0974 was administered subcutaneously at 14 mg (n=1), 28 mg (n=7), 50 mg (n=12), 75 mg (n=9), or 100 mg (n=6) every four weeks for up to six treatments; patients can remain on continuation treatment after the first six doses. Results demonstrated consistent, substantial decreases in hepcidin reaching &gt;75% from baseline and corresponding increases in serum iron across patients, which translated to increased levels of reticulocyte hemoglobin and hemoglobin, as well as reduced levels of zinc protoporphyrin, a marker of iron-restricted erythropoiesis. 68% of baseline nTD patients achieved a hemoglobin increase of ≥1.5 g/dL during the study period and 50% had sustained mean increases for ≥12 weeks. 100% of TD Low patients achieved a ≥50% reduction in transfusion requirement, and 80% of TD Low patients achieved transfusion independence, defined as no blood transfusions, over a 16-week period. 60% of TD High patients achieved a ≥50% reduction in transfusion requirement, and 40% of evaluable TD High patients achieved transfusion independence over a 12-week period. 54% of patients receiving concomitant JAK inhibitor therapy achieved a major hematologic response.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DISC-0974 Anemia of MF Phase 1b Clinical Trial Results: Pharmacodynamics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131445</wp:posOffset>
            </wp:positionV>
            <wp:extent cx="5966460" cy="20059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646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DISC-0974 was generally well-tolerated at all evaluated dose levels. Diarrhea was the only adverse event that was considered related to DISC-0974 and reported in two or more subjects. The majority of adverse events were not considered related to DISC-0974.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2024, we initiated RALLY-MF, the open-label Phase 2 portion of this clinical trial to evaluate the safety, tolerability and efficacy of DISC-0974 in patients with anemia of MF. The Phase 2 study design is summarized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RALLY-MF Trial Design: Open-Label Phase 2 Clinical Trial of DISC-0974 in Patients with Anemia of MF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156845</wp:posOffset>
            </wp:positionV>
            <wp:extent cx="5795010" cy="2100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9501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8C9AAE"/>
        </w:rPr>
        <w:t>*Patients carried over from Phase 1b: nTD n=8, TD (Low + High) n=4</w:t>
      </w:r>
    </w:p>
    <w:p>
      <w:pPr>
        <w:spacing w:after="0" w:line="1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Initial data from the Phase 2 part of this trial was first presented at the ASH annual meeting in December 2025. Of the 47 patients enrolled as of the October 16, 2025 cutoff date, data from 34 evaluable participants were presented. Eighteen of the evaluable participants were taking concomitant JAK inhibitors. Twenty-four of the evaluable participants were non-transfusion dependent receiving no transfusions (nTD), seven were transfusion dependent with one to two transfusions within a 12-week period at baseline (TD Low), and three were transfusion dependent with three to 12 transfusions within a 12-week period at baseline (TD High). DISC-0974 was administered subcutaneously at 50 mg every four weeks for up to six treatments. Initial results demonstrated consistent, substantial decreases in hepcidin reaching &gt;75% from baseline and corresponding increases in serum iron across patients. 63% of baseline nTD patients achieved a hemoglobin increase of ≥1.0 g/dL for ≥12 weeks (an overall response) and 50% had an increase of ≥1.5 g/dL for ≥12 weeks (a major response). 71% of TD Low patients achieved transfusion independence, defined as no blood transfusions, over a 16-week period. 67% of TD High patients with at least 85 days on study achieved a ≥50% reduction in transfusion requirement, and initial data for an additional n=3 TD High patients was trending towards a major response of transfusion independence for ≥12 weeks. 50% of patients receiving concomitant JAK inhibitor therapy achieved a major hematologic response. Dosing with DISC-0974 was associated with improvements in FACIT-Fatigue scores in nTD and TD Low participants.</w:t>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Initial RALLY-MF Phase 2 Clinical Trial Results: Effects on Hepcidin and Iron Serum, and Hematologic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88265</wp:posOffset>
            </wp:positionV>
            <wp:extent cx="5966460" cy="20148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646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DISC-0974 was generally well-tolerated. Diarrhea and urinary tract infections, neither considered serious, were the only adverse events that were considered related to DISC-0974 and reported in two or more subjects. The majority of adverse events were not considered related to DISC-0974.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report topline data from our RALLY-MF Phase 2 trial in 2026, which, if positive, are expected to support discussions with regulatory agencies on the potential regulatory path for DISC-0974 in anemia of MF.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Ongoing Phase 2 Clinical Trial in Patients with Anemia of Inflammatory Bowel Disease</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initiated a Phase 2 clinical trial of DISC-0974 in patients with IBD and anemia in the first quarter of 2026. The study design is below. We are also planning exploratory studies in additional patient populations with anemia of chronic disease.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Phase 2 Clinical Trial of DISC-0974 in IBD Patients with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88265</wp:posOffset>
            </wp:positionV>
            <wp:extent cx="5074920" cy="3060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074920"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Completed Phase 1b Clinical Trial in Patients with Non-Dialysis Dependent Chronic Kidney Disease (NDD-CKD)</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2023, we initiated a Phase 1b clinical trial to evaluate the safety, tolerability and efficacy of DISC-0974 in patients with CKD who are not receiving dialysis and are anemic. The study consisted of two parts: a randomized, placebo-controlled, single-ascending dose stage, where a dose level was selected based on optimal increases in serum iron; followed by an expansion stage where patients received multiple doses of DISC-0974 at the selected dose level. The study endpoints include hepcidin levels, serum iron and markers of iron mobilization and measures of anemia benefit such as hemoglobin.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Phase 1b Clinical Trial of DISC-0974 in NDD-CKD Patients with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156845</wp:posOffset>
            </wp:positionV>
            <wp:extent cx="4560570" cy="21088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6057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Interim data from the SAD portion of this trial were presented in December 2023 and October 2024. Additional data, including data from the multiple dose portion of this trial, were presented in October 2025. In this trial, DISC-0974 was generally well-tolerated and results demonstrated substantial decreases in hepcidin, increases in iron, and improvements in markers of erythropoiesis.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8" w:name="page29"/>
    <w:bookmarkEnd w:id="2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However, meaningful hemoglobin increases were observed in only a subset of patients, which were in part driven by those with higher baseline erythropoietin, or EPO, levels. As such, DISC-0974 demonstrated engagement of mechanism in anemia of NDD-CKD but with variable effects on hemoglobin. We are assessing options for our DISC-0974 NDD-CKD program on the basis of this data.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Second Hepcidin Suppression Program: DISC-0998</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developing a next-generation, long-acting antibody that targets hepcidin suppression, which efforts include our preclinical product candidate DISC-0998, an anti-HJV monoclonal antibody in-licensed from AbbVie. DISC-0998 is designed to be a highly selective anti-HJV mAb with an adapted Fc region to increase PK half-life. In preclinical studies DISC-0998 demonstrated biological activity, low immunogenicity potential, and desirable PK and PD properties.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dose response PK/PD study of DISC-0998 in NHPs demonstrated that it had a lower clearance (~30 - 40%), higher volume of distribution (~30 - 70%), and longer half-life (~2 times), which translated to a longer duration of PD effects compared to DISC-0974. A single dose of DISC-0998 resulted in sustained elevation of serum iron levels. If these data are confirmed in humans, it would suggest the potential for an infrequent dosing regimen (such as potentially once every 2 or 3 months). We expect that such a dosing regimen would be perceived as convenient by patients and promote compliance.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continuing IND-enabling activities for this next-generation hepcidin suppression program.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Hepcidin Induction Program</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focused on developing product candidates designed to increase hepcidin levels and decrease serum iron levels to address a range of diseases where restricting iron would be beneficial, such as erythrocytosis of PV and diseases of iron overload, including SCD. Our lead hepcidin induction program, DISC-3405, is a monoclonal antibody that is designed to target TMPRSS6. TMPRSS6 proteolytically degrades HJV in liver cells, as shown below. Inhibitors of TMPRSS6 are expected to increase HJV levels and thereby increase the expression of hepcidin. By inhibiting TMPRSS6, our compounds are designed to increase hepcidin production and, in turn, restrict iron availability. We selected TMPRSS6 as our target because the effects of reducing TMPRSS6 levels have been genetically confirmed in both animal knockout studies and in patients with iron-refractory iron deficiency anemia who lack fully functional genes encoding TMPRSS6.</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TMPRSS6 Suppresses Hepcidin by Degrading HJV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88265</wp:posOffset>
            </wp:positionV>
            <wp:extent cx="2425700" cy="24771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2570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Polycythemia Vera</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PV is a chronic and rare myeloproliferative neoplasm characterized by the overproduction of red blood cells and increased red cell mass. It is frequently caused by acquired mutations of the JAK2 gene that drive abnormal proliferation of red blood cells. The increased number of red blood cells alters the viscosity of blood, causing it to thicken and placing patients at an increased risk of cardiovascular and thromboembolic events, such as heart attack and stroke. The prevalence of PV is estimated to be 44 to 57 cases per 100,000 persons, with approximately 150,000 patients with PV in the United States and with prevalence estimates in Europe ranging from 10 to 50 cases per 100,000 persons. PV tends to primarily affect individuals over 60 years old.</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 management of PV centers around depleting the number of red blood cells to maintain a patient’s hematocrit (a measure of red blood cell mass) below 45%, the target threshold recommended by the National Comprehensive Cancer Network to reduce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t>risk of cardiovascular or thromboembolic events. Most patients receive low-dose aspirin and chronic therapeutic phlebotomy to physically remove blood and iron to limit erythropoiesis. However, most patients fail to achieve their target hematocrit levels and remain at risk for thrombosis and other complications. Moreover, phlebotomy causes discomfort and inconvenience for patients as well as side effects such as headaches, ringing in the ears, dizziness, and, over time, iron deficiency. Cytoreductive chemotherapy is recommended for patients at higher risk of thrombosis, including those who fail to meet their hematocrit threshold, or conversion to leukemia. These include hydroxyurea, interferons, or ruxolitinib, marketed as Jakafi, each of which are associated with side effects and can affect multiple cell types. There is currently no oral, non-cytoreductive option for the treatment of PV, which we believe would be beneficial for both low and high-risk patients.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Sickle Cell Disease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SCD is an inherited blood disorder caused by mutations in hemoglobin that enable the hemoglobin to form long polymeric chains under certain conditions such as low oxygenation, or deoxygenation. Polymerization of this irregular hemoglobin results in red blood cells taking on a sickle shape, causing them to aggregate and obstruct small blood vessels, as well as hemolyze and release toxic metabolites, which collectively can restrict blood flow to organs resulting in pain, cell death and organ damage. We estimate that the prevalence of SCD is approximately 100,000 individuals in the United States, and greater than three million individuals worldwide. Red blood cell deoxygenation is modulated by several factors, including the levels of 2,3-diphosphoglycerate, or 2,3-DPG, which is found to be elevated in sickle cell patient red blood cells. Current treatment strategies focus on managing and preventing acute red blood cell sickling, and include hydroxyurea, L-glutamine and blood transfusions, as well as recently approved therapies such as Adakveo®, Casgevy®, and Lfygenia®.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 DISC-3405 (MWTX-003), an anti-TMPRSS6 monoclonal antibody</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January 2023, we in-licensed MWTX-003 and other related molecules from Mabwell. In the Disc compound catalog, MWTX-003 is named DISC-3405. DISC-3405 is a monoclonal antibody designed to inhibit TMPRSS6, a serine protease that degrades HJV, a receptor required for hepcidin expression. TMPRSS6 plays a critical and specific function in iron metabolism by limiting the production of hepcidin. By inhibiting TMPRSS6, DISC-3405 has been shown in preclinical studies to increase endogenous production of hepcidin and reduce serum iron levels. This mechanism has been validated by human genetics, where patients with mutations in TMPRSS6 develop elevated hepcidin levels and an iron restrictive phenotype. In addition, iron restriction has been recently validated as a potential approach to treat PV. In Phase 2 and Phase 3 clinical trials conducted by a third-party, a peptide hepcidin mimetic administered weekly by subcutaneous injection lowered iron availability and reduced hematocrit in patients with PV, resulting in a substantial reduction in requirements for phlebotomy and improvements in disease symptoms. In SCD, iron depletion has been shown in open-label case series in SCD patients to reduce hemolysis and reduce some SCD complications. The rationale for limiting iron availability for red blood cell production rests in the relationship between sickle hemoglobin concentration inside red blood cells and the tendency for the sickle hemoglobin to polymerize and cause hemolysis, which is an initial step in SCD pathophysiology. By restricting iron availability through hepcidin induction, sickle hemoglobin concentration, and consequently abnormal sickle hemoglobin polymerization and hemolysis, is anticipated to be reduced and potentially lead to improved red blood cell health and fewer clinical complications of SCD. We are initially focused on developing our anti-TMPRSS6 programs as a potential treatment for PV and SCD, with plans to expand development to encompass additional diseases of iron overload and other conditions where restriction of iron would have therapeutic benefit.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Data</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Preclinical studies of MWTX-003 have demonstrated that TMPRSS6 inhibition with a monoclonal antibody can induce hepcidin expression and consequently restrict iron availability. Specifically, preclinical studies have demonstrated:</w:t>
      </w:r>
    </w:p>
    <w:p>
      <w:pPr>
        <w:spacing w:after="0" w:line="54"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Dose-dependent induction of endogenous hepcidin production in rodent and NHP studies;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hepcidin, reductions in serum and liver iron, and increases in red blood cells in a murine model of beta-thalassemia;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iron and hematocrit in a murine model of PV.</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Across several preclinical studies in both rodents and non-human primates, treatment with MWTX-003 was shown to increase hepcidin production and reduce serum iron levels. For example, in the below experiment in NHPs, treatment with a single, intravenously administered 30 mg/kg or 150 mg/kg dose of MWTX-003 resulted in deep and sustained suppression of serum iron levels for at least 3 weeks.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Treatment with MWTX-003 resulted in deep and sustained suppression of serum iron levels in normal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88265</wp:posOffset>
            </wp:positionV>
            <wp:extent cx="3429000" cy="2117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0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potential efficacy of MWTX-003 was also assessed in HbbTh3/+ mice, an established, genetic rodent model of beta-thalassemia. In this study, mice with mutations in the Hbb gene leading to underproduction of beta-globin genes were treated with 10 mg/kg MWTX-003 once every 3 days for 4 weeks which resulted in recapitulated features of beta-thalassemia such as ineffective erythropoiesis, iron overload and enlarged spleens. Treated mice showed decreased serum iron levels and liver non-heme iron, reduced splenomegaly and improved ineffective erythropoiesis compared to control. Additionally, a study was conducted assessing the efficacy of MWTX-003 in PV using a Jak2</w:t>
      </w:r>
      <w:r>
        <w:rPr>
          <w:rFonts w:ascii="Times New Roman" w:cs="Times New Roman" w:eastAsia="Times New Roman" w:hAnsi="Times New Roman"/>
          <w:sz w:val="24"/>
          <w:szCs w:val="24"/>
          <w:color w:val="auto"/>
          <w:vertAlign w:val="superscript"/>
        </w:rPr>
        <w:t>V617F</w:t>
      </w:r>
      <w:r>
        <w:rPr>
          <w:rFonts w:ascii="Times New Roman" w:cs="Times New Roman" w:eastAsia="Times New Roman" w:hAnsi="Times New Roman"/>
          <w:sz w:val="18"/>
          <w:szCs w:val="18"/>
          <w:color w:val="auto"/>
        </w:rPr>
        <w:t xml:space="preserve"> bone marrow transplantation mouse model. In these mice, treatment with MWTX-003 at 2-10 mg/kg every 4 days for 3 weeks led to significantly increased serum hepcidin with reduced hematocrit levels, red blood cell counts, and hemoglobin concentration that were comparable to that of wildtype control mice.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Completed Phase 1 Clinical Trial</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initiated a Phase 1 clinical trial of DISC-3405 in healthy adult volunteers in October 2023. Interim data was presented from the SAD portion of the Phase 1 clinical trial in June 2024. We presented data from the MAD portion of the Phase 1 healthy volunteer study of DISC-3405 in December 2024. In the SAD portion of this trial, healthy males and females ages 18 to 65 were given a single dose of placebo (n=10) or DISC-3405 at 75 mg intravenously (IV) (n=6), 37.5 mg subcutaneously (SC) (n=6), 75 mg SC (n=6), 150 mg SC (n=6), or 300 mg SC (n=6). The MAD portion of this trial included placebo (n=4), 75 mg SC (n=6), and 150 mg SC (n=6) cohorts dosed every four weeks for a total of two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128270</wp:posOffset>
            </wp:positionV>
            <wp:extent cx="4928870" cy="22028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2887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this trial, DISC-3405 produced dose-related increases in serum hepcidin with corresponding reductions in serum iron across all dose levels. DISC-3405 also resulted in deep reductions in serum iron (ranging maximally from 50% to 80% from baseline) that were sustained and support a once-monthly SC dosing regimen. In addition, single and repeat dosing of DISC-3405 demonstrated meaningful reductions in hematologic parameters, including reticulocyte hemoglobin, hemoglobin, and hematocrit.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DISC-3405 Phase 1 Healthy Volunteers Study: Hepcidin, Iron and Ferritin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791210</wp:posOffset>
            </wp:positionH>
            <wp:positionV relativeFrom="page">
              <wp:posOffset>774700</wp:posOffset>
            </wp:positionV>
            <wp:extent cx="5966460" cy="1825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96646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DISC-3405 Phase 1 Healthy Volunteers Study: Hematologic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156845</wp:posOffset>
            </wp:positionV>
            <wp:extent cx="5966460" cy="2082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646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DISC-3405 was generally well-tolerated at all evaluated dose levels, with no serious adverse events, no adverse events greater than Grade 2, or adverse events leading to study withdrawal.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RESTORE-PV: Ongoing Phase 2, Open-Label Clinical Trial of DISC-3405 in Participants with PV</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half of 2025, we initiated RESTORE-PV, a Phase 2, open-label clinical trial of DISC-3405 in participants with PV. This 52-week study is designed to enroll up to 60 participants with PV from sites in the United States. The aims of the study are to assess safety and tolerability, PK, pharmacodynamics, and therapeutic effect of DISC-3405 on PV disease control as evidenced by phlebotomy requirements. The main efficacy endpoints of the study include proportion of participants achieving therapeutic response, defined as absence of phlebotomy eligibility; number of phlebotomies during the treatment period; and proportion of participants with hematocrit HCT values of less than 45% throughout the study.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RESTORE-PV Phase 2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88265</wp:posOffset>
            </wp:positionV>
            <wp:extent cx="4817745" cy="1929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17745"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report initial data from our RESTORE-PV trial in the second half of 2026.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Phase 1b Clinical Trial of DISC-3405 in Patients with SCD</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initiated a Phase 1b, open-label clinical trial of DISC-3405 in patients with SCD in October 2025, with initial data expected in the second half of 2026, and plan to explore the role of therapeutic iron restriction in other indications.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on, and expect to continue to rely on for the foreseeable future, third-party contract development and manufacturing organizations, or CDMOs, to produce our product candidates and preclinical materials, including bitopertin, DISC-0974, DISC-0998, DISC-3405 and any candidates arising from our research programs, for preclinical and clinical use. We plan to continue to rely on third-party CDMOs for any future trials as well as for the commercial manufacture of our product candidates and preclinical materials, if approved. In addition, we contract with additional CDMOs to package, label, and distribute drug product for preclinical and clinical use.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product candidates are biological products. Manufacturing biologics can be particularly complex, especially in large quantities. Biologic products must be made consistently and in compliance with a clearly defined manufacturing process. We require that our CDMOs produce bulk drug substances and finished drug products in accordance with current Good Manufacturing Practices, or cGMPs, and all other applicable laws and regulations. We have assembled a team of experienced employees and external consultants to provide the required technical, quality, and regulatory oversight of our CDMOs and have implemented a comprehensive plan for regular audits of our CDMOs. We maintain agreements with our manufacturers that include confidentiality and intellectual property provisions to protect our proprietary rights related to our product candidates.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obtain supplies of our product candidates from single-source CDMOs on a purchase order basis and do not currently have any long-term supply arrangements in place. While any reduction or halt in supply of our product candidates from these CDMOs could limit our ability to develop our product candidates until we find a qualified replacement CDMO, we have procured or are in the process of procuring sufficient supply to support our ongoing clinical trials. In addition, we believe that we can identify and establish additional CDMOs to provide API and finished drug product without significant disruption to our business or clinical development timelines. As our pipeline programs expand and we build new process efficiencies, we expect to continually evaluate this strategy with the objective of satisfying demand for registration trials and, if approved, the manufacture, sale, and distribution of commercial products.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commercial-scale production process has been designed for bitopertin, including a four-step chemical synthesis and an optimized oral formulation. To support the commercial launch of bitopertin, if approved, we are in the process of establishing a validated drug substance and drug product manufacturing process at a CDMO.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intellectual property. While we believe that our product candidates, preclinical programs, scientific capabilities, know-how, and experience provide us with competitive advantages, we compete in a highly competitive industry and face significant competition from many sources, including pharmaceutical and biotechnology companies, as well as academic institutions, governmental agencies, and private and public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establishing clinical trial sites, and recruiting patients in clinical trials, as well as in acquiring technologies complementary to, or necessary for, our programs. As a result, our competitors may discover, develop, license, or commercialize products before or more successfully than we do.</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competition more specifically from companies that discover, develop, and market therapies for the treatment of hematologic diseases, including porphyrias and anemia associated with inflammatory diseases. There are many other companies, including large biotechnology and pharmaceutical companies, that have commercialized or are developing therapies for the same diseases that we are targeting with our product candidates. These companies include, but are not limited to, Agios Pharmaceuticals, Inc., Akebia Therapeutics, Inc., Amgen, Inc., Astellas Pharma, Inc., Bristol-Myers Squibb Company, FibroGen, Inc., GlaxoSmithKline, plc, Incyte Corporation, Ono Pharmaceuticals, Inc., Keros Therapeutics, Inc., Merck &amp; Co., Inc., Otsuka Pharmaceutical Co., Ltd. and Vifor Pharma AG, among others.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developing bitopertin, our lead product candidate in our heme biosynthesis modulation portfolio, for the treatment of EPs. If approved, bitopertin will face competition from melanocortin-1 receptor agonists, including afamelanotide, a subcutaneously implanted therapy that is approved in the U.S. and other territories and marketed as Scenesse by Clinuvel. Dersimelagon, an oral MC1R agonist, recently completed a Phase 3 trial conducted by Mitsubishi Tanabe Pharma Corporation for the treatment of EPP or XLP. Portal Therapeutics, a subsidiary of BridgeBio Pharma, Inc., is currently testing in a first-in-human Phase 1 clinical study in healthy volunteers and a Phase 2a study in adults with EPP, PORT-77, an ABCG2 inhibitor, with a development goal to reduce plasma PPIX in EPP. In addition, there are other potential treatments currently in the discovery stages of development that may become competitors in the future. These therapies include, but are not limited to, gene therapies, heme biosynthesis modulators that target GlyT1 or other enzymes in the heme biosynthesis pathway, and molecules that target porphyrin export.</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Bitopertin is a selective inhibitor of GlyT1 that we are developing to treat porphyrias and other hematologic diseases. GlyT1 inhibition has been pursued in the past as an approach to treat schizophrenia. We are aware that Boehringer Ingelheim conducted a Phase 3 clinical study of BI 425809 (iclepertin), a GlyT1 inhibitor, for the improvement of cognition in patients with schizophrenia that failed to meet its primary endpoint. Other companies have also had research programs designed to inhibit GlyT1 as a treatment for schizophrenia, but to our knowledge, all of these have been discontinued at various stages of development. These include PF-03463275 (Pfizer Inc.), LY2365109 (Eli Lilly and Company), ORG25935 (Organon &amp; Co.), ALX5407 (NPS Pharmaceuticals, Inc., now Shire plc), ASP2535 (Astellas Pharma Inc.) and others. We believe bitopertin has an optimal profile for development as a potential treatment for EP. However, we recognize that other companies may choose to develop a novel GlyT1 inhibitor or repurpose an existing one; if successfully developed as a treatment for EPs, such a program would be a potential competitor to bitopertin.</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developing DISC-0974, our lead program in our hepcidin suppression portfolio, for the treatment of anemia caused by inflammatory diseases, including MF and IBD. For the treatment of anemia of MF, there are no approved therapies, but several classes of drugs are used off-label, including ESAs, such as Procrit (Janssen Pharmaceuticals, Inc.), Epogen and Aranesp (Amgen, Inc.), and Mircera (Roche), corticosteroids, and androgenic hormones, such as danazol. There are also multiple classes of drugs in development for the treatment of anemia. For example, multiple erythroid maturation agents are in development, such as luspatercept, which recently completed a myelofibrosis Phase 3 trial by Bristol-Myers Squibb, and KER-050, which is in a Phase 2 trial by Keros, Inc. In addition, GlaxoSmithKline has developed Ojaara (momelotinib), a JAK2 kinase inhibitor that lowers hepcidin by inhibiting ALK2 (a kinase that is similar to but less specific than HJV), which was approved to treat myelofibrosis patients with anemia.</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treatment of anemia of IBD, there are several approved iron therapies, including oral irons such as Accrufer (Shield Therapeutics) and IV irons such as Monoferric (Pharmacosmos Therapeutics) and Injectafer (Daiichi Sankyo). We are not aware of any other products in development for anemia of IBD. Clinical data from IBD-directed therapies show that anemia can sometimes be addressed by decreasing inflammation of the underlying IBD process.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developing DISC-3405, an anti-TMPRSS6 monoclonal antibody designed to induce hepcidin production and restrict serum iron levels, with an initial focus on PV and SCD. There are several therapies in development that are also designed to increase hepcidin production or mimic hepcidin activity, such as hepcidin mimetics, TMPRSS6 inhibitors, and ferroportin inhibitors. These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18"/>
          <w:szCs w:val="18"/>
          <w:color w:val="auto"/>
        </w:rPr>
        <w:t>are in various stages of development by companies, including Regeneron, Silence Therapeutics plc, Ionis Pharmaceuticals, Inc., Rallybio, Agios Pharmaceuticals, Inc., and CSL Vifor, among others. In particular, rusfertide, an investigational hepcidin mimetic peptide therapeutic for PV, recently completed a Phase 3 clinical trial conducted by Protagonist Therapeutics, Inc. We may also face competition from therapies that are currently marketed or in development that affect pathways unrelated to hepcidin, including growth and differentiation factor-based therapies, cytoreductive therapies, and chemotherapeutic agents, among others. For the treatment of SCD, there are two gene therapy products that were approved in 2023, Casgevy (Vertex Pharmaceuticals) and Lyfgenia (Bluebird Bio). Additionally, hydroxyurea is approved to reduce the frequency of painful crises and reduce the need for blood transfusions in SCD patients with moderate to severe painful crises. Adakveo (Novartis) is approved for the reduction of vasoocclusive crises and Endari (Emmaus Medical Inc) is approved to reduce acute complications of SCD. The competitive pipeline for SCD is crowded with multiple drugs in development.</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could see a reduction or elimination of our commercial opportunity if our competitors develop and commercialize products that are safer, more effective, have fewer or less severe side effects, are more convenient to administer, are less expensive, or receive a more favorable label than any products that we may develop. Our competitors also may obtain FDA or other regulatory approval for their products more rapidly than we may obtain approval for our products,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Exclusive License Agreement with AbbVie Deutschland GmbH &amp; Co. KG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2019, we entered into an exclusive license agreement with AbbVie. Under the license agreement with AbbVie, or the AbbVie Agreement, we obtained an exclusive, worldwide license, with the right to sublicense to commercial pharmaceutical and biopharmaceutical companies (subject to AbbVie’s prior consent or pre-authorization, except with respect to our affiliates), under certain patents and technical information of AbbVie, to make, have made, use, have used, sell, have sold, lease, have leased, import, have imported or otherwise transfer licensed products for all therapeutic, diagnostic and prophylactic uses in humans and animals, excluding uses in neuroscience and neurology. The anti-hemojuvelin antibodies, DISC-0974 and DISC-0998, are licensed products under the AbbVie Agreement. We are required to use commercially reasonable efforts to develop and commercialize at least one licensed product in certain major markets and to maximize net sales of licensed products in certain major markets.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AbbVie Agreement, we made an initial license payment to AbbVie of $0.6 million. Additionally, we are required to pay certain development milestone payments for each licensed product, which milestone payments are up to $18.0 million in the aggregate, certain commercial milestone payments for each licensed product, which milestone payments are up to $45.0 million in the aggregate, and certain milestone payments based on the level of net sales of all licensed products worldwide, which milestone payments are up to $87.5 million in aggregate. In January 2025, we made a milestone payment of $3.0 million upon the first administration to a patient in the Phase 2 clinical trial of DISC-0974. We are also obligated to pay a royalty on net sales of licensed products at a low-single digit rate. The royalty rates are subject to up to a high first decile percentage reduction for lack of a valid claim on a country-by-country basis. See “Business-Intellectual Property-Iron Homeostasis Portfolio” for additional information concerning the intellectual property related to the AbbVie Agreement.</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obligation to pay royalties under the AbbVie Agreement expires on a licensed product-by-licensed product and country-by-country basis upon the later of expiry of (a) (i) the last valid claim of the licensed patents that cover such licensed product or the exploitation thereof in such country or (ii) the last-to-expire improvement patent in such country, whichever is later, (b) the expiration of regulatory exclusivity in such country, and (c) ten years from the first commercial sale of such product in such country.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AbbVie Agreement expires upon expiry of the last remaining royalty obligation for the last licensed product. Under the AbbVie Agreement, either party may terminate the agreement upon the other party’s uncured material breach or insolvency, and AbbVie may also terminate the agreement upon our failure to conduct any relevant material development or commercialization activity in a 12-month period, or, to the extent AbbVie is permitted pursuant to applicable law, a challenge by us of the licensed patents. We may terminate the agreement for any reason upon specified prior written notice to AbbVie.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AbbVie Agreement, we also entered into a stock purchase agreement with AbbVie in September 2019, pursuant to which we agreed to issue 4,336,841 shares of our common stock to AbbVie, with 2,295,174 shares vesting immediately and 2,041,667 shares subject to a performance condition tied to the second and third subsequent closings of our Series A Preferred Stock financing. During the year ended December 31, 2020, the performance conditions were met and the remaining 2,041,667 shares vested. At the closing of the merger, shares of our common stock held before the merger were exchanged for shares of common stock in the combined publicly-traded company based on an exchange ratio of 0.1096.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Exclusive License Agreement with F. Hoffmann-La Roche Ltd and Hoffmann-La Roche Inc.</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2021, we entered into a license agreement, or the Roche Agreement, with F. Hoffmann-La Roche Ltd. and Hoffmann-La Roche Inc., or together, Roche, pursuant to which Roche granted us an exclusive and sublicensable (subject to Roche’s consent, not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to be unreasonably withheld, except with respect to affiliates) worldwide license under certain of Roche’s patent rights and know-how to develop and commercialize bitopertin, including certain backup compounds and derivatives, in all indications and for all therapeutic and prophylactic uses, except diagnostic use. Roche retained the rights with respect to diagnostic uses and its own internal non-clinical research purposes.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Roche Agreement, Roche has an exclusive right to negotiate a license or purchase of all licensed compounds and products in certain specified circumstances. If we, for a specified period of time following entry into the Roche Agreement or before completion of a Phase 3 clinical trial of a licensed product (whichever is later), intend to enter into a sublicense or assignment of the Roche Agreement granting rights in the U.S., China or one or more major EU countries, then Roche will have a specified amount of time to perform diligence and negotiate the applicable license, purchase, or acquisition. If the parties are not able to come to terms during the applicable negotiation period, we are free to enter into the applicable transaction, provided that we may not enter into such a transaction on terms less favorable to us than the terms offered by Roche during a specified period after the conclusion of the negotiation period.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required to use commercially reasonable efforts to develop, seek regulatory approval and, on a country-by-country basis where such regulatory approval has been obtained, commercialize at least one licensed product in each such country.</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Roche Agreement, we paid Roche an initial license payment of $4.5 million and we are required to pay Roche up to an aggregate of $50.0 million in development and regulatory milestone payments for development and approval in a first indication, up to an aggregate of $35.0 million in development and regulatory milestone payments for development and approval in a second indication. In June 2025, we made a milestone payment of $10.0 million upon the initiation of the first Phase 3 clinical trial with a licensed product in a first indication. The next potential milestone payment is $15.0 million due upon regulatory approval in the United States with a licensed product in a first indication. We will also pay Roche up to an aggregate of $120.0 million based on achievement of certain thresholds for annual net sales of licensed products. We are also obligated to pay a royalty on annual net sales of licensed products at a tiered rate ranging from the high-single digits to the high teens. The royalty rates are subject to a reduction (i) by 25% for lack of a valid claim covering the licensed product generating such sales, and (ii) by 50% for prevalence of generic products (or 25% if there are generic products on the market but there is still a valid claim), in each case on a country-by-country basis. Additionally, royalties are apportioned where licensed compounds are commercialized in combination products.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obligation to pay royalties under the Roche Agreement expires on a licensed product-by-licensed product and country-by-country basis upon the later of (a) expiry of the last valid claim of the licensed and improvement patents that cover such licensed product in such country, (b) the expiration of regulatory exclusivity in such country, and (c) twelve years from the first commercial sale of such product in such country. The expiry of the last valid claim of the licensed and improvement patents subject to the Roche agreement is currently scheduled to occur in April 2035.</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Roche Agreement and pursuant to an addendum to the Roche Agreement between the parties executed in December 2021, we agreed to issue to Roche or its affiliates, immediately following the closing of the merger and for no additional consideration, shares of common stock estimated to be approximately 2.85% of the combined company’s issued and outstanding capitalization immediately following the closing of our merger with Gemini Therapeutics, Inc., or Gemini, and our pre-closing financing. Upon completion of the merger, we issued 482,313 shares of common stock to Roche.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Roche Agreement expires upon expiry of the last remaining royalty obligation for the last licensed product. Under the Roche Agreement, either party may terminate the agreement upon the other party’s uncured material breach or insolvency. We may terminate the agreement for any reason upon specified prior written notice to Roche. In the event the Roche Agreement is terminated for certain causes, if Roche elects to continue development or commercialization of licensed products, certain single-digit royalties may be owed to us in connection with such continued development or commercialization.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Exclusive License Agreement with Mabwell Therapeutics, Inc.</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19, 2023, we entered into an exclusive license agreement with Mabwell (a wholly-owned subsidiary of Mabwell (Shanghai) Bioscience Co., Ltd), or the Mabwell Agreement, pursuant to which Mabwell granted us an exclusive and sublicensable license under certain patent rights, know-how, and materials to develop and commercialize antibody products containing Mabwell’s MWTX-001, MWTX-002, and MWTX-003 antibodies, along with limited variants thereof, in all fields of use, in all territories other than Greater China (Mainland China, Hong Kong, Macau and Taiwan) and Southeast Asia (Brunei, Myanmar, Cambodia, Timor-Leste, Indonesia, Laos, Malaysia, Philippines, Singapore, Thailand and Vietnam). We also granted Mabwell an exclusive, sublicensable, royalty-free license under our patents and know-how arising under the Mabwell Agreement to develop and commercialize licensed antibody products in Greater China and Southeast Asia.</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Mabwell Agreement, we paid an upfront payment of $10.0 million in March 2023. In addition, we are required to pay certain development and regulatory milestone payments for the licensed antibody products, for up to three indications, up to a maximum aggregate amount of $127.5 million, as well as certain commercial milestone payments for certain licensed antibody product net sales achievements, up to a maximum aggregate amount of $275.0 million. In October 2023, we made a milestone payment of $5.0 million upon the first administration to a patient in the Phase 1 clinical trial for DISC-3405. In September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both"/>
        <w:spacing w:after="0" w:line="256" w:lineRule="auto"/>
        <w:rPr>
          <w:sz w:val="20"/>
          <w:szCs w:val="20"/>
          <w:color w:val="auto"/>
        </w:rPr>
      </w:pPr>
      <w:r>
        <w:rPr>
          <w:rFonts w:ascii="Times New Roman" w:cs="Times New Roman" w:eastAsia="Times New Roman" w:hAnsi="Times New Roman"/>
          <w:sz w:val="18"/>
          <w:szCs w:val="18"/>
          <w:color w:val="auto"/>
        </w:rPr>
        <w:t>we made a milestone payment of $10.0 million upon the first administration to a patient in a Phase 2 clinical trial for DISC-3405. In February 2026, we completed the first administration to a patient in a Phase 1b clinical trial with a licensed product in a second indication which resulted in milestone payable of $5.0 million. We are further obligated to pay a tiered percentage of revenue that we receive from our sublicensees (excluding revenue that is attributable to net sales on which royalty payments are due), ranging from a low third decile percentage if the sublicense is granted prior to the initiation of a Phase 1 clinical trial of the licensed antibody product, to a low first decile percentage if the sublicense is granted after regulatory approval of the licensed antibody product. No sublicense revenue is due if the sublicense is granted after the first commercial sale of the licensed antibody product.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obligated to pay Mabwell a royalty on annual net sales of all licensed antibody products at a tiered rate ranging from low single-digits to high single-digits, subject to customary royalty reductions for (i) lack of a valid patent claim covering the licensed antibody product generating such sales,</w:t>
      </w:r>
    </w:p>
    <w:p>
      <w:pPr>
        <w:jc w:val="both"/>
        <w:ind w:firstLine="8"/>
        <w:spacing w:after="0" w:line="252" w:lineRule="auto"/>
        <w:tabs>
          <w:tab w:leader="none" w:pos="2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a biosimilar product that equals or exceeds 20% of the total market share of the licensed antibody product, and (iii) a portion of any royalties paid to a third party for patents that claim the composition of matter or method of use of the licensed antibodies. Further, royalties are subject to customary apportionment calculations where the licensed antibodies are commercialized in combination products. The obligation to pay royalties under the Mabwell Agreement expires on a licensed antibody product-by-licensed antibody product and country-by-country basis upon the later of (a) expiration of the last valid patent claim of the licensed patents that cover such licensed antibody product in such country, (b) expiration of regulatory exclusivity for such licensed antibody product in such country, and (c) ten years from the first commercial sale of such licensed antibody product in such country.</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license grant expires upon expiration of the last remaining royalty obligation for the last licensed antibody product in the last country. Either party may terminate the Mabwell Agreement prior to its expiration upon the other party’s uncured material breach, insolvency, or a challenge of the validity or enforceability of the patents licensed to such other party under the agreement. We may also terminate the Mabwell Agreement for convenience on 60 days’ written notice to Mabwell. In the event the Mabwell Agreement is terminated other than by us for cause, we have agreed to grant Mabwell an exclusive, sublicensable, worldwide license under our patent rights and know-how arising under the Mabwell Agreement to develop and commercialize products containing the licensed antibodies. In such circumstances, we and Mabwell will negotiate a royalty to be paid by Mabwell on the net sales of such products in the licensed territory.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strive to protect the proprietary technology that we believe is important to our business, including seeking and maintaining patent protection in the United States and internationally for our current and future product candidates. We also rely on trademarks, copyrights, trade secrets, confidentiality procedures, employee disclosure, invention assignment agreements, know-how, continuing technological innovation and in-licensing opportunities to develop and maintain our proprietary position.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seek to obtain domestic and international patent protection, and endeavor to promptly file patent applications for new commercially valuable inventions. We also rely on trade secrets to protect aspects of our business that are not amenable to, or that we do not consider appropriate for, patent protection.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plan to continue to expand our intellectual property estate by filing patent applications directed to pharmaceutical compositions, methods of treatment, methods of manufacture or new inventions identified from our ongoing development of our product candidates, which include both small molecule and biologic products, such as antibodies.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guarantee that our pending patent applications, or any patent applications that we may in the future file or license from third parties, will result in the issuance of patents. We cannot predict whether the patent applications we are currently pursuing will issue as patents in any particular jurisdiction or at all, whether the claims of any patent applications, should they issue, will cover our product candidates, or whether the claims of any issued patents will provide sufficient protection from competitors or otherwise provide any competitive advantage. We cannot predict the scope of claims that may be allowed or enforced in our patents. In addition, the coverage claimed in a patent application can be significantly reduced before the patent is issued, and its scope can be reinterpreted after issuance. Consequently, we may not obtain or maintain adequate patent protection for any of our product candidates.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 For more information regarding the risks related to our intellectual property, see “Risk Factors-Risks Related to Our Intellectual Property.”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Portfolio</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patent portfolio includes patents and patent applications in the United States and selected jurisdictions outside of the United States. As of February 1, 2026, our patent portfolio in total consisted of 17 issued U.S. patents and 145 issued patents in foreign jurisdictions (e.g., Australia, China, United Kingdom, Germany, Mexico, Japan, and others), six PCT applications, 182 pending non-provisional applications (U.S., EP and other jurisdictions), and seven pending U.S. provisional applications, which include claims directed to compositions and methods of use.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 portfolio includes patents and applications with claims related to the following programs: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Heme Biosynthesis Modulation Portfolio - GlyT1 Inhibition - Bitopertin</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With regard to our heme biosynthesis modulation program, we own eight pending patent families directed to GlyT1 inhibitors (e.g., bitopertin) and various methods of treatment and use claims related, but not limited to EPP, XLP, CEP, DBA, PV, and hepatic porphyrias. Patents and pending applications directed to GlyT1 inhibitors (e.g., bitopertin) and methods of making and using them are expected to expire between 2041 and 2045, without accounting for any potential terminal disclaimers, available patent term adjustments or extensions. In particular, our first and second families are directed to methods of treating EPP, XLP, and CEP with bitopertin and related compounds, and solid forms of bitopertin, and these families, upon grant, will have a twenty-year statutory expiration date of 2041 and 2042, respectively. The first family has entered the national phase in the U.S. Australia, Canada, China, Europe, Japan, and Korea. One U.S patent has granted from the first patent family and is directed to methods of treating EPP or XLP with bitopertin. This patent is expected to expire in 2042, without accounting for any potential terminal disclaimers or available extensions. The second family has entered the national phase in the U.S., Australia, Canada, China, Europe, and Japan. Our third family is directed to methods of treating polycythemias, including PV, with bitopertin and related compounds, and this family, upon grant, will have a twenty-year statutory expiration date of 2042, without accounting for any potential terminal disclaimers, available patent term adjustments or extensions. The third patent family has entered the national phase in the U.S. Australia, Brazil, Canada, China, Europe, Israel, Japan, Korea, and Mexico. Our fourth family is directed to methods of treating anemia associated with a ribosomal disorder (e.g., DBA) with bitopertin and related compounds, and this family, upon grant, will have a twenty-year statutory expiration date of 2042, without accounting for any potential terminal disclaimers, available patent term adjustments or extensions. The fourth patent family has entered the national phase in the U.S. Australia, Brazil, Canada, China, Europe, Israel, Japan, Korea, and Mexico. Our fifth family is directed to methods of treating hepatic porphyrias with bitopertin and related compounds, and this family, upon grant, will have a twenty-year statutory expiration date of 2043, without accounting for any potential terminal disclaimers, available patent term adjustments or extensions. The fifth patent family has entered the national phase in the U.S., Australia, Brazil, Canada, China, Europe, Israel, Japan, Korea, and Mexico. Our sixth family is directed to methods of treating EPP, XLP, and CEP with additional GlyT1 inhibitors, and this family, upon grant, will have a twenty-year statutory expiration date of 2042, without accounting for any potential terminal disclaimers, available patent term adjustments or extensions. The sixth patent family has entered the national phase in the U.S. Australia, Canada, China, Europe, and Japan. Our remaining two patent families are all directed to GlyT1 inhibitors (e.g., bitopertin) and methods of treating various disorders and conditions. These two patent families, upon grant, will have a twenty-year statutory expiration date from 2044 to 2045. We have also in-licensed multiple patent families from F. Hoffmann-La Roche Ltd and Hoffmann-La Roche Inc. comprising seven issued U.S. patents and additional granted patents in the following jurisdictions: Algeria, Australia, Austria, Belgium, Brazil, Bulgaria, Canada, Chile, China, Croatia, Cyprus, Czech Republic, Denmark, Estonia, European Patent Convention, Finland, France, Germany, Great Britain, Greece, Gulf Cooperation Council, Hong Kong, Hungary, Indonesia, Ireland, Israel, Italy, Japan, Latvia, Lithuania, Luxembourg, Malaysia, Malta, Mexico, Monaco, Morocco, Netherlands, New Zealand, Norway, Philippines, Poland, Portugal, Republic of Korea, Republic of Serbia, Romania, Russian Federation, Singapore, Slovak Republic, Slovenia, South Africa, Spain, Sweden, Switzerland, Taiwan, Thailand, Turkey, Ukraine, and Vietnam. Patents and pending applications directed to bitopertin, synthetic intermediates, synthetic methods, synthetic processes of making bitopertin, treatment of hematologic disorders characterized by elevated cellular hemoglobin, and crystalline forms of bitopertin are expected to expire between 2026 and 2035, without accounting for any potential terminal disclaimers. In particular, the first family is directed to composition of matter of bitopertin and processes of preparation. This family has an issued patent in the U.S. that expires in 2026. The second family is directed to processes of preparation of bitopertin, and this family has a twenty-year statutory expiration date of 2028. This family has issued patents in the U.S. and the following jurisdictions: Australia, Austria, Belgium, Brazil, Canada, China, European Patent Convention, Finland, France, Germany, Great Britain, Hungary, Ireland, Israel, Italy, Japan, Mexico, Netherlands, Republic of Korea, Spain, Sweden, and Switzerland. The third and fourth families are directed to synthetic processes for synthetic intermediates, and these families have twenty-year statutory expiration dates of 2026 and 2027, respectively. These families each have issued patents in the U.S. and the following jurisdictions: China, European Patent Convention, France, Germany, Great Britain, Japan, and Switzerland. The fifth family is directed to methods of treating hematological disorders characterized by elevated cellular hemoglobin levels with</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spacing w:after="0" w:line="253" w:lineRule="auto"/>
        <w:rPr>
          <w:sz w:val="20"/>
          <w:szCs w:val="20"/>
          <w:color w:val="auto"/>
        </w:rPr>
      </w:pPr>
      <w:r>
        <w:rPr>
          <w:rFonts w:ascii="Times New Roman" w:cs="Times New Roman" w:eastAsia="Times New Roman" w:hAnsi="Times New Roman"/>
          <w:sz w:val="18"/>
          <w:szCs w:val="18"/>
          <w:color w:val="auto"/>
        </w:rPr>
        <w:t>bitopertin, and this family has a twenty-year statutory expiration date of 2035. This family has issued patents in the U.S. and the following jurisdictions: Algeria, China, Croatia, Cyprus, European Patent Convention, France, Germany, Great Britain, Greece, Hong Kong, Indonesia, Italy, Japan, Malaysia, Morocco, Philippines, Portugal, Republic of Korea, Republic of Serbia, Slovenia, South Africa, Spain, Switzerland, and Turkey. The sixth family is directed composition of matter of additional GlyT1 inhibitors, and this family has a twenty-year statutory expiration date of 2026. This family has issued patents in the U.S. and the following jurisdictions: China, European Patent Convention, France, Germany, Great Britain, Hong Kong, Japan, and Switzerland. The seventh family is directed to crystalline forms of bitopertin, and this family has a twenty-year statutory expiration date of 2027. This family has issued patents in the following jurisdictions: Australia, Austria, Belgium, Brazil, Bulgaria, Chile, Croatia, Cyprus, Czech Republic, Denmark, Estonia, European Patent Convention, Finland, France, Germany, Great Britain, Greece, Gulf Cooperation Council, Hungary, Indonesia, Ireland, Italy, Japan, Latvia, Lithuania, Luxembourg, Malaysia, Malta, Mexico, Monaco, Morocco, Netherlands, New Zealand, Norway, Philippines, Poland, Portugal, Republic of Korea, Republic of Serbia, Romania, Russian Federation, Singapore, Slovak Republic, Slovenia, South Africa, Spain, Sweden, Switzerland, Taiwan, Turkey, Ukraine, and Vietnam.</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Several of the indications that we expect to pursue with bitopertin, including EPP, XLP and DBA, are rare diseases. We have received orphan drug designation from the FDA for bitopertin for the treatment of EPP and the European Committee for Orphan Medical Products adopted a positive opinion on Orphan Designation for bitopertin for treatment of EPP. We expect to file for an orphan drug designation for other indications in the United States and other relevant jurisdictions. If successful, orphan drug designation may provide a form of exclusivity for a period of years, described in greater detail below. See “Our Business-Governmental Regulation-Orphan Drug Designation and Exclusivity.”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Iron Homeostasis Portfolio – Hepcidin Suppression – DISC-0974 and DISC-0998</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 regard to our iron homeostasis portfolio, including our DISC-0974 and DISC-0998 programs, we own eleven patent families, including one PCT patent application that has entered the national phase in Australia, Canada, China, Europe, Hong Kong, Israel, Japan, Korea, and United States, one PCT patent application that has entered the national phase in Europe, and United States, one PCT patent application that has entered the national phase in Australia, Canada, China, Europe, Hong Kong, Israel, Japan, Korea, and United States, one PCT patent application that has entered the national phase in Australia, Brazil, Canada, China, Europe, Hong Kong, Israel, India, Japan, Korea, Mexico, New Zealand, Singapore, and United States, one PCT patent application that has entered the national phase in Australia, Brazil, Canada, China, Europe, Hong Kong, Japan, Korea, Mexico, and United States, one PCT patent application that has entered the national phase in Australia, Brazil, Canada, China, Europe, Hong Kong, Japan, Korea, Mexico, and United States, three pending PCT patent applications, and two pending U.S. provisional applications. These patent families contain claims directed at composition of matter, method of treatment and use claims related to our initial indications, anemia of myelofibrosis and chronic kidney disease as well as other indications, e.g., anemia of inflammatory bowel disease and other anemias of chronic disease involving iron restriction from elevated hepcidin. Patents issuing from these applications are expected to expire between 2040 and 2046 without accounting for any potential terminal disclaimers, available patent term adjustments or extensions. Further, several of the above owned patent applications within our iron homeostasis portfolio are Joint Patents according to the AbbVie Agreement, whereby we own the patent applications and any patents granted thereon jointly with AbbVie, and we hold an exclusive license to AbbVie’s interest in the patent applications and any patents granted thereon pursuant to the AbbVie Agreement.</w:t>
      </w:r>
    </w:p>
    <w:p>
      <w:pPr>
        <w:spacing w:after="0" w:line="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in-license a patent family from AbbVie comprised of four issued U.S. patents that are expected to expire in 2032 and 2035, and issued patents in Australia, Canada, Brazil, China, the United Kingdom, Germany, Mexico, and Japan that are each expected to expire in 2032. These in-licensed patents include composition of matter claims, as well as method of treatment and use claims related to diseases of iron metabolism, such as anemia of chronic disease, iron-refractory iron-deficiency anemia, and anemia of chronic kidney disease. This in-licensed patent family also includes seven pending non-provisional applications in the United States, Australia, Brazil, Canada, China, Europe, and Japan. Any patents that issue on these pending non-provisional applications are likewise expected to expire in 2032, without accounting for any potential terminal disclaimers, available patent term adjustments or extensions.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Iron Homeostasis Portfolio – Hepcidin Induction – MWTX-001, MWTX-002, and DISC-3405 (formerly MWTX-003)</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regard to our TMPRSS6 inhibitor program, we in-license a patent family from Mabwell comprised of nine pending non-provisional applications in Australia, Canada, Europe, India, Japan, Korea, and United States; and a patent family consisting of pending non-provisional applications in Australia, Brazil, Canada, China, Europe, Japan, Korea, Mexico, and United States. These in-licensed patent applications include composition of matter claims to antibodies designed to inhibit TMPRSS6, including MWTX-001, MWTX-002, and DISC-3405, as well as method of treatment and use claims related to diseases of iron metabolism (e.g., PV). Two U.S patents have been granted from the in-licensed patent family and are directed to the DISC-3405 TMPRSS antibody. These patents are expected to expire in 2041, without accounting for any potential terminal disclaimers, available patent term adjustments or extensions. We also own four patent families in our iron homeostasis portfolio. The first patent family is directed to methods of treatment claims related to diseases of iron metabolism, and this patent family consists of nine pending non-provisional applications in Australia, Brazil, Canada, China, Europe, Japan, Korea, Mexico, and United States. This application, upon grant, will have 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both"/>
        <w:spacing w:after="0" w:line="253" w:lineRule="auto"/>
        <w:rPr>
          <w:sz w:val="20"/>
          <w:szCs w:val="20"/>
          <w:color w:val="auto"/>
        </w:rPr>
      </w:pPr>
      <w:r>
        <w:rPr>
          <w:rFonts w:ascii="Times New Roman" w:cs="Times New Roman" w:eastAsia="Times New Roman" w:hAnsi="Times New Roman"/>
          <w:sz w:val="18"/>
          <w:szCs w:val="18"/>
          <w:color w:val="auto"/>
        </w:rPr>
        <w:t>twenty-year statutory expiration date of 2044, without accounting for any potential terminal disclaimers, available patent term adjustments or extensions. The second patent family includes one pending PCT directed to TMPRSS6 antibody formulations. This application, upon grant, will have a twenty-year statutory expiration date of 2045, without accounting for any potential terminal disclaimers, available patent term adjustments or extensions. The third patent family includes one US provisional application directed to method of treatment claims related to dietary iron absorption. This application, upon grant, will have a twenty-year statutory expiration date of 2046, without accounting for any potential terminal disclaimers, available patent term adjustments, or extensions. The fourth patent family includes one US provisional application directed to method of treatment claims related to SCD. This application, upon grant, will have a twenty-year statutory expiration date of 2046, without accounting for any potential terminal disclaimers, available patent term adjustments, or extensions. Further, several of the above owned patent applications within our iron homeostasis portfolio and any patents granted thereon are jointly owned by us and Mabwell, and we hold an exclusive license to Mabwell’s interest in the patent applications and any patents granted thereon pursuant to the Mabwell Agreement.</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own a fifth patent family comprising five patents in Australia, China, Europe, India, and Japan and three pending non-provisional applications in United States, Japan, and Canada, and a sixth and seventh patent family each comprising one non-provisional application in the U.S. These patent families are directed to other compounds that inhibit TMPRSS6 and methods of using the same. Any patents that issue on the non-provisional applications in the first family are expected to expire in 2039, without accounting for any potential terminal disclaimers, available patent term adjustments or extensions. Any patents that issue from the non-provisional application in the second or third families are expected to expire in 2041 and 2044, respectively, without accounting for any potential terminal disclaimers, available patent term adjustments or extensions.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including the U.S., the base term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 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FDA-approved method of treatment using the drug and/or a method of manufacturing the FDA-approved drug. The extended patent term cannot exceed the shorter of five years beyond the non-extended 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future, if and when our product candidates receive FDA approval, we expect to apply, if appropriate, for patent term extension on patents directed to those product candidates, their methods of use and/or methods of manufacture.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patents, we rely on trade secrets and know-how to develop and maintain our competitive position. We typically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For more information regarding the risks related to our intellectual property, see “Risk Factors-Risks Related to Our Intellectual Property.”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and biologics. We, along with our vendors, contract research organizations, or CROs, clinical investigators and contract manufacturing organizations, or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biologics and ensuring subsequent compliance with appropriate federal, state, local and foreign statutes and regulations requires the expenditure of substantial time and financial resources.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the FDA regulates drug products under the Federal Food, Drug, and Cosmetic Act, or FD&amp;C Act, and biologics under the FD&amp;C Act and the Public Health Service Act, or PHSA, as amended, and their implementing regulations. Both drugs and biologics are also subject to other federal, state and local statutes and regulations. We believe that bitopertin, which is a small molecule, will be regulated by the FDA as a drug product, and that DISC-0974, DISC-0998 and DISC-3405, which are monoclonal antibodies, will be regulated by FDA as biologic products. If we fail to comply with applicable FDA or other requirements at any time with respect to product development, clinical testing, approval or any other regulatory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candidates must be approved for therapeutic indications by the FDA before they may be marketed in the United States. For drug product candidates regulated under the FD&amp;C Act, FDA must approve an NDA. For biologic product candidates regulated under the FD&amp;C Act and PHSA, FDA must approve a Biologics License Application, or BLA. The process is similar for both drugs and biologics and generally involves the following:</w:t>
      </w:r>
    </w:p>
    <w:p>
      <w:pPr>
        <w:spacing w:after="0" w:line="68" w:lineRule="exact"/>
        <w:rPr>
          <w:sz w:val="20"/>
          <w:szCs w:val="20"/>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annually and when certain changes are made;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at each clinical trial site before each trial may be initiated;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an NDA or BLA;</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or BLA to file the application for review;</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or pre-license inspections of the manufacturing facility or facilities where the drug will be produced to assess compliance with cGMP requirements to assure that the facilities, methods and controls are adequate to preserve the drug or biological product’s identity, strength, quality and purity;</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audit of the clinical trial sites that generated the data in support of the NDA or BLA;</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or BLA, unless a waiver is applicable;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 including, where applicable, consideration of the views of any FDA advisory committee, prior to any commercial marketing or sale of the drug in the United States.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for Drugs and Biologics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Before testing any drug or biologic in humans, the product candidate must undergo rigorous preclinical testing. Preclinical studies include laboratory evaluations of product chemistry, formulation and stability,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 IND is a request for authorization from the FDA to administer an investigational product to humans and must become effective before clinical trials may begin. The central focus of an IND submission is on the general investigational plan and the protocol(s) for clinical studies. The IND also includes the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the deficiencies articulated by FDA are corrected.</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www.ClinicalTrials.gov, a clinical trials database maintained by the National Institutes of Health.</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trial sponsor, known as a data safety monitoring board or committee. This group provides authorization for whether or not a clinical trial may move forward at designated check points based on access that only the group maintains to available data from the trial and may recommend halting the clinical trial if it determines that the participants or patients are being exposed to an unacceptable health risk or other grounds, such as no demonstration of efficacy. Other reasons for suspension or termination may be made by us based on evolving business objectives and/or competitive climate.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or BLA if the study was well-designed and well-conducted in accordance with GCP requirements, including that the clinical trial was performed by a qualified investigator(s); the data are applicable to the U.S. population and U.S. medical practice; and the FDA is able to validate the data through an onsite inspection if deemed necessary.</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Clinical trials to evaluate therapeutic indications to support NDAs and BLAs for marketing approval are typically conducted in three sequential phases, which may overlap.</w:t>
      </w:r>
    </w:p>
    <w:p>
      <w:pPr>
        <w:spacing w:after="0" w:line="52" w:lineRule="exact"/>
        <w:rPr>
          <w:sz w:val="20"/>
          <w:szCs w:val="20"/>
          <w:color w:val="auto"/>
        </w:rPr>
      </w:pPr>
    </w:p>
    <w:p>
      <w:pPr>
        <w:jc w:val="both"/>
        <w:ind w:left="760" w:hanging="378"/>
        <w:spacing w:after="0" w:line="26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 Phase 1 clinical trials involve initial introduction of the investigational product in a limited population of healthy human volunteers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Phase 2 clinical trials typically involve administration of the investigational product to a limited patient population with a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or condition to evaluate the drug’s potential efficacy, to determine the optimal dosages and dosing schedule and to identify possible adverse side effects and safety risks.</w:t>
      </w:r>
    </w:p>
    <w:p>
      <w:pPr>
        <w:spacing w:after="0" w:line="65" w:lineRule="exact"/>
        <w:rPr>
          <w:rFonts w:ascii="Times New Roman" w:cs="Times New Roman" w:eastAsia="Times New Roman" w:hAnsi="Times New Roman"/>
          <w:sz w:val="18"/>
          <w:szCs w:val="18"/>
          <w:color w:val="auto"/>
        </w:rPr>
      </w:pPr>
    </w:p>
    <w:p>
      <w:pPr>
        <w:jc w:val="both"/>
        <w:ind w:left="760" w:hanging="378"/>
        <w:spacing w:after="0" w:line="257"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Phase 3 clinical trials typically involve administration of the investigational product to an expanded patient population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Historically, two adequate and well-controlled Phase 3 trials have generally been required by the FDA for approval of an NDA or BLA. However, more recently, the FDA indicated that one adequate and well-controlled Phase 3 trial, combined with confirmatory evidence, may serve as the basis of marketing authorization of novel products.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NDA or BLA approval.</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 During the development of a new drug or biological product, sponsors have the opportunity to meet with the FDA at certain points, including prior to submission of an IND, at the end of Phase 2 and before submission of an NDA or BLA. These meetings can provide an opportunity for the sponsor to share information about the data gathered to date and for the FDA to provide advice on the next phase of development.</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For biological products in particular, the PHSA emphasizes the importance of manufacturing control for products whose attributes cannot be precisely defined in order to help ensure safety, purity and potency. Additionally, appropriate packaging must be selected and tested, and stability studies must be conducted to demonstrate that the product candidate does not undergo unacceptable deterioration over its shelf life.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Marketing Approval for Drugs and Biologics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An NDA is a request for approval to market a new drug for one or more specified indications and must contain proof of the drug’s safety and efficacy for the requested indications. A BLA is a request for approval to market a new biologic for one or more specified indications and must contain proof of the biologic’s safety, purity and potency for the requested indications. The marketing application is required to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or the safety, purity and potency of the investigational biologic, to the satisfaction of the FDA. FDA must approve an NDA or BLA before a drug or biologic may be marketed in the United States. The FDA reviews all submitted NDAs and BLAs to ensure they are sufficiently complete to permit substantive review before it accepts them for filing and may request additional information rather than accepting the NDA or BLA for filing. The FDA must make a decision on accepting an NDA or BLA for filing within 60 days of receipt, and such decision could include a refusal to file by the FDA. Once the submission is accepted for filing, the FDA begins an in-depth substantive review of the NDA or BLA. The FDA reviews an NDA or BLA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policies agreed to by the FDA under the Prescription Drug User Fee Act, or PDUFA, the FDA targets ten months, from the filing date, in which to complete its initial review of a new molecular entity NDA or BLA and respond to the applicant, and six months from the filing date of a new molecular entity NDA or BLA for priority review. The FDA does not always meet its PDUFA goal dates for standard or priority NDAs or BLAs, and the review process is often extended by FDA requests for additional information or clarification.</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under PDUFA, as amended, each NDA or BLA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special monitoring or other risk-minimization tools.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or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or BLA, the FDA may inspect one or more clinical trial sites to assure compliance with GCP and other requirements and the integrity of the clinical data submitted to the FDA.</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After evaluating the NDA or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contains a statement of specific conditions that must be met in order to secure final approval of the NDA or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require additional clinical or preclinical testing or recommend other actions, such as requests for additional information or clarification, that the applicant might take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or biologic intended to treat a rare disease or condition, which is a disease or condition with either a patient population of fewer than 200,000 individuals in the United States, or a patient population of 200,000 or more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or BLA.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FDA may further reevaluate its regulations and policies under the Orphan Drug Act. It is unclear as to how, if at all, the FDA may change the orphan drug regulations and policies in the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Designation and Priority Review Vouchers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FD&amp;C Act, the FDA incentivizes the development of products that meet the definition of a “rare pediatric disease,” defined to mean a serious or life-threatening disease in which the serious or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for such disease or condition will be recovered from sales in the United States of such drug. The sponsor of a product candidate for a rare pediatric disease may be eligible for a voucher that can be used to obtain a priority review for a subsequent human drug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its marketing application if it requests such a voucher in its original marketing application and meets all of the eligibility criteria. If a PRV is received, it may be sold or transferred an unlimited number of times. Under current statutory provisions, after September 30, 2029, the FDA may not award any rare pediatric disease priority review vouchers, although the FDA's authority to do so could be extended by Congress in the future.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for Drugs and Biologics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and biologics to get them to patients more quickly than standard FDA review timelines typically permit.</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new drug or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 Additionally, the FDA may rescind a fast track designation if it believes that the designation is no longer supported by data emerging in the clinical trial process.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 new drug or biologic may be eligible for breakthrough therapy designation if it is intended to treat a serious or life-threatening disease or condition and preliminary clinical evidence indicates that the drug or biologic, alone or in combination with one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product development program beginning as early as Phase 1, and FDA organizational commitment to expedited development, including involvement of senior managers and experienced review staff in a cross-disciplinary review, where appropriate.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or BLA is submitted, if the product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generally contingent on a sponsor’s agreement to conduct, in a diligent manner, adequate and well-controlled additional post-approval confirmatory trials to verify and describe the product’s clinical benefit. Under the Food and Drug Omnibus Reform Act of 2022, or FDORA, the FDA is now permitted to require that such trials be underway prior to approval or within a specific time period after the date accelerated approval is granted. Additionally, under FDORA, the FDA has increased authority for expedited procedures to withdraw approval of a product or an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After the 120-day period has passed, all advertising and promotional materials must be submitted at least 30 days prior to the intended time of initial dissemination or publication.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 and Pediatric Exclusivity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or PREA, as amended, certain NDAs and BLAs and certain NDA and BLA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 Unless otherwise required by regulation, PREA does not apply to a drug or biologic for an indication for which orphan designation has been granted.</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product can also obtain pediatric market exclusivity in the United States. Pediatric exclusivity, if granted, adds six months to existing exclusivity periods for biologics and drugs and patent terms for drugs. This six-month exclusivity, which runs from the end of other exclusivity protection for biologics and drugs or patent term for drugs, may be granted based on the voluntary completion of a pediatric study in accordance with an FDA-issued “Written Request” for such a study.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Post-Approval Requirements for Drugs and Biologics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Drugs and biologics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Promotional materials for approved drugs and biologics must be submitted to the FDA in conjunction with their first use or first publication. Further, if there are any modifications to the drug or biologic, including changes in indications, labeling or manufacturing processes or facilities, the applicant may be required to submit and obtain FDA approval of a new NDA or BLA or NDA or BLA supplement, which may require the development of additional data or preclinical studies and clinical trials.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or BLA. For example, the FDA may require post-market testing, including Phase 4 clinical trials, and surveillance to further assess and monitor the product’s safety and effectiveness after commercialization. In addition, manufacturers and their subcontractors involved in the manufacture and distribution of approved drugs and biologics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a sponsor may use. Additionally, manufacturers and other parties involved in the drug supply chain for prescription drug and biological products must also comply with product tracking and tracing requirements and for notifying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 and other aspects of regulatory compliance. Failure to comply with statutory and regulatory requirements may subject a manufacturer to possible legal or regulatory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action, such as warning letters, suspension of manufacturing, product seizures, injunctions, civil penalties or criminal prosecution. There is also a continuing, annual program user fee for any marketed product.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75"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product approvals;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issuance of corrective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our future product candidates, some of our United States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 term restoration, however, cannot extend the remaining term of a patent beyond a total of 14 years from the product’s approval date and only those claims covering such approved drug product, a method for using it or a method for manufacturing it may be extended. The patent 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a patent’s current expiration date, depending on the expected length of the clinical trials and other factors involved in the filing of the relevant NDA or BLA.</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Marketing exclusivity provisions under the FDCA also can delay the submission or the approval of certain drug product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U.S. Biosimilars and Exclusivity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or BPCIA, created an abbreviated approval pathway for biological products that are biosimilar to or interchangeable with an FDA-licensed reference biological product. The FDA has issued several guidance documents outlining an approach to review and approval of biosimilars in the United States.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Manufacturing, labeling, packaging, distribution, sales, promotion and other activities of product candidates following product approval, where applicable, or commercialization are also potentially subject to federal and state consumer protection and unfair competition laws, among other requirements to which we may be subject. Additionally, the activities associated with the commercialization of product candidates is subject to regulation by numerous regulatory authorities in the United States in addition to the FDA, which may include the Centers for Medicare &amp; Medicaid Services, or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defends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statutes, regulations,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federal and state laws targeting fraud and abuse in the healthcare industry. These laws may impact, among other things, our sales and marketing programs. In addition, we may be subject to patient privacy regulation by both the federal government and the states in which we conduct our business. The laws that may affect our operations include: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jc w:val="both"/>
        <w:ind w:left="380" w:hanging="372"/>
        <w:spacing w:after="0" w:line="253"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spacing w:after="0" w:line="81" w:lineRule="exact"/>
        <w:rPr>
          <w:rFonts w:ascii="Times New Roman" w:cs="Times New Roman" w:eastAsia="Times New Roman" w:hAnsi="Times New Roman"/>
          <w:sz w:val="18"/>
          <w:szCs w:val="18"/>
          <w:color w:val="auto"/>
        </w:rPr>
      </w:pPr>
    </w:p>
    <w:p>
      <w:pPr>
        <w:jc w:val="both"/>
        <w:ind w:left="380" w:hanging="372"/>
        <w:spacing w:after="0" w:line="254"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spacing w:after="0" w:line="83"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U.S. Healthcare Reform Measures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In particular, the ACA, among other things, subjected biologic products to potential competition by lower-cost biosimilars;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Medicare Part D coverage gap discount program, under which manufacturers were required to agree to offer 70% point-of-sale discounts off negotiated prices of applicable brand drugs to eligible beneficiaries during their coverage gap period, as a condition for the manufacturer’s outpatient drugs to be covered under Medicare Part D (later revised by the Inflation Reduction Act); and provided incentives to programs that increase the federal government’s comparative effectiveness research.</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 xml:space="preserve">relationship between pricing and </w:t>
      </w:r>
      <w:r>
        <w:rPr>
          <w:rFonts w:ascii="Times New Roman" w:cs="Times New Roman" w:eastAsia="Times New Roman" w:hAnsi="Times New Roman"/>
          <w:sz w:val="18"/>
          <w:szCs w:val="18"/>
          <w:color w:val="000000"/>
        </w:rPr>
        <w:t>manufacturer</w:t>
      </w:r>
      <w:r>
        <w:rPr>
          <w:rFonts w:ascii="Times New Roman" w:cs="Times New Roman" w:eastAsia="Times New Roman" w:hAnsi="Times New Roman"/>
          <w:sz w:val="18"/>
          <w:szCs w:val="18"/>
          <w:color w:val="231F20"/>
        </w:rPr>
        <w:t xml:space="preserve"> patient programs, and reform government program reimbursement methodologies for drugs. Both the current administration and Congress have indicated that they will continue to seek new legislative and executive measures to control drug costs.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multiple executive orders have been issued (and we anticipate that additional executive orders will be issued under the current administration) that have sought to reduce prescription drug costs. Although a number of these and other proposed measures may require authorization through additional legislation to become effective, and the current administration may reverse or otherwise change these measures, both the current administration and Congress have indicated that they will continue to seek new legislative measures to control drug costs. It is unclear how these healthcare reform measures will impact our business.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drug pricing reforms proposed by the current administration, CMS released two proposed rules on December 19, 2025 that would introduce most-favored-nation pricing principles into Medicare drug reimbursement. The first proposal, the Global Benchmark for Efficient Drug Pricing Model, for Medicare Part B, would require manufacturers of specified single source drugs and sole source biologics to pay incremental rebates based on international benchmark prices, with participation triggered for products meeting certain spending and eligibility criteria established by CMS. The second proposal, the Guarding U.S. Medicare Against Rising Drug Costs model for Medicare Part D, would similarly mandate manufacturer rebates for qualifying sole source drugs where the Medicare net price exceeds a most-favored-nation benchmark derived from international reference pricing methodologies. As proposed, Global Benchmark for Efficient Drug Pricing Model would begin a five-year performance period on October 1, 2026 and the Guarding U.S. Medicare Against Rising Drug Costs would begin its performance period in 2027. These proposals are likely to face legal challenges that could delay or modify their implementation. Separately, in November 2025, CMS introduced the GENErating cost Reductions fOr U.S. Medicaid, or GENEROUS Model, a voluntary most-favored-nation-based framework for manufacturers participating in the Medicaid Drug Rebate Program. While participation is optional, the GENEROUS Model could nonetheless influence manufacturer pricing strategies and the broader drug pricing landscape.</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For example, the U.S. American Rescue Plan Act of 2021 eliminated the statutory Medicaid drug rebate cap, previously set at 100% of a drug’s average manufacturer price, for single source and innovator multiple source drugs, starting January 1, 2024. Due to the Statutory Pay-As-You-Go Act of 2010, estimated budget deficit increases resulting from the American Rescue Plan Act of 2021, and subsequent legislation, Medicare payments to providers will be further reduced starting in 2025 absent further legislation. Further, the U.S. Budget Control Act of 2011, included aggregate reductions of Medicare payments to providers of 2% per fiscal year that will remain in effect through 2031. The U.S. American Taxpayer Relief Act of 2012 further reduced Medicare payments to several types of providers and increased the statute of limitations period for the government to recover overpayments to providers from three to five years.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or the IRA, includes several provisions that will impact our business to varying degrees,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effect of IRA on our business and the healthcare industry in general is not yet known.</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We expect that additional state and federal healthcare reform measures will be adopted in the future, any of which could limit the amounts that federal and state governments will pay for healthcare products and services.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Environmental, Health and Safety Laws and Regulations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maintains workers’ compensation insurance to cover costs and expenses we may incur due to injuries to our employees as well as insurance for environmental liability, but this insurance may not provide adequate coverage against potential liabilities. However, we do not maintain insurance for toxic tort claims that may be asserted against us.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had 155 full-time employees, including 45 who hold Ph.D. or M.D. degrees, and no part-time employees. Of the full-time employees, 99 employees are engaged in research and development and 56 employees are engaged in management or selling, general and administrative activities. None of our employees are subject to a collective bargaining agreement or represented by a trade or labor union. We consider our relationship with our employees to be good.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office is located at 321 Arsenal Street, Suite 101, Watertown, MA 02472, where we lease and sublease a total of approximately 16,847 square feet of office space. Our sublease expires in November 2026 and our lease expires in December 2029. Upon expiration of the sublease, we will lease the same space through December 2029 pursuant to an existing agreement. We believe that these facilities will be adequate for our near-term needs. If required, we believe that suitable additional or substitute space will be available in the future on commercially reasonable terms to accommodate any such expansion of our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other claims and legal proceedings relating to claims arising out of our operations. We are not currently a party to any material legal proceedings.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proxy statements, and other information, including amendments and exhibits to such reports, filed or furnished pursuant to Section 13(a) or 15(d) of the Securities Exchange Act of 1934, are available free of charge on our website located at www.discmedicine.com, as soon as reasonably practicable after they are filed with or furnished to the SEC. These reports are also available at the SEC’s Internet website at www.sec.gov.</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beginning on page ii of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clinical trials, preparing for the potential commercialization of bitopertin, if approved, and providing general and administrative support for these operations. We have not yet demonstrated our ability to successfully develop any product candidate, obtain regulatory approvals, manufacture a commercial-scale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anticipate that we will continue to incur losses for the foreseeable future.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net losses were $212.2 million, $109.4 million and $76.4 million for the years ended December 31, 2025, 2024 and 2023, respectively. We had an accumulated deficit of $510.2 million as of December 31, 2025. Substantially all of our net losses have resulted from costs incurred in connection with our research and development programs and from selling, general and administrative costs associated with our operations. We expect our research and development expenses to continue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our future losses is uncertain and our quarterly and annual operating results may fluctuate significantly in the future due to a variety of factors, many of which are outside of our control and may be difficult to predict, including the following:</w:t>
      </w:r>
    </w:p>
    <w:p>
      <w:pPr>
        <w:spacing w:after="0" w:line="54" w:lineRule="exact"/>
        <w:rPr>
          <w:sz w:val="20"/>
          <w:szCs w:val="20"/>
          <w:color w:val="auto"/>
        </w:rPr>
      </w:pPr>
    </w:p>
    <w:p>
      <w:pPr>
        <w:ind w:left="760" w:right="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open clinical trial sites and recruit and retain subjects for clinical trials and any delays caused by difficulties in such efforts;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and products, should they receive regulatory approval, which may vary depending on the quantity of production and the terms of our agreements with manufacturers;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should they receive regulatory approval, which may vary significantly;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environments;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collaborative revenue from our product candidates and have not generated revenue from product sales. We do not expect to generate significant revenue unless and until we obtain regulatory approval of, and begin to sell, one or more of our product candidates, which may take longer than we anticipate, or may not occur at all. Our ability to generate revenue depends on a number of factors, including, but not limited to, our ability to:</w:t>
      </w:r>
    </w:p>
    <w:p>
      <w:pPr>
        <w:spacing w:after="0" w:line="72"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our ongoing and planned preclinical studies for our current and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and receive acceptance of our Investigational New Drug applications, or INDs, in order to commence our planned clinical trials or future clinical trials;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enroll subjects in and complete, our ongoing and planned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and efficacy studies necessary to obtain U.S. and foreign regulatory approval for our product candidates;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address the prevalence, duration and severity of potential side effects or other safety issues experienced with our product candidates, if any;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New Drug Applications, or NDAs, and Biologics License Applications, or BLAs, and receive regulatory approvals for our product candidates from the U.S. Food and Drug Administration, or the FDA, and comparable foreign regulatory authorities;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clinical and commercial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our product candidates to effectively compete with other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healthcare coverage and adequate reimbursement, if and when our product candidates are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products following approval.</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indebtedness could adversely affect our ability to operate our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we entered into a Loan and Security Agreement, or the Hercules Loan Agreement, with the lenders party thereto, or the Lenders, and Hercules Capital, Inc., as administrative agent and collateral agent, or the Agent. The Hercules Loan Agreement provides for up to $200.0 million of senior secured term loans, or the Term Loan, available to us in multiple tranches. The Term Loan will mature on December 1, 2029. Our obligations under the Hercules Loan Agreement are secured, subject to customary permitted liens and other agreed-upon exceptions, by a first-priority perfected security interest in all of our tangible and intangible assets, other than intellectual property.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Hercules Loan Agreement contains customary affirmative and negative covenants that could prevent us from taking certain actions without the consent of the Lenders. These covenants may limit our flexibility in operating our business and our ability to take actions that might be advantageous to us and our stockholders. Affirmative covenants include, among others, a financial covenant requiring us to maintain a minimum amount of qualified cash. Negative covenants include, among others: restrictions on transferring any part of our business or intellectual property; incurring additional indebtedness; engaging in mergers or acquisitions; paying dividends or making other distributions; making investments; and creating other liens on our assets, in each case subject to customary exceptions.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Hercules Loan Agreement also contains customary events of default, including the occurrence of a Material Adverse Effect (as defined in the Hercules Loan Agreement), and failure to make payments when due or comply with other covenants therein. We intend to satisfy our current and future debt service obligations with our then-existing cash and cash equivalents. However, we may not have sufficient funds, and may be unable to arrange for additional financing, to pay the amounts due under Hercules Loan Agreement or any other debt instruments. Upon the occurrence and continuance of an event of default, the Lenders may accelerate all of our repayment obligations and take control of our pledged assets, potentially requiring us to renegotiate our agreement on terms less favorable to us or to immediately cease operations. Any declaration by the Lenders of an event of default would therefore significantly harm our business and prospects and could cause the price of our common stock to decline.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raise any additional debt financing, the terms of such additional debt could further restrict our operating and financial flexibility.</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substantial additional funding. If we are unable to raise capital when needed or on terms acceptable to us, we may be forced to delay, reduce or eliminate some of our product development programs or commercialization efforts.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continue to incur costs associated with operating as a public company. Accordingly, we may need to obtain substantial additional funding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cash, cash equivalents and marketable securities will be sufficient to fund our current operating and capital expenditure plans and our debt service obligations into 2029, without taking into account any potential net cash inflows from bitopertin or any other marketed product, if approved during such period. However, we have based this estimate on assumptions that may prove to be wrong, and we could exhaust our available capital resources sooner than expected. Our future capital requirements will depend on and could increase significantly as a result of many factors, including:</w:t>
      </w:r>
    </w:p>
    <w:p>
      <w:pPr>
        <w:spacing w:after="0" w:line="72"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the extent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and maintain existing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 for any approved products.</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may take longer than we anticipate to become commercially available, if they become commercially available at all. Accordingly, we may need to continue to rely on additional financing to achieve our business objectives.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such time, if ever, we can generate substantial product revenue, we expect to finance our cash needs through a combination of private and public equity offerings, debt financings, collaborations, strategic alliances and licensing arrangements. Other than up to $80.0 million of additional advances that may be drawn at our option under the Hercules Loan Agreement,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Additional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yet progressed any product candidates through a Phase 3 clinical trial and may be unable to successfully complete any additional clinical trials for any product candidates we develop. Certain of our programs are still in preclinical development and may never advance to clinical development.</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currently have only three product candidates in clinical development, none of which has yet progressed through a completed Phase 3 clinical trial. As such, we have not yet demonstrated our ability to successfully complete large-scale, pivotal clinical trials, obtain regulatory approvals, manufacture a commercial scale product or arrange for a third party to do so on our behalf or conduct sales and marketing activities necessary for successful commercialization. The majority of our programs are still in preclinical and early to mid-stage clinical development. Our clinical programs may not advance to the next stage of clinical development, and our preclinical programs may never advance to clinical development or through clinical development, as applicable. We may not initiate any clinical trial of our product candidates until we have submitted an IND to the FDA or comparable submissions with equivalent regulatory authorities and received regulatory clearance. We may not be able to submit INDs or other regulatory filings for any of our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any of our clinical trials is subject to finalizing the trial design based on discussions with the FDA and other regulatory authorities. Any guidance we receive from the FDA or other regulatory authorities is subject to change. The outcomes of our interactions with these regulatory authorities, including interactions critical to successfully advancing through the different phases of clinical development, such as end-of-phase 2 meetings with the FDA, may be difficult to predict ahead of time. In particular, regulatory authorities could change their position, including on the acceptability of our trial designs or the clinical endpoints selected, which may require us to complete additional clinical trials or result in the composition of stricter approval conditions than currently expected. Our ability to successfully advance from preclinical studies through the different phases of clinical development is therefore subject to significant uncertainty.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w:t>
      </w:r>
    </w:p>
    <w:p>
      <w:pPr>
        <w:spacing w:after="0" w:line="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single well-controlled clinical trial may not be sufficient for approval. Historically, the FDA has generally required two well-controlled clinical trials to support registration of a new drug or biologic, although exceptions have been made in cases of a severe disease with few treatment options, and in principle this exception may appear applicable to many of the diseases that we seek to treat, such as EPP, XLP, anemia of MF, DBA and others. More recently, the FDA has indicated that its default position will be that one well-controlled clinical trial, combined with confirmatory evidence, will serve as the basis of marketing authorization of novel products. Nonetheless, the FDA and other regulators may always require additional clinical trials to support regulatory approval.</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regulatory approval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regulatory approval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subject to post-marketing testing requirements;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having the product removed from the market after obtaining regulatory approval.</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and clinical results to date, that our programs have the potential to provide disease-modifying therapies, future clinical results may not confirm this hypothesis or may only confirm it for certain alterations or certain indications. The patient populations for our product candidates are limited to those with specific hematologic diseases. We cannot be certain that the patient populations for each specific disease will be large enough to allow us to successfully obtain approval for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commercialize our product candidates and achieve profitability.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preclinical studies and future and ongoing clinical trials may not be successful. Currently, the majority of our programs are in preclinical and early to mid-stage clinical development. It is impossible to know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top-line, initial or preliminary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some of the clinical trials we conduct, such as our completed BEACON Phase 2 clinical trial of bitopertin, our ongoing RALLY-MF Phase 2 clinical trial of DISC-0974, and our ongoing clinical trials of DISC-3405,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2021, we entered into a license agreement with Roche, or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We may face similar challenges with respect to our other product candidates, for which preclinical results or prior clinical trial results may not be indicative or predictive of future clinical trial results.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For example, in the Complete Response Letter, or CRL, that the FDA issued in February 2026 with respect to our NDA for accelerated approval of bitopertin in EPP and XLP, the FDA agreed that clinical data from our AURORA and BEACON clinical trials provided sufficient evidence that bitopertin significantly lowers whole blood metal-free PPIX, but concluded that the trials did not show evidence of association between percent change in PPIX and sunlight exposure-based endpoints as measured in the trials. As such, the FDA determined that there is uncertainty regarding whether bitopertin’s effect on PPIX is reasonably likely to predict clinical benefit, despite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jc w:val="both"/>
        <w:spacing w:after="0" w:line="256" w:lineRule="auto"/>
        <w:rPr>
          <w:sz w:val="20"/>
          <w:szCs w:val="20"/>
          <w:color w:val="auto"/>
        </w:rPr>
      </w:pPr>
      <w:r>
        <w:rPr>
          <w:rFonts w:ascii="Times New Roman" w:cs="Times New Roman" w:eastAsia="Times New Roman" w:hAnsi="Times New Roman"/>
          <w:sz w:val="18"/>
          <w:szCs w:val="18"/>
          <w:color w:val="auto"/>
        </w:rPr>
        <w:t>strong mechanistic and biological plausibility supporting the use of the PPIX biomarker in protoporphyria. As a result, the FDA did not approve our NDA and indicated instead that we would need to provide evidence of clinical benefit from an additional trial, such as our ongoing APOLLO trial, to support a potential traditional approval. The FDA also could change its view or give overriding weight to other efficacy endpoints over a primary endpoint, even if we achieve statistically significant results on that primary endpoint, if for example we do not do so on our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initial or preliminary data from our clinical trials, which is based on a preliminary analysis of then-available data, and the results and related findings and conclusions are subject to change following a more comprehensive review of the data. For example, we announced initial data from our RALLY-MF Phase 2 DISC-0974 trial in patients with anemia of MF in December 2025. We also may make assumptions, estimations, calculations and conclusions as part of our analyses of data, and may not have received or had the opportunity to fully and carefully evaluate all data. As a result, the interim, top-line, initial or preliminary results that we report may differ from future results of the same trials, or different conclusions or considerations may qualify such results, once additional data have been received and fully evaluated. Interim, top-line, initial and preliminary data from clinical trials are subject to the risk that one or more of the clinical outcomes may materially change as patient enrollment continues and more patient data become available. Interim, top-line, initial and preliminary data also remain subject to audit and verification procedures that may result in the final data being materially different from the interim, top-line, initial or preliminary data we previously published. As a result, interim, top-line, initial and preliminary data should be viewed with caution until the final data are available. Adverse differences between interim, top-line, initial or preliminary data and final data could significantly harm our business prospects and may cause the price of our common stock to fluctuate or decline.</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interim, top-line, initial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w:t>
      </w:r>
    </w:p>
    <w:p>
      <w:pPr>
        <w:spacing w:after="0" w:line="75" w:lineRule="exact"/>
        <w:rPr>
          <w:sz w:val="20"/>
          <w:szCs w:val="20"/>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or implementation of our preclinical studies or clinical trials or to delay or terminate a clinical trial;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not produce differentiated or clinically significant results across indications;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both"/>
        <w:ind w:left="76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anticipated, enrollment in these clinical trials may be slower than anticipated or participants may drop out of these clinical trials or fail to return for post-treatment follow-up at a higher rate than anticipated;</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anticipated;</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and any transfer of manufacturing activities may require unforeseen manufacturing or formulation changes;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 or efficacy concerns about our product candidates;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may conduct clinical trials in ways they view as advantageous to them but that are suboptimal for us;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anticipated.</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jc w:val="both"/>
        <w:spacing w:after="0" w:line="282" w:lineRule="auto"/>
        <w:rPr>
          <w:sz w:val="20"/>
          <w:szCs w:val="20"/>
          <w:color w:val="auto"/>
        </w:rPr>
      </w:pPr>
      <w:r>
        <w:rPr>
          <w:rFonts w:ascii="Times New Roman" w:cs="Times New Roman" w:eastAsia="Times New Roman" w:hAnsi="Times New Roman"/>
          <w:sz w:val="18"/>
          <w:szCs w:val="18"/>
          <w:color w:val="auto"/>
        </w:rPr>
        <w:t>needed to provide appropriate statistical power for a given trial. In particular, because we are focused on patients with specific rare hematologic diseases for the development of our product candidates, our ability to enroll eligible patients may be limited or may result in slower enrollment than we anticipate.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experience difficulties with identifying specific patient populations for any defined trial cohorts. The patient eligibility criteria defined in our trial protocols may limit the patient populations eligible for our clinical trials. We will also rely on the willingness and ability of clinicians to screen their patients, such as for specific genetic hematologic conditions, to indicate which patients may be eligible for enrollment in our clinical trials.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obtain and maintain patient consents and facilitate timely enrollment in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clinical trial completion;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including the impacts of any public health crises, that may limit patients, principal investigators or staff or clinical site availability.</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results from early preclinical studies and clinical trials of bitopertin, DISC-0974, DISC-0998, DISC-3405 or our other product candidates or programs may not necessarily be predictive of the results from later preclinical studies and clinical trials. For example, we previously announced positive data from our Phase 2 BEACON and AURORA clinical trials of bitopertin in patients with EPP, but there can be no assurance that our Phase 3 APOLLO clinical trial of bitopertin in patients with EPP will be successful or that the results of our APOLLO clinical trial will support a traditional approval of bitopertin for EPP. In addition, we previously announced positive initial data from our RALLY-MF Phase 2 clinical trial of DISC-0974 in patients with anemia of MF. However, there can be no assurance that DISC-0974 will achieve the desired effects in this indication. Further, we announced positive results from a Phase 1 clinical trial of DISC-3405 in healthy adult volunteers in December 2024 and June 2025, which may not be indicative or predictive of future clinical trial results.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Clinical testing is expensive and can take many years to complete, and outcomes are inherently uncertain. Failure can occur at any time during the clinical trial process. Because the majority of our programs and product candidates are in an early or intermediate stage of development, there is a high risk of failure, and we may never succeed in developing any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studies and initial clinical trials. For example, Roche had previously developed bitopertin as a potential therapy for certain symptoms of schizophrenia and obsessive-compulsive disorder, but discontinued the program for lack of efficacy in those indications after completing over 30 clinical trials in over 4,000 individuals. If the results of our ongoing or future preclinical studies and clinical trials are inconclusive with respect to the safety and efficacy of our programs and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Many compounds that initially showed promise in early-stage testing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is the case with many treatments for hematologic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Further, undesirable side effects in one of our clinical trials for a product candidate in one indication could adversely affect enrollment in clinical trials, regulatory approval and commercialization of such product candidate in other indications.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uncertainty. We select programs for targets based on compelling biological rationale, including evidence of expected biological effects in humans. We explore new programs based on extensive preclinical data analysis which sometimes cannot 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18"/>
          <w:szCs w:val="18"/>
          <w:color w:val="auto"/>
        </w:rPr>
        <w:t>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product candidates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are currently conducting clinical trials for bitopertin, and may in the future conduct additional clinical trials of our product candidates, outside the United States, and the FDA and comparable foreign regulatory authorities may not accept data from such trials.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BEACON, our Phase 2 open-label, parallel-dose clinical trial of bitopertin in EPP and XLP patients, at sites in Australia. All participants who completed BEACON were eligible to participate in HELIOS, an open-label, long-term extension study of bitopertin in EPP and XLP patients, that we are also conducting in Australia. We are also conducting APOLLO, a Phase 3, randomized, double-blind, placebo-controlled clinical trial of bitopertin in EPP and XLP patients, in Canada, Europe and Australia, as well as the United States. We may in the future choose to conduct additional clinical trials of our product candidates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2"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products; or</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jc w:val="both"/>
        <w:spacing w:after="0" w:line="25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preclinical or 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for review. Even if the FDA or a comparable foreign regulatory authority accepts an application for review, we can provide no assurance that an accepted application will ultimately result in an approval. Any guidance we receive from the FDA or other comparable regulatory authorities during the development or marketing application review processes is subject to change. As such, the outcomes of our interactions with such regulatory authorities during such review processes, such as pre-NDA or Type A meetings with the FDA, and the ultimate approval decision, are subject to significant uncertainty. Among other things, the FDA or a comparable foreign regulatory authority may decide that our data is insufficient for approval and require additional preclinical, clinical or other studies. Our product candidates could be delayed in receiving, or fail to receive, regulatory approval for many reasons, including the following:</w:t>
      </w:r>
    </w:p>
    <w:p>
      <w:pPr>
        <w:spacing w:after="0" w:line="82"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enroll a sufficient number of patients in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we submitted an NDA for accelerated approval of bitopertin in EPP and XLP in the United States in September 2025. In February 2026, the FDA issued a CRL. Although the FDA agreed that clinical data from our AURORA and BEACON clinical trials provided sufficient evidence that bitopertin significantly lowers whole blood metal-free PPIX, the FDA concluded that the trials did not show evidence of association between percent change in PPIX and sunlight exposure-based endpoints as measured in the trials. As such, the FDA determined that there is uncertainty regarding whether bitopertin’s effect in PPIX is reasonably likely to predict clinical benefit despite the strong mechanistic and biological plausibility supporting the use of the PPIX biomarker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protoporphyria. As a result, the FDA did not approve our NDA and indicated instead that we would need to provide evidence of a clinical benefit from an additional clinical trial, such as our ongoing APOLLO trial, to support a potential traditional approval.</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public health crisis, pandemic, epidemic, or outbreak of an infectious or highly contagious disease, may materially and adversely affect our business and financial results and could cause a disruption to the development of our product candidates.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The extent to which an outbreak of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 and duration of the outbreak, actions taken to contain the outbreak or mitigate its impact, and the direct and indirect economic effects of the outbreak and containment measures, among others.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patient populations that our product candidates target may be particularly susceptible to highly infectious or contagious diseases, which may make it more difficult for us to identify patients able to enroll in our current and future clinical trials and may impact the ability of enrolled patients to complete any such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 diseases. We also compete more broadly across the market for cost-effective and reimbursable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See “Business - Competition” for examples of the competition that our product candidates face.</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successfully transition research programs into clinical development, ability to raise capital and the scalability of the platform, pipeline and business.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18"/>
          <w:szCs w:val="18"/>
          <w:color w:val="auto"/>
        </w:rPr>
        <w:t>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We are initially focused on developing DISC-0974 for anemia of MF and anemia of inflammatory bowel disease, or IBD. We are initially focused on developing DISC-3405 for the treatment of PV and sickle cell disease, or SCD. Our projections of both the number of people who have these diseases, as well as the subset of people with these diseases who have the potential to benefit from treatment with our programs and product candidates, are based on our estimates.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EPP, XLP, anemias of MF or IBD, PV, SCD, or other indications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be certain that the patient populations for each specific disease will be large enough to allow us to successfully obtain approval for our product candidates, or successfully commercialize any of our product candidates, if approved, and achieve profitability.</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any future product candidates do not achieve broad market acceptance, the revenue that we generate from our sales may be limited, and we may never become profitable.</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 governmental regulation, stricter labeling requirements and potential regulatory delays in the testing or approvals of our product candidates.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72" w:lineRule="exact"/>
        <w:rPr>
          <w:sz w:val="20"/>
          <w:szCs w:val="20"/>
          <w:color w:val="auto"/>
        </w:rPr>
      </w:pPr>
    </w:p>
    <w:p>
      <w:pPr>
        <w:ind w:left="5540" w:right="4680" w:hanging="5158"/>
        <w:spacing w:after="0" w:line="409" w:lineRule="auto"/>
        <w:tabs>
          <w:tab w:leader="none" w:pos="76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of our current product candidates and any future product candidates;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 and the approved claims that we may make for the products;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compared with the economic and clinical benefit of alternative treatments or therapies;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third-party payors, including government healthcare programs such as Medicare and Medicaid and other healthcare payors;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concessions required by third-party payors to obtain coverage;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adequate coverage and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current product candidates and any future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current product candidates and any future product candidates for sale at competitive prices;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current product candidates and any future product candidates or favorable publicity about competitive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holds;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regulatory enforcement action;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7" w:name="page68"/>
    <w:bookmarkEnd w:id="6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brought against us could cause us to incur substantial liabilities and could limit commercialization of any product candidates that we may develop.</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lawsuits related to the testing of any product candidates in human clinical trials and will face an even greater risk if we commercially sell such product candidates. If we cannot successfully defend ourselves against any such claims, we may incur substantial liabilities. Regardless of merit or eventual outcome, liability claims may result in:</w:t>
      </w:r>
    </w:p>
    <w:p>
      <w:pPr>
        <w:spacing w:after="0" w:line="68"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costs;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or costly settlements with patients or other claimants;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a change in the indications for which products may be used;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highly dependent upon consumer perceptions of us and the safety and quality of any product candidate we commercialize. We could be adversely affected if we are subject to negative publicity. We could also be adversely affected if any of our future products or any similar products distributed by other companies prove to be, or are asserted to be, harmful to patients. 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product candidates. Insurance coverage is increasingly expensive. We may not be able to maintain insurance coverage at a reasonable cost or in an amount adequate to satisfy any liability that may arise.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have relied on and expect to continue to rely on medical institutions, clinical investigators, contract laboratories and other third parties, such as CROs, to conduct or otherwise support the Phase 3 APOLLO clinical trial of bitopertin in EPP and XLP, as well as clinical trials for our other product candidates.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Nevertheless, we are responsible for ensuring that each of our clinical trials is conducted in accordance with the applicable protocol, legal and regulatory requirements and scientific standards, and our reliance on CROs or 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 For example, 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or the EEA,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8" w:name="page69"/>
    <w:bookmarkEnd w:id="68"/>
    <w:p>
      <w:pPr>
        <w:spacing w:after="0" w:line="282" w:lineRule="auto"/>
        <w:rPr>
          <w:sz w:val="20"/>
          <w:szCs w:val="20"/>
          <w:color w:val="auto"/>
        </w:rPr>
      </w:pPr>
      <w:r>
        <w:rPr>
          <w:rFonts w:ascii="Times New Roman" w:cs="Times New Roman" w:eastAsia="Times New Roman" w:hAnsi="Times New Roman"/>
          <w:sz w:val="18"/>
          <w:szCs w:val="18"/>
          <w:color w:val="auto"/>
        </w:rPr>
        <w:t>clinical trials and post the results of completed clinical trials on a government-sponsored database, ClinicalTrials.gov, within certain timeframes. Failure to do so can result in fines, adverse publicity and civil and criminal sanctions.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Communicating with outside parties can also be challenging, potentially leading to mistakes as well as difficulties in coordinating activities. Outside parties may:</w:t>
      </w:r>
    </w:p>
    <w:p>
      <w:pPr>
        <w:spacing w:after="0" w:line="54"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or if any of our relationships with these third-party principal investigators or CROs terminate,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also rely on academic and private non-academic institutions to conduct and sponsor clinical trials relating to our product candidates, such as the clinical trial of bitopertin in DBA, which is being conducted by NIH under a collaborative research and development agreement. 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 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ourself may be adversely affected.</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not realize the anticipated benefits of our current collaborations with Mabwell or NIH, or any other collaborations we enter into in the future.</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development, commercialization and/or strategic collaborations, including those that we have with Mabwell and NIH, are subject to numerous risks, which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pursue research, development and/or commercialization of collaboration product candidates or might elect not to continue or renew research, development and/or commercialization programs based on preclinical studies and/or clinical trial results, changes in their strategic focus, availability of funding or other factors, such as a business combination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be in compliance with laws applicable to their activities under the collaboration, which could impact the collaboration and us;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might arise between a collaborator and us that could cause a delay or termination of the collaboration or result in costly litigation that diverts management attention and resources;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might be terminated, which could result in a need for additional capital to pursue further research, development and/or commercialization of our product candidates.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established collaborations with Mabwell and NIH and may seek to establish additional collaborations, and, if we are not able to establish them on commercially reasonable terms, or at all, we may have to alter our development and commercialization plans.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we may decide to collaborate with pharmaceutical and biotechnology companies, such as our collaborations with Mabwell and NIH, for the development and potential commercialization of those product candidates.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also restricted by Roche’s right of first negotiation under our current license agreement with them and may in the future be restricted under other license or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jc w:val="both"/>
        <w:spacing w:after="0" w:line="258" w:lineRule="auto"/>
        <w:rPr>
          <w:sz w:val="20"/>
          <w:szCs w:val="20"/>
          <w:color w:val="auto"/>
        </w:rPr>
      </w:pPr>
      <w:r>
        <w:rPr>
          <w:rFonts w:ascii="Times New Roman" w:cs="Times New Roman" w:eastAsia="Times New Roman" w:hAnsi="Times New Roman"/>
          <w:sz w:val="18"/>
          <w:szCs w:val="18"/>
          <w:color w:val="auto"/>
        </w:rPr>
        <w:t>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As such, we rely, and expect to continue to rely, on third parties such as contract development and manufacturing organizations, or CDMOs, for the manufacture of our product candidates for preclinical development and clinical testing. We also expect to rely on third 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time, cost or quality, which could delay, prevent or impair our development or commercialization efforts.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supply used in our clinical trials and that of any new manufacturer. We may be unsuccessful in demonstrating the comparability of clinical supplies which could require the conduct of additional clinical trials.</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our failure, or the failure of our CDMOs, to comply with applicable regulations could result in sanctions,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additional agreements with CDMOs or do so on acceptable terms. Reliance on CDMOs entails additional risks, including:</w:t>
      </w:r>
    </w:p>
    <w:p>
      <w:pPr>
        <w:spacing w:after="0" w:line="54"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jc w:val="both"/>
        <w:spacing w:after="0" w:line="252"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regulatory approval. If our current CDMOs cannot perform as agreed, we may be required to replace such CDMOs. In addition, there has been increased governmental focus in the U.S. on contracting with Chinese companies for the development or manufacturing of pharmaceutical products. For example, legislation pending in Congress would prohibit U.S. federal funding in connection with biotechnology equipment or services produced or provided by certain named Chinese “biotechnology companies of concern” and loans and grants to, and federal contracts with any entity that uses biotechnology equipment or services from one of these entities. The legislation would also give the federal government the authority to name additional “biotechnology companies of concern” that are engaged in research activities with the Chinese government and that pose a risk of U.S. national security. In addition, in 2025, the United States imposed substantial tariffs on imports from China as well as on other trading partners, including Canada, Mexico, and the EU. We currently rely on certain foreign or foreign-owned third-party vendors to manufacture certain materials used in clinical trials of our product candidates or to provide services in connection with certain clinical trials or certain discovery activities. Our engagement with these foreign and foreign-owned vendors may be subject to additional U.S. legislation, investigations, sanctions, further escalation of tariffs, trade restrictions and other foreign regulatory requirements, which could cause us to need to identify alternate service providers, increase the cost or reduce the supply of materials available to us, delay the procurement or supply of these materials, delay or impact clinical trials, or have an adverse effect on our ability to secure significant commitments from governments to purchase our potential therapies, any of which could adversely affect our financial condition and business prospects. We continue to assess the legislation and the tariffs as they develop to determine the effect, if any, on our contractual relationships.</w:t>
      </w:r>
    </w:p>
    <w:p>
      <w:pPr>
        <w:spacing w:after="0" w:line="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ingredients used in our product candidates are our sole sources of supply, and the loss of any of these suppliers could significantly harm our business.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active pharmaceutical ingredients, or API, used in certain of our product candidates are supplied to us from single-source suppliers. Our ability to successfully develop such product candidates, and to ultimately supply any resulting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or crises will affect our third-party suppliers and manufacturers. Regional issues may in some cases accentuate these risks. For example, the pharmaceutical industry generally, and in some instances we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further escalation of tariffs or other trade restrictions or if the proposed federal legislation that would prohibit U.S. federal funding in connection with biotechnology equipment or services produced or provided by certain named Chinese “biotechnology companies of concern” or a similar law were to be enacted. Any negative impact of such matters on our third-party suppliers and manufacturers may also have an adverse impact on our results of operations or financial condition.</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all of our product candidates, we intend to identify and qualify additional manufacturers to provide such API.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and commercialization efforts, which could harm our business, results of operations, financial condition and prospects.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DISC-0974, DISC-0998, and DISC-3405 are monoclonal antibodies. Manufacturing biologics, like monoclonal antibodies, especially in large quantities, is often complex and may require the use of innovative technologies to handle living cells. Each lot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jc w:val="both"/>
        <w:spacing w:after="0" w:line="255" w:lineRule="auto"/>
        <w:rPr>
          <w:sz w:val="20"/>
          <w:szCs w:val="20"/>
          <w:color w:val="auto"/>
        </w:rPr>
      </w:pPr>
      <w:r>
        <w:rPr>
          <w:rFonts w:ascii="Times New Roman" w:cs="Times New Roman" w:eastAsia="Times New Roman" w:hAnsi="Times New Roman"/>
          <w:sz w:val="18"/>
          <w:szCs w:val="18"/>
          <w:color w:val="auto"/>
        </w:rPr>
        <w:t>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third-party manufacturer of any of our product candidates is unable to increase the scale of its production of such product candidates or increase the product yield of its manufacturing, then our costs to manufacture such product or product candidate may increase and any commercialization may be delayed.</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components and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such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U.S. and other countries for our current or future product candidates, including our current lead product candidates, bitopertin, DISC-0974 and DISC-3405,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 commercialize bitopertin, including certain back-up compounds and derivatives, for all prophylactic and therapeutic uses. The Roche license covers know-how, and certain specified Roche patent rights, including a composition of matter patent for bitopertin that expires in 2026. We also have exclusively licensed intellectual property rights from AbbVie Deutschland GmbH &amp; Co. KG, or AbbVie, to develop and commercialize DISC-0974 and DISC-0998. The AbbVie license covers know-how, and certain specified AbbVie patent rights, including composition of matter and methods of use patents and patent applications for DISC-0974 and DISC-0998. We also have exclusively licensed intellectual property rights from Mabwell to develop and commercialize antibody products containing Mabwell’s MWTX-001, MWTX-002, and MWTX-003 antibodies. The Mabwell license covers know-how and certain specified Mabwell patent rights, including composition of matter and methods of use patents and patent applications for MWTX-001, MWTX-002 and MWTX-003.</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bitopertin, DISC-0974, DISC-3405 or our other current or future product candidates. In addition, if the breadth or strength of protection provided by our patent applications or any patents we may own or in-license is threatened, we could dissuade companies from collaborating with us to license, develop or commercialize current or future product candidates.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it, or could limit the duration of the patent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18"/>
          <w:szCs w:val="18"/>
          <w:color w:val="auto"/>
        </w:rPr>
        <w:t>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 duration of such protections that we expect for our product candidates, if approved, could affect our decision on whether to market the products in a particular country or countries or could otherwise have an adverse impact on our revenue or results of operations.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jc w:val="both"/>
        <w:spacing w:after="0" w:line="256" w:lineRule="auto"/>
        <w:rPr>
          <w:sz w:val="20"/>
          <w:szCs w:val="20"/>
          <w:color w:val="auto"/>
        </w:rPr>
      </w:pPr>
      <w:r>
        <w:rPr>
          <w:rFonts w:ascii="Times New Roman" w:cs="Times New Roman" w:eastAsia="Times New Roman" w:hAnsi="Times New Roman"/>
          <w:sz w:val="18"/>
          <w:szCs w:val="18"/>
          <w:color w:val="auto"/>
        </w:rPr>
        <w:t>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jc w:val="both"/>
        <w:spacing w:after="0" w:line="253"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product candidates, including bitopertin, DISC-0974 and DISC-3405, or future product candidates, or from using our proprietary technologies, unless the third-party licenses its product rights to us, which we are not required to do, on commercially reasonable terms or at all;</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8" w:name="page79"/>
    <w:bookmarkEnd w:id="78"/>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ex-parte re-exam,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an early stage. We will need to decide whether and in which jurisdictions to pursue protection for the various inventions in our portfolio prior to applicable deadlines.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licenses or sublicenses to intellectual property rights in all markets on equally or sufficiently favorable terms with third parties.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0" w:name="page81"/>
    <w:bookmarkEnd w:id="8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 - Collaborations and License Agreement”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17"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we or our licensors or strategic partners initiate legal proceedings against a third party to enforce a patent covering one of our current or future product candidates, the defendant could counterclaim that such patent,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or judicial requirements, including lack of patentable subject matter, lack of written description, lack of novelty, obviousness, non-enablement, or double patenting. Grounds for an unenforceability assertion could be an allegation that someone connected with prosecution of the patent withheld relevant information from the USPTO that was material to patentability, or made a misleading statement, with an intent to deceive the USPTO, in the process of obtaining the patent during patent prosecution. Third parties may also raise similar claims before administrative bodies in the U.S. or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equivalent proceedings in foreign jurisdictions (such as opposition proceedings). Such proceedings could result in revocation or amendment to our patent applications or any patents we may own or in-license in such 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1" w:name="page82"/>
    <w:bookmarkEnd w:id="81"/>
    <w:p>
      <w:pPr>
        <w:jc w:val="both"/>
        <w:spacing w:after="0" w:line="252" w:lineRule="auto"/>
        <w:rPr>
          <w:sz w:val="20"/>
          <w:szCs w:val="20"/>
          <w:color w:val="auto"/>
        </w:rPr>
      </w:pPr>
      <w:r>
        <w:rPr>
          <w:rFonts w:ascii="Times New Roman" w:cs="Times New Roman" w:eastAsia="Times New Roman" w:hAnsi="Times New Roman"/>
          <w:sz w:val="18"/>
          <w:szCs w:val="18"/>
          <w:color w:val="auto"/>
        </w:rPr>
        <w:t>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p>
      <w:pPr>
        <w:jc w:val="both"/>
        <w:spacing w:after="0" w:line="254" w:lineRule="auto"/>
        <w:rPr>
          <w:sz w:val="20"/>
          <w:szCs w:val="20"/>
          <w:color w:val="auto"/>
        </w:rPr>
      </w:pPr>
      <w:r>
        <w:rPr>
          <w:rFonts w:ascii="Times New Roman" w:cs="Times New Roman" w:eastAsia="Times New Roman" w:hAnsi="Times New Roman"/>
          <w:sz w:val="18"/>
          <w:szCs w:val="18"/>
          <w:color w:val="auto"/>
        </w:rPr>
        <w:t>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previously requested and received priority review for our NDA for bitopertin for EPP and XLP, and may request priority review of applications for our other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received orphan drug designation from the FDA for bitopertin for the treatment of EPP and for DISC-3405 for the treatment of PV.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 more than 5 in 10,000 persons in the European Union. Additionally, designation may be granted for products intended for the diagnosis, prevention, or treatment of a life-threatening, seriously debilitating or serious and chronic condition when, without incentives, it is unlikely that sales of the product in the European Union would generate sufficient return to justify the necessary investment in developing the product. In each case, there must be no satisfactory method of diagnosis, prevention, or treatment of the applicable condition which is authorized for marketing in the European Union (or, if such a method exists, the applicable product would be of significant benefit to those affected by the condition). In the European Union, orphan designation entitles a party to financial incentives such as reduction of fees or fee waivers. The European Committee for Orphan Medical Products adopted a positive opinion on Orphan Designation for bitopertin for treatment of EPP.</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jc w:val="both"/>
        <w:spacing w:after="0" w:line="256" w:lineRule="auto"/>
        <w:rPr>
          <w:sz w:val="20"/>
          <w:szCs w:val="20"/>
          <w:color w:val="auto"/>
        </w:rPr>
      </w:pPr>
      <w:r>
        <w:rPr>
          <w:rFonts w:ascii="Times New Roman" w:cs="Times New Roman" w:eastAsia="Times New Roman" w:hAnsi="Times New Roman"/>
          <w:sz w:val="18"/>
          <w:szCs w:val="18"/>
          <w:color w:val="auto"/>
        </w:rPr>
        <w:t>Generally, if a product with an orphan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European Union market exclusivity period can be reduced to six years if, at the end of the fifth year, it is determined that a product no longer meets the criteria for orphan designation, including if the product is sufficiently profitable so that market exclusivity is no longer justified.</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received rare pediatric disease designation for bitopertin. However, a marketing application for bitopertin, if approved, may not meet the eligibility criteria for a rare pediatric disease priority review voucher.</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2024, we received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Vouchers for rare pediatric disease drugs are awarded for qualifying applications when the drug receives approval. However,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In September 2025, we submitted an NDA for accelerated approval of bitopertin in EPP and XLP in the United States and we requested a rare pediatric disease review voucher. In February 2026, the FDA issued a CRL indicating that, while accelerated approval was not warranted, results from an additional clinical trial, such as our ongoing APOLLO clinical trial, could serve as evidence to support a potential traditional approval. We plan to submit a response to the CRL following receipt of topline data from APOLLO. However, even if the FDA ultimately approves our NDA for bitopertin, the FDA may determine that the NDA does not meet the eligibility criteria for a priority review voucher.</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current law, after September 30, 2029, the FDA may not award any rare pediatric disease priority review vouchers. However, it is possible that the FDA's authority to do so may be extended by Congress in the future.</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seek a breakthrough therapy designation for certain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w:t>
      </w:r>
    </w:p>
    <w:p>
      <w:pPr>
        <w:spacing w:after="0" w:line="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were granted fast track designation by the FDA for DISC-3405 for the treatment of PV in September 2023 and for DISC-0974 for the treatment of anemia in non-dialysis dependent chronic kidney disease in February 2024, and we may seek fast track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5" w:name="page86"/>
    <w:bookmarkEnd w:id="85"/>
    <w:p>
      <w:pPr>
        <w:jc w:val="both"/>
        <w:spacing w:after="0" w:line="256" w:lineRule="auto"/>
        <w:rPr>
          <w:sz w:val="20"/>
          <w:szCs w:val="20"/>
          <w:color w:val="auto"/>
        </w:rPr>
      </w:pPr>
      <w:r>
        <w:rPr>
          <w:rFonts w:ascii="Times New Roman" w:cs="Times New Roman" w:eastAsia="Times New Roman" w:hAnsi="Times New Roman"/>
          <w:sz w:val="18"/>
          <w:szCs w:val="18"/>
          <w:color w:val="auto"/>
        </w:rPr>
        <w:t>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sought approval from the FDA for bitopertin for EPP and XLP, and we may seek approval for any of our other product candidates, under the Accelerated Approval Program. If we are not able to use such program, we may be required to conduct additional clinical trials beyond those that are contemplated, which would increase the expense of obtaining, and delay the receipt of, necessary marketing approvals, if we receive them at all. In addition, even if the Accelerated Approval Program is available to us, it may not lead to expedited approval of our product candidates, or approval at all.</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sought accelerated approval of bitopertin for EPP and XLP, and we may seek accelerated approval for any of our other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It is possible that at the time of submission of a marketing application or as a result of the FDA's review of the marketing application, the FDA may determine that our product candidate is not eligible for accelerated approval or that accelerated approval is not warranted. For example, in February 2026, the FDA issued a CRL in response to our NDA for accelerated approval of bitopertin for EPP and XLP. Although the FDA agreed that clinical data from AURORA and BEACON provided sufficient evidence that bitopertin significantly lowers whole blood metal-free PPIX, the FDA concluded that the trials did not show evidence of association between percent change in PPIX and sunlight exposure-based endpoints as measured in the trials. As such, the FDA determined that there is uncertainty regarding whether bitopertin’s effect on PPIX is reasonably likely to predict clinical benefit, despite the strong mechanistic and biological plausibility supporting the use of the PPIX biomarker in protoporphyria, and therefore decided that accelerated approval was not warranted. Moreover, FDA may revise how it implements accelerated approval, which could negatively affect the development of our current or future product candidates.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the sponsor is otherwise informed by the agency, submission of launch promotional materials during the pre-approval period, which could adversely impact the timing of the commercial launch of the product.</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not able to obtain accelerated approval for a product candidate, we may be required to conduct additional clinical trials beyond those that are contemplated, which would increase the expense of obtaining, and delay the receipt of, traditional FDA approval, if received at all. For example, as we were not able to obtain accelerated approval for bitopertin in EPP or XLP, we will need to successfully complete at least one additional clinical trial, such as our ongoing Phase 3 APOLLO trial, before responding to the FDA's CRL in support of a potential traditional approval.</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received a Commissioner’s National Priority Voucher for bitopertin but the accelerated timeline for review of our NDA submission for bitopertin in EPP and XLP by the FDA did not result in an approval and it is unclear what, if any, benefits this voucher may provide in the future.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2025, the FDA announced the creation of a new program, the Commissioner’s National Priority Voucher, or CNPV, program, to expedite the development and approval of drug products with potential to address a major national priority, such as addressing a large unmet medical need, reducing downstream health care utilization, addressing a public health crisis, boosting domestic manufacturing, or increasing medication affordability. The FDA has stated that voucher recipients will receive a decision with respect to a drug application on an accelerated basis, as well as enhanced communication with review staff throughout the development process prior to final submission of the application and during the review period.</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expects the CNPV program to accelerate the standard application review timeline after NDA acceptance from 10 months to 1-2 months by convening a multidisciplinary team of physicians and scientists for a team-based review, interacting frequently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6" w:name="page87"/>
    <w:bookmarkEnd w:id="86"/>
    <w:p>
      <w:pPr>
        <w:jc w:val="both"/>
        <w:spacing w:after="0" w:line="282" w:lineRule="auto"/>
        <w:rPr>
          <w:sz w:val="20"/>
          <w:szCs w:val="20"/>
          <w:color w:val="auto"/>
        </w:rPr>
      </w:pPr>
      <w:r>
        <w:rPr>
          <w:rFonts w:ascii="Times New Roman" w:cs="Times New Roman" w:eastAsia="Times New Roman" w:hAnsi="Times New Roman"/>
          <w:sz w:val="18"/>
          <w:szCs w:val="18"/>
          <w:color w:val="auto"/>
        </w:rPr>
        <w:t>with the sponsor to clarify questions, and completing review of the application concurrently. Following completion of these steps, the multidisciplinary team will convene for a one-day “tumor board style” decision meeting.</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16, 2025, the FDA announced that bitopertin for porphyria was one of the first nine recipients of a CNPV. As a result, the NDA for bitopertin for EPP and XLP was eligible for the benefits of this program. However, receipt of the CNPV does not guarantee that the NDA will be approved on an expedited basis or at all, and in February 2026 the FDA issued a CRL with respect to our NDA indicating that we would need to provide evidence of a clinical benefit from an additional clinical trial, such as our ongoing APOLLO trial, to support a potential approval. We plan to respond to the CRL once such clinical data is available but it is unclear whether the benefits of the CNPV will continue to apply at that time or at any subsequent phase of the NDA review process. Even if the CNPV does continue to apply in the future, the FDA has stated that the review time for an application of a CNPV recipient may be extended, including because the application is incomplete, there are manufacturing violations, or for other reasons deemed appropriate by the FDA. The CNPV program is in pilot stage, so its implementation, operation, and ultimate impact are subject to uncertainty. In addition, even if the CNPV program does ultimately result in a faster approval process, there is no guarantee that we will be able to begin commercialization of our product at the time of such approval or that we will be otherwise able to maintain such approval.</w:t>
      </w:r>
    </w:p>
    <w:p>
      <w:pPr>
        <w:spacing w:after="0" w:line="8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drug product candidates or any of our future drug product candidates obtain regulatory approval, additional competitors could enter the market with generic versions of such products, which may result in a material decline in sales of our competing products.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regulated as biologics may face competition from biosimilars or interchangeable products approved through an abbreviated regulatory pathway.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potentially creating the opportunity for biosimilar competition sooner than anticipated. Other aspects of the BPCIA, some of which may impact the BPCIA exclusivity provisions, have also been the subject of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continue to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ability of the FDA to review and approve new products, NIH’s ability to conduct and partner with industry on important research, and CMS’s ability to operate efficiently can be affected by a variety of factors, including government budget and funding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8" w:name="page89"/>
    <w:bookmarkEnd w:id="88"/>
    <w:p>
      <w:pPr>
        <w:jc w:val="both"/>
        <w:spacing w:after="0" w:line="282" w:lineRule="auto"/>
        <w:rPr>
          <w:sz w:val="20"/>
          <w:szCs w:val="20"/>
          <w:color w:val="auto"/>
        </w:rPr>
      </w:pPr>
      <w:r>
        <w:rPr>
          <w:rFonts w:ascii="Times New Roman" w:cs="Times New Roman" w:eastAsia="Times New Roman" w:hAnsi="Times New Roman"/>
          <w:sz w:val="18"/>
          <w:szCs w:val="18"/>
          <w:color w:val="auto"/>
        </w:rPr>
        <w:t>levels, ability to hire and retain key personnel and accept the payment of user fees, and statutory, regulatory and policy changes. Average review times at the agency have fluctuated in recent years as a result.</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including in October 2025, and certain regulatory agencies, such as the FDA and the SEC, have had to furlough critical FDA, SEC and other government employees and stop critical activities. If a prolonged government shutdown or a widespread freeze on federal funding occurs in the future, it could significantly impact the ability of the FDA to timely review and process our regulatory submissions, NIH to conduct research or provide grants, or other agencies to slow their work, which could have a material adverse effect on our business. Further, future government shutdowns could impact our ability to access the public markets and obtain necessary capital in order to properly capitalize and continue our operations. In addition, the current administration has previously sought to reduce the NIH budget and bar disbursements for funding of medical research, and may seek to do so in the future, which could decrease the ability of facilities that rely on NIH funding to enroll and conduct clinical trials or increase the costs to us of conducting clinical trials.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disruptions at the FDA and other federal agencies, including substantial leadership departures, personnel cuts, and policy changes, could result in delays in the FDA’s responsiveness or in its ability to review and/or approve new drug submissions or applications, issue regulations or guidance, or implement or enforce regulatory requirements in a timely fashion, any of which could adversely affect our business. For example, during 2025, certain federal agencies, including the FDA, have conducted significant layoffs and it is currently unclear whether and how such staff reductions may impact our business.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there is substantial uncertainty as how the current administration's modifications to the requirements and policies of the FDA and other relevant regulatory agencies may affect our product candidates and any products for which we obtain approval. This uncertainty could present new challenges as we navigate development and approval of our product candidates. The current administration could also issue or promulgate executive orders, regulations, policies or guidance that adversely affect us or create a more challenging or costly environment to pursue the development of new therapeutic candidates.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measures may have a material adverse effect on our business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“Business— Government Regulation—Current and Future U.S. Healthcare Reform Legislation.”</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there have been, and continue to be, a significant number of legislative initiatives to contain healthcare costs, including at the state level where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 For example, CMS may develop new payment and delivery models, including most-favored nation proposals, bundled payment models, or other drug pricing reforms, any of which could have a material adverse effect on our business.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 the demand for our current or future product candidates, if we obtain regulatory approval; our ability to set a price that we believe is fair for our products; our ability to obtain coverage and reimbursement approval for a product; our ability to generate revenue and achieve or maintain profitability; the level of taxes that we are required to pay; and the availability of capital.</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that these existing laws and other healthcare reform measures that may be adopted in the future may result in additional reductions in Medicare and other healthcare funding, more rigorous coverage criteria, new payment methodologies and additional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9" w:name="page90"/>
    <w:bookmarkEnd w:id="89"/>
    <w:p>
      <w:pPr>
        <w:spacing w:after="0" w:line="282" w:lineRule="auto"/>
        <w:rPr>
          <w:sz w:val="20"/>
          <w:szCs w:val="20"/>
          <w:color w:val="auto"/>
        </w:rPr>
      </w:pPr>
      <w:r>
        <w:rPr>
          <w:rFonts w:ascii="Times New Roman" w:cs="Times New Roman" w:eastAsia="Times New Roman" w:hAnsi="Times New Roman"/>
          <w:sz w:val="18"/>
          <w:szCs w:val="18"/>
          <w:color w:val="auto"/>
        </w:rPr>
        <w:t>downward pressure on the price that we receive for any approved product. Any reduction in reimbursement from Medicare or other government programs may result in a similar reduction in payments from private payors, which may adversely affect our future profitability.</w:t>
      </w:r>
    </w:p>
    <w:p>
      <w:pPr>
        <w:spacing w:after="0" w:line="5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81" w:lineRule="exact"/>
        <w:rPr>
          <w:sz w:val="20"/>
          <w:szCs w:val="20"/>
          <w:color w:val="auto"/>
        </w:rPr>
      </w:pPr>
    </w:p>
    <w:p>
      <w:pPr>
        <w:jc w:val="both"/>
        <w:ind w:left="760" w:hanging="378"/>
        <w:spacing w:after="0" w:line="253"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spacing w:after="0" w:line="81"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spacing w:after="0" w:line="8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0" w:name="page91"/>
    <w:bookmarkEnd w:id="90"/>
    <w:p>
      <w:pPr>
        <w:ind w:left="7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also be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spacing w:after="0" w:line="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1" w:name="page92"/>
    <w:bookmarkEnd w:id="91"/>
    <w:p>
      <w:pPr>
        <w:jc w:val="both"/>
        <w:spacing w:after="0" w:line="282" w:lineRule="auto"/>
        <w:rPr>
          <w:sz w:val="20"/>
          <w:szCs w:val="20"/>
          <w:color w:val="auto"/>
        </w:rPr>
      </w:pPr>
      <w:r>
        <w:rPr>
          <w:rFonts w:ascii="Times New Roman" w:cs="Times New Roman" w:eastAsia="Times New Roman" w:hAnsi="Times New Roman"/>
          <w:sz w:val="18"/>
          <w:szCs w:val="18"/>
          <w:color w:val="auto"/>
        </w:rPr>
        <w:t>increased their scrutiny of interactions between healthcare companies and healthcare providers, which has led to a number of investigations, prosecutions, convictions and settlements in the healthcare industry.</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U.S. and global privacy and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information worldwide is rapidly evolving and is likely to remain uncertain for the foreseeable future. We possess and process sensitive information, including patient health information. In the U.S., there are numerous federal and state privacy and data security laws and regulations governing the collection, use, disclosure and protection of personal information, including health information privacy laws, security breach notification laws and consumer protection laws. These federal and state laws,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 adequately protect patient privacy. We expect that there will continue to be new proposed and amended laws, regulations and industry standards concerning privacy, data protection and information security in the United States. For example, California enacted the California Consumer Privacy Act, or CCPA, a comprehensive privacy law that broadly defines personal information, gives California residents expanded rights to access and delete their personal information, and places stringent privacy and security obligations on businesses covered by the law, including obligations to provide detailed disclosures to California consumers about their data collection, use and sharing practices, and to provide such consumers with ways to opt out of certain sales or transfers of personal information. It also provides for civil penalties for violations, and allows for a private right of action for data breaches that is expected to increase data breach litigation. In addition, the CCPA was amended by the California Privacy Rights Act, which significantly modified the CCPA by expanding consumer rights with respect to certain sensitive information, and creating a new state agency that is vested with authority to implement and enforce the CCPA.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2" w:name="page93"/>
    <w:bookmarkEnd w:id="92"/>
    <w:p>
      <w:pPr>
        <w:jc w:val="both"/>
        <w:spacing w:after="0" w:line="255" w:lineRule="auto"/>
        <w:rPr>
          <w:sz w:val="20"/>
          <w:szCs w:val="20"/>
          <w:color w:val="auto"/>
        </w:rPr>
      </w:pPr>
      <w:r>
        <w:rPr>
          <w:rFonts w:ascii="Times New Roman" w:cs="Times New Roman" w:eastAsia="Times New Roman" w:hAnsi="Times New Roman"/>
          <w:sz w:val="18"/>
          <w:szCs w:val="18"/>
          <w:color w:val="auto"/>
        </w:rPr>
        <w:t>Comprehensive laws similar to the CCPA have been passed in numerous other states outside of California. These laws are substantially similar in scope and contain many of the same requirements and exceptions as the CCPA, including a general exemption for clinical trial data and limited obligations for entities regulated by HIPAA. However, we cannot yet determine the full impact these laws or other such future laws, regulations and standards may have on our current or future business. Any of these laws may broaden their scope in the future, and similar laws have been proposed on both a federal level and in more than half of the states in the U.S.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comprehensive consumer privacy laws, certain states have enacted privacy laws with more limited focus. For example, the state of Washington has passed a law to protect medical and health information not subject to HIPAA. This law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information. The existence of comprehensive privacy laws in different states in the country would make our compliance obligations more complex and costly and may increase the likelihood that we may be subject to enforcement actions or otherwise incur liability for noncompliance. These various privacy and security laws may impact our business activities, including our identification of research subjects, relationships with business partners and ultimately the marketing and distribution of our products. State laws are changing rapidly and there have been proposals for a new comprehensive federal data privacy law to which we may likely become subject, if enacted.</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collection, use, storage, disclosure, transfer or other processing of personal data regarding individuals in the EEA and UK, including personal health data, is subject to the EU General Data Protection Regulation 2016/679, or EU GDPR, with respect to individuals in the EEA and the UK General Data Protection Regulation (following the incorporation of the EU GDPR into UK law), or UK GDPR, with respect to individuals in the UK, and together with the EU GDPR, GDPR. The GDPR is wide-ranging in scope and imposes numerous requirements on companies that process personal data, including requirements relating to having a legal basis or condition for processing personal data, stricter requirements relating to processing sensitive data (such as health data), where required by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 The GDPR permits data protection authorities to impose large penalties for violations of the GDPR, including potential fines of up to €20 million (£17.5 million for the UK)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to countries outside the EEA and UK not deemed adequate for the transfer of such personal data by competent data protection authorities, or third countries, including the United States in certain circumstances unless a derogation exists or we may need to incorporate a GDPR transfer mechanism (such as the European Commission approved standard contractual clauses, or SCCs or the UK International Data Transfer Addendum, or IDTA) into our agreements with third parties to govern such transfers of personal data and carry out transfer impact assessments. Further, the European Union and United States have adopted its adequacy decision for the EU-U.S. Data Privacy Framework, or the Framework, 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effort and cost and may result in us needing to make strategic considerations around where EEA/UK personal data is located and which service providers we can utilize for the processing of EEA/UK personal data.</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UK is regarded as a third country under the EU GDPR, the European Commission has issued an “Adequacy Decision” recognizing the UK as providing adequate protection under the EU GDPR and, therefore, transfers of personal data subject to the EU GDPR to the UK remain unrestricted. The UK government has confirmed that personal data transfers from the UK to the EEA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remain free flowing. The UK Government introduced the Data Protection and Digital Information Bill, which failed in the UK legislative process.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Despite Brexit, the UK and EEA data protection regimes remain largely aligned. However, going forward, there is increasing risk for divergence in application, interpretation and enforcement of the data protection laws as between the UK and EEA, creating additional regulatory uncertainty. For example, the UK Data (Use and Access) Act 2025 (“UK Act”), now in force, further differentiates the UK’s data protection regime. In December 2025, the European Commission adopted a decision determining that the UK continues to provide a level of data protection that is “essentially equivalent” to the EU standards and extended the validity of the UK adequacy decision for six years, through December 2031. While this renewal reduces immediate adequacy concerns, uncertainty remains regarding how UK data protection laws will evolve in the medium to longer term. The lack of clarity on future UK laws and regulations and their interaction with EU laws and regulations may affect our efforts to maintain a harmonized approach to processing European personal data and expose us to two parallel regimes where the UK GDPR and EU GDPR both apply with differing interpretation and enforcement approaches. This could increase our legal risk, uncertainty, complexity and compliance cost associated with the handling of European personal data, and may require us to adapt our privacy and data security compliance programs to account for legal and regulatory divergence between the UK and EEA. In the EEA, the NIS 2 Directive, or NIS 2, is replacing the cybersecurity legal framework under the current NIS framework, aiming to ensure a high level of cybersecurity in the region. NIS 2 expands on the scope of the current NIS framework, extending to additional sectors and expanding the list of in-scope healthcare organizations providing services in the EEA, including to certain providers engaged in research and development of medicinal products. To the extent applicable, the new regime imposes direct obligations on management regarding compliance with NIS 2, requiring covered organizations to put in place certain cyber risk management measures, and strengthens incident reporting requirements and provides supervisory authorities with greater oversight. The majority of these obligations will not come into force until national legislation implementing NIS 2 becomes effective in the relevant EU Member State. EU Member States had until October 17, 2024 to transpose NIS 2 into national legislation, although many countries have still not completed this process. As such, the cybersecurity regulatory landscape in the EU is currently fragmented and uncertain. To the extent we become subject to NIS 2, we may need to increase investment in our cybersecurity compliance programs. Under NIS 2, companies may be subject to administrative fines of up to the higher amount of €10 million or 2% of worldwide annual revenue.</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potentially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financial condition, results of operations and prospects.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use and integrate artificial intelligence, or AI, into our business processes, and this innovation presents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AI technology can give rise to intellectual property risks, including compromises to proprietary intellectual property and intellectual property infringement. To the extent we develop our own AI systems, then the risk of intellectual property infringement could arise from third party data sources being used to train our AI models, and from the output of AI systems reproducing or incorporating third party intellectual property rights, in each case without the right to do so. Further, a risk of our proprietary intellectual property rights being compromised through the use of AI could arise through third party vendors using our data to train their models and/or to generate output for other users of their systems. If our third party vendors use our data (which includes personal data) to train their AI models and/or to generate output for other users of their systems, this could also give rise to regulatory risks. Additionally, we expect to see increasing government and supranational regulation related to AI use and ethics, which may also significantly increase the burden and cost of research, development and compliance in this area. For example, the European Union’s Artificial Intelligence Act, or the AI Act, the world’s first comprehensive AI law, entered into force in August 2024 and, with some exceptions, became effective in August 2025. As currently enacted, the AI Act, which may be amended as part of the EU’s Digital Omnibus, imposes significant obligations on providers and deployers of high risk AI systems, and encourages providers and deployers of AI systems to account for European Union ethical principles in their development and use of these systems. If we develop or use AI systems that are governed by the AI Act, it may necessitate ensuring higher standards of data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4" w:name="page95"/>
    <w:bookmarkEnd w:id="9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quality, transparency, and human oversight, as well as adhering to specific and potentially burdensome and costly ethical, accountability, and administrative requirements.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United States, the AI regulatory environment is complex and uncertain. Over the past year, states have advanced, and in some cases passed, dozens of laws focusing on AI governance and regulation, including on deployment of AI in healthcare settings. At the federal level, the current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experienced scientists and to attract, retain, and motivate qualified personnel.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highly dependent on many of our key employees and members of our executive management team as well as the other principal members of our management, scientific and clinical teams.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We may also need to undertake an organizational restructuring in the future, which could impede future recruiting and hiring efforts. If we are unable to continue to attract and retain high quality personnel, our ability to pursue our growth strategy will be limited.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5" w:name="page96"/>
    <w:bookmarkEnd w:id="95"/>
    <w:p>
      <w:pPr>
        <w:jc w:val="both"/>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and infrastructure from cyberattacks or security compromises, cybersecurity incidents or data breaches, which could result in the disclosure of confidential or proprietary information, including personal data, damage our reputation, and subject us to significant financial and legal exposure.</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systems and infrastructure that we or our third-party providers operate to process, transmit and store electronic information in our day-to-day operations. In connection with our product discovery efforts, we may collect and use a variety of personal data and other confidential and/or proprietary data, such as names, mailing addresses, email addresses, phone numbers and clinical trial information. A successful cyberattack could result in the theft, destruction or misuse of intellectual property, data, or other misappropriation of assets, or otherwise compromise our confidential or proprietary information and disrupt our operations. Cyberattacks generally are increasing in their frequency, sophistication and intensity, and have become increasingly difficult to detect. Cyberattacks could include wrongful conduct by hostile foreign governments, insiders such as employees, contractors or other third-parties and industrial espionage, wire fraud and other forms of cyber fraud, the deployment of harmful malware, ransomware, denial-of-service, social engineering fraud (including phishing attacks) or other means to threaten or compromise the security, confidentiality, integrity and availability of systems and information. A successful cyberattack could cause serious negative consequences for us, including, without limitation, the disruption of operations, the misappropriation of protected information or confidential business information, including personal data, financial information, trade secrets, financial loss and the disclosure of corporate strategic plans.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Like other companies in our industry, we, and our third party vendors, have experienced, and will continue to experience, cybersecurity threats and incidents relating to our information technology systems and infrastructure. Although we devote resources designed to protect our information systems and infrastructure, we realize that cyberattacks are a threat, and there can be no assurance that our efforts will prevent or adequately address information security compromises, incidents or breaches that would result in business, legal, financial or reputational harm to it, or would have a material adverse effect on our results of operations and financial condition. Any failure to prevent or mitigate cybersecurity incidents, data breaches, compromises or other improper access to, use of, or disclosure of protected information, including our clinical data or patients’ personal data could require us to notify impacted stakeholders (including affected individuals, regulators and investors) and result in significant liability through litigation and regulatory investigations and enforcement actions, including under state (e.g., state breach notification and consumer protection laws), federal (e.g., HIPAA, as amended by the Health Information Technology for Economic and Clinical Health Act of 2009 ("HITECH")), and international law (e.g., the GDPR), and may cause a material adverse impact to our reputation, affect our ability to conduct new studies and potentially disrupt our business.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vulnerabilities, compromises, cybersecurity incidents or data breaches. We also rely on our employees and consultants to safeguard their security credentials and follow our policies and procedures regarding use and access of computers and other devices that may contain protected information and our sensitive information. If we or our third-party providers fail to maintain or protect our information technology systems, infrastructure and data integrity effectively or fail to anticipate, plan for or manage significant disruptions to our information technology systems and infrastructure,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adequately mitigate cybersecurity incidents, data breaches, compromises or other improper access to or disclosure of such information could have similarly adverse consequences for us. If we are unable to prevent or adequately mitigate the impact of such cybersecurity incidents,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6" w:name="page97"/>
    <w:bookmarkEnd w:id="96"/>
    <w:p>
      <w:pPr>
        <w:jc w:val="both"/>
        <w:spacing w:after="0" w:line="254" w:lineRule="auto"/>
        <w:rPr>
          <w:sz w:val="20"/>
          <w:szCs w:val="20"/>
          <w:color w:val="auto"/>
        </w:rPr>
      </w:pPr>
      <w:r>
        <w:rPr>
          <w:rFonts w:ascii="Times New Roman" w:cs="Times New Roman" w:eastAsia="Times New Roman" w:hAnsi="Times New Roman"/>
          <w:sz w:val="18"/>
          <w:szCs w:val="18"/>
          <w:color w:val="auto"/>
        </w:rPr>
        <w:t>compromises or data breaches, we could be exposed to litigation and governmental investigations, inquiries, orders, penalties or fines, which could lead to a potential disruption to our business and financial penalties or losses. By way of example, the CCPA, which was modified by the CPRA, creates individual privacy rights for California consumers and increases the privacy and security obligations of entities handling certain personal data. The CCPA provides for civil penalties of up to $7,500 per violation, as well as a private right of action for data breaches that has, and is expected to continue to, increase the volume of data breach related litigation filed in California.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data breach.</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we had 155 full-time employees and no part-time employees. We expect to experience significant growth in the number of our employees and the scope of our operations, particularly as we mature as a public company and in the areas of product development, regulatory affairs and, in anticipation of the potential regulatory approval of bitopertin,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need to undertake an organizational restructuring in the future. We may not realize, in full or in part, the anticipated benefits, savings and improvements in our cost structure from any future restructuring efforts due to unforeseen difficulties, delays or unexpected costs. If we are unable to realize the expected operational efficiencies and cost savings from a restructuring, our operating results and financial condition would be adversely affected. Furthermore, our restructuring plan may be disruptive to our operations.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acquired, and in the future may acquire additional businesses or products, and we may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placed into receivership. Although a statement by the Department of the Treasury, the Federal Reserve and the FDIC indicated that all depositors of SVB (such as our Company)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Subsequent to these events, additional financial institutions have experienced similar failures and have been placed into receivership. It is possible that other banks will face similar difficulty in the future.</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such as Hercules Capital,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7" w:name="page98"/>
    <w:bookmarkEnd w:id="9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on July 4, 2025, the “One Big Beautiful Bill Act,” or OBBBA, was signed into law, which is considered the enactment date under U.S. GAAP. Key corporate tax provisions include the restoration of 100% bonus depreciation, immediate expensing for domestic research and experimental expenditures, changes to Section 163(j) interest limitations, updates to GILTI and FDII rules, amendments to energy credits, and expanded Section 162(m) aggregation requirements. In accordance with ASC Topic 740, the effects of the new tax law will be recognized in the period of enactment. The Company has evaluated the impact of the OBBBA, and although we do not expect the legislation to have a material financial statement effect, it cannot be predicted whether, when, in what form or with what effective dates other tax laws, regulations and rulings may be enacted, promulgated or issued, which could result in an increase in our or our stockholders’ tax liability or require changes in the manner in which we operate in order to minimize or mitigate any adverse effects of changes in tax law. Further, existing tax laws, statutes, rules, regulations, rulings or ordinances could be interpreted, changed, modified or applied adversely to us. Prospective investors should consult their tax advisors regarding the potential consequences of changes in tax law on our business and on the ownership and disposition of our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taxable income may be subject to certain limitations.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2025, we had federal and state net operating loss carryforwards, of $342.9 million and $331.8 million, respectively. Substantially all of the federal net operating loss carryforwards are not subject to expiration and the state net operating loss carryforwards begin to expire in 2037. As of December 31, 2025, we also had federal and state research and development tax credit carryforwards of $32.1 million and $4.3 million, respectively, which begin to expire in 2037.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2018, 2019, and 2020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when one or more stockholders or groups of stockholders who each owns at least 5% of a corporation’s stock increase their aggregate stock ownership by more than 50 percentage points over their lowest ownership percentage (by value) within a specified testing period. Our existing NOLs or credits may be subject to limitations arising from previous ownership changes, and if we undergo an ownership change,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8" w:name="page99"/>
    <w:bookmarkEnd w:id="98"/>
    <w:p>
      <w:pPr>
        <w:jc w:val="both"/>
        <w:spacing w:after="0" w:line="261" w:lineRule="auto"/>
        <w:rPr>
          <w:sz w:val="20"/>
          <w:szCs w:val="20"/>
          <w:color w:val="auto"/>
        </w:rPr>
      </w:pPr>
      <w:r>
        <w:rPr>
          <w:rFonts w:ascii="Times New Roman" w:cs="Times New Roman" w:eastAsia="Times New Roman" w:hAnsi="Times New Roman"/>
          <w:sz w:val="18"/>
          <w:szCs w:val="18"/>
          <w:color w:val="auto"/>
        </w:rPr>
        <w:t>indirect interactions with officials and employees of government agencies or government-affiliated hospitals, universities, and other organizations. We also expect our non-U.S.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or regulatory developments, unfavorable global economic conditions, and other circumstances beyond our control, could have a material adverse effect on our business, financial condition or results of operations.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caused significant volatility and uncertainty in U.S. and international markets. See “Risks Related to the Discovery and Development of Our Product Candidates-A pandemic, epidemic, or outbreak of an infectious or highly contagious disease may materially and adversely affect our business and financial results and could cause a disruption to the development of our product candidates.” In addition, the impact of geopolitical tension, such as a deterioration in the bilateral relationship between the United States and China or an escalation in conflict between Russia and Ukraine, including any resulting sanctions, export controls or other restrictive actions, also could lead to disruption, instability and volatility in the global markets. For example, in 2025, the United States imposed tariffs on imports on its trading partners, including Canada, Mexico, the EU and China. Historically, tariffs have led to increased political and trade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other circumstances beyond our control could cause business disruptions that could seriously harm our future revenue and financial condition and increase our costs and expenses. Our operations, and those of our vendors and suppliers, could be subject to power shortages, telecommunications failures, water shortages, civil unrest, labor disputes, violence, earthquakes, floods, hurricanes, typhoons, fires, extreme weather conditions, and other natural or man-made disasters or business interruptions. The occurrence of any of these business disruptions could seriously harm our operations and financial condition and increase our costs and expenses.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of the foregoing could harm our business and we cannot anticipate all of the ways in which the current economic climate and financial market conditions or other circumstances beyond our control could adversely impact our business.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or insider trading.</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ourself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Historically, the market price of our common stock has fluctuated over a wide range, and it is likely that the price of our common stock will continue to be volatile in the future. Some of the factors that may cause the market price of our common stock to fluctuate include:</w:t>
      </w:r>
    </w:p>
    <w:p>
      <w:pPr>
        <w:spacing w:after="0" w:line="54"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and manufacturing processes, our ability to receive regulatory approval for product candidates, and the terms of such approvals;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our hematology-focused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0" w:name="page101"/>
    <w:bookmarkEnd w:id="10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and increased demands upon management as a result of complying with the laws and regulations affecting public companies.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continue to incur significant legal, accounting and other expenses as a public company that we did not incur as a private company, including costs associated with public company reporting obligations under the Securities Exchange Act of 1934, as amended, or the Exchange Act.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12529"/>
        </w:rPr>
        <w:t>I</w:t>
      </w:r>
      <w:r>
        <w:rPr>
          <w:rFonts w:ascii="Times New Roman" w:cs="Times New Roman" w:eastAsia="Times New Roman" w:hAnsi="Times New Roman"/>
          <w:sz w:val="18"/>
          <w:szCs w:val="18"/>
          <w:b w:val="1"/>
          <w:bCs w:val="1"/>
          <w:i w:val="1"/>
          <w:iCs w:val="1"/>
          <w:color w:val="000000"/>
        </w:rPr>
        <w:t>f we fail to maintain an effective system of internal control over financial reporting, we may not be able to accurately report our financial results or</w:t>
      </w:r>
      <w:r>
        <w:rPr>
          <w:rFonts w:ascii="Times New Roman" w:cs="Times New Roman" w:eastAsia="Times New Roman" w:hAnsi="Times New Roman"/>
          <w:sz w:val="18"/>
          <w:szCs w:val="18"/>
          <w:b w:val="1"/>
          <w:bCs w:val="1"/>
          <w:i w:val="1"/>
          <w:iCs w:val="1"/>
          <w:color w:val="212529"/>
        </w:rPr>
        <w:t xml:space="preserve"> </w:t>
      </w:r>
      <w:r>
        <w:rPr>
          <w:rFonts w:ascii="Times New Roman" w:cs="Times New Roman" w:eastAsia="Times New Roman" w:hAnsi="Times New Roman"/>
          <w:sz w:val="18"/>
          <w:szCs w:val="18"/>
          <w:b w:val="1"/>
          <w:bCs w:val="1"/>
          <w:i w:val="1"/>
          <w:iCs w:val="1"/>
          <w:color w:val="000000"/>
        </w:rPr>
        <w:t>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As described further below, we have previously identified a material weakness in our internal control over financial reporting. Any testing by us conducted in connection with Section 404, or any testing by our independent registered public accounting firm, may reveal additional deficiencies in our internal control over financial reporting that are deemed to be material weaknesses or that may require prospective or retroactive changes to our financial statements or identify other areas for further attention or improvement.</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In addition, as we no longer qualify as a non-accelerated filer or an emerging growth company,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our independent registered public accounting firm may issue a report that is adverse. A material weakness could result in a restatement of our financial statements, failure to meet our reporting obligations in a timely manner,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Ineffective internal control over financial reporting could also reduce our ability to obtain financing or could increase the cost of any financing we obtain. Any of these could, in turn, result in an adverse reaction in the financial markets due to a loss of confidence in the reliability of our financial statements.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12529"/>
        </w:rPr>
        <w:t>We have previously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As disclosed under Item 9A of our Annual Report on Form 10-K for the fiscal year ended December 31, 2024, we previously identified a material weakness in internal controls related to </w:t>
      </w:r>
      <w:r>
        <w:rPr>
          <w:rFonts w:ascii="Times New Roman" w:cs="Times New Roman" w:eastAsia="Times New Roman" w:hAnsi="Times New Roman"/>
          <w:sz w:val="18"/>
          <w:szCs w:val="18"/>
          <w:color w:val="000000"/>
        </w:rPr>
        <w:t>a lack of design and maintenance of effective Information Technology General Controls, or</w:t>
      </w:r>
      <w:r>
        <w:rPr>
          <w:rFonts w:ascii="Times New Roman" w:cs="Times New Roman" w:eastAsia="Times New Roman" w:hAnsi="Times New Roman"/>
          <w:sz w:val="18"/>
          <w:szCs w:val="18"/>
          <w:color w:val="212529"/>
        </w:rPr>
        <w:t xml:space="preserve"> ITGCs, over certain key financial IT systems. As a result, the related business process controls (specifically, the IT application controls and IT-dependent manual controls) that are dependent on the ineffective ITGCs, or that use information produced from the systems impacted by the ineffective ITGCs, were also ineffective. Although the material weakness did not result in any material misstatements in our consolidated financial statements for the periods presented and there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1" w:name="page102"/>
    <w:bookmarkEnd w:id="101"/>
    <w:p>
      <w:pPr>
        <w:jc w:val="both"/>
        <w:spacing w:after="0" w:line="282" w:lineRule="auto"/>
        <w:rPr>
          <w:sz w:val="20"/>
          <w:szCs w:val="20"/>
          <w:color w:val="auto"/>
        </w:rPr>
      </w:pPr>
      <w:r>
        <w:rPr>
          <w:rFonts w:ascii="Times New Roman" w:cs="Times New Roman" w:eastAsia="Times New Roman" w:hAnsi="Times New Roman"/>
          <w:sz w:val="18"/>
          <w:szCs w:val="18"/>
          <w:color w:val="212529"/>
        </w:rPr>
        <w:t>were no changes to previously released financial results, our management concluded that these control deficiencies constituted a material weakness and that our internal control over financial reporting was not effective as of December 31, 2024.</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As a result of the material weakness, we (i) developed and implemented additional training and awareness programs addressing ITGCs and policies, including educating control owners concerning the principles and requirements of each control, with a focus on user access; (ii) increased the extent of oversight and verification checks included in the operation of user access and program change management controls and processes; (iii) deployed additional tools to support administration of user access and program change management; and (iv) enhanced quarterly management reporting on the remediation measures to the Audit Committee of the Board of Directors. As of December 31, 2025, the material weakness had been remediated.</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12529"/>
        </w:rPr>
        <w:t>Although we have remediated this material weakness, investor perceptions of our company may suffer as a result of this previous material weakness or any future material weakness in our internal controls and cause a decline in the price of our common stock.</w:t>
      </w:r>
    </w:p>
    <w:p>
      <w:pPr>
        <w:spacing w:after="0" w:line="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means that all stockholder action must be taken at an annual or special meeting of the stockholders;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or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the board of directors;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voting stock to amend any bylaws by stockholder action or to amend specific provisions of the certificate of incorporation;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6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shares by existing stockholders could cause our stock price to decline.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existing securityholders sell, or indicate an intention to sell, substantial amounts of our common stock in the public market, the trading price of our common stock could decline. As of December 31, 2025, we had 37,890,616 shares of common stock outstanding. All outstanding shares of common stock, other than shares held by our affiliates are freely tradable, without restriction, in the public market. In addition, shares of common stock that are subject to outstanding options of ours are or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significantly influence all matters submitted to our stockholders for approval.</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our executive officers, directors and principal stockholders, in the aggregate, beneficially owned approximately 30% of our outstanding shares of common stock. As a result, if these stockholders were to choose to act together, they would be able to significantly influence all matters submitted to our stockholders for approval, as well as our management and affairs. For example, these persons, if they choose to act together, would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3" w:name="page104"/>
    <w:bookmarkEnd w:id="103"/>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8"/>
          <w:szCs w:val="18"/>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Risk Management and Strategy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 Medicine, under the oversight of the audit committee of the board of directors, has implemented and maintains processes to review and manage enterprise risks, including annual assessments of cybersecurity risks, across the Company.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program, which is informed by and incorporates elements of recognized industry standards, is designed to identify, assess, and mitigate critical risks from cybersecurity threats. This program includes, but is not limited to, ongoing monitoring for potential critical risks from cybersecurity threats using automated tools. To support our cybersecurity risk management program, we leverage a managed service provider, or MSP, that provides ongoing support for the protection of our information technology infrastructure as well as a virtual Chief Information Security Officer, or vCISO. Our cybersecurity risk management strategy is informed by periodic conversations with, and risk assessments conducted by, our vCISO.</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an employee security awareness training program, offered upon employee onboarding and on an annual basis, that is designed to raise awareness of cybersecurity threats across functions as well as to encourage consideration of cybersecurity risks across our Company. As part of this employee training program, we periodically conduct phishing simulations designed to raise employee awareness of such risks.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also implemented a process to review contractual requirements related to information security obligations included in our agreements with certain third-party vendors and service providers, as appropriate.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may, from time to time, experience threats and security incidents relating to our and our third-party vendors’ information systems and infrastructure. For more information, please see Item 1A - Risk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Head of Information Technology, or IT, under the oversight of our Chief Legal Officer, is responsible for the administration and maintenance of our cybersecurity risk management program, including the day-to-day oversight of the assessment and management of cybersecurity risks. The individual who currently holds the title of Head of IT has more than 20 years of experience in information security and cybersecurity risk management.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Head of IT directly reports to, and meets periodically with, our Chief Legal Officer to discuss and review our cybersecurity risk management processes, with input from the Company’s MSP and vCISO, as appropriate.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has delegated oversight of the Company’s cybersecurity program to the audit committee of the board of directors. As provided in the audit committee charter, the audit committee is responsible for reviewing and discussing the Company’s information security and risk management programs, controls, and procedures, including high-level review of the threat landscape facing the Company and the Company’s strategy to mitigate cybersecurity risks and potential breaches. Under the audit committee charter, the audit committee is also responsible for reviewing the recovery and communication plans for any unplanned outage, cybersecurity incident, or data breach.</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Head of IT, twice a year, provides reports to the audit committee on the status of our cybersecurity program, including measures implemented to monitor and address risks from cybersecurity threats, as appropriate. He also reports on a quarterly basis to the executive committee on cybersecurity and information technology matters. The chair of the audit committee provides periodic reports on cybersecurity risk management to the full board of directors. Our Chief Legal Officer, on an annual basis, discusses the results of our enterprise risk assessment processes, including risks related to cybersecurity, with the full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office is located at 321 Arsenal Street, Suite 101, Watertown, MA 02472, where we lease and sublease a total of approximately 16,847 square feet of office space. Our sublease expires in November 2026 and our lease expires in December 2029. Upon expiration of the sublease, we will lease the same space through December 2029 pursuant to an existing agreement. We believe that these facilities will be adequate for our near-term needs. If required, we believe that suitable additional or substitute space will be available in the future on commercially reasonable terms to accommodate any such expansion of our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5" w:name="page106"/>
    <w:bookmarkEnd w:id="10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1160" w:right="20" w:hanging="1152"/>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Regarding the Trading of Our Common Stock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common stock commenced trading on the Nasdaq Global Market under the symbol “GMTX” on February 8, 2021. Prior to this time, there was no public market for our common stock. On December 29, 2022, we completed our previously announced merger transaction with Gemini in accordance with the terms of the Agreement and Plan of Merger, or the Merger Agreement, dated August 9, 2022, pursuant to which Gemstone Merger Sub, Inc., or Merger Sub, merged with and into Disc Medicine Opco, Inc. (f/k/a Disc Medicine, Inc.), or Disc Opco, with Disc Opco continuing as a wholly owned subsidiary of Gemini and the surviving corporation of the merger. On December 29, 2022, in connection with, and prior to the completion of, the merger, Gemini effected a 1-for-10 reverse stock split of its common stock. In connection with the closing of the merger, Gemini also changed its name to Disc Medicine, Inc. On December 30, 2022, following the completion of the merger, our common stock began trading on the Nasdaq Capital Market under the symbol “IRON.”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19, 2026, there were 17 holders of record of shares of our common stock. The actual number of holders of our common stock is greater than this number of record holders and includes stockholders who are beneficial owners, but whose shares are held in street name by brokers or held by other nominees.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we do not expect to pay any cash dividends on our common stock in the foreseeable future. Any future determination to pay dividends will be made at the discretion of our board of directors and will depend on various factors, including applicable laws, our results of operations, financial condition, future prospects, then applicable contractual restrictions and any other factors deemed relevant by our board of directors.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February 8, 2021 through December 31, 2025 of cumulative total return on assumed investments of $100.00 in cash in each of our common stock, the NASDAQ Composite Index and the NASDAQ Biotechnology Index. Such returns are based on historical results and are not intended to suggest future performance. Data for the NASDAQ Composite Index and the NASDAQ Biotechnology Index assume reinvestment of dividends. Prior to our reverse merger with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6" w:name="page107"/>
    <w:bookmarkEnd w:id="106"/>
    <w:p>
      <w:pPr>
        <w:spacing w:after="0" w:line="282" w:lineRule="auto"/>
        <w:rPr>
          <w:sz w:val="20"/>
          <w:szCs w:val="20"/>
          <w:color w:val="auto"/>
        </w:rPr>
      </w:pPr>
      <w:r>
        <w:rPr>
          <w:rFonts w:ascii="Times New Roman" w:cs="Times New Roman" w:eastAsia="Times New Roman" w:hAnsi="Times New Roman"/>
          <w:sz w:val="18"/>
          <w:szCs w:val="18"/>
          <w:color w:val="auto"/>
        </w:rPr>
        <w:t>Gemini on December 30, 2022, Gemini’s stock traded under the symbol “GMTX” on The Nasdaq Global Market and any comparison with Gemini’s historical stock prices may not be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45720</wp:posOffset>
            </wp:positionV>
            <wp:extent cx="5966460" cy="31718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646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8"/>
        <w:spacing w:after="0" w:line="231" w:lineRule="auto"/>
        <w:tabs>
          <w:tab w:leader="none" w:pos="197"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performance graph shall not be deemed to be “soliciting material” or to be “filed” with the SEC for purposes of Section 18 of the Securities and Exchange Act of 1934, as amended, or otherwise subject to the liabilities under that Section, and shall not be deemed incorporated by reference into any filing of Disc Medicine, Inc. under the Securities Act of 1933, as amended.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 by the Issuer and Affiliated Purchasers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at the end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7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Information pertaining to fiscal year ended December 31, 2023 was included in the Company’s Annual Report on Form 10-K for the year ended December 31, 2023, on pages 97 through 105, under Part II, Item 7, “Management’s Discussion and Analysis of Financial Condition and Results of Operations,” which was filed with the SEC on March 21,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DISC-0974 for the treatment of anemia of myelofibrosis, or MF, and anemia of inflammatory bowel disease, or IBD; and DISC-3405 for the treatment of polycythemia vera, or PV, sickle cell disease, or SCD, and other hematologic disorders. In addition, our preclinical programs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Heme Biosynthesis: Bitopertin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resulting in skin hypersensitivity to sunlight and some types of artificial light.</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completed two Phase 2 clinical trials of bitopertin: BEACON, an open-label, parallel-dose clinical trial in EPP and XLP patients conducted at sites in Australia, and AURORA, a randomized, double-blind, placebo-controlled clinical trial in EPP patients conducted at sites in the United States. In both trials, bitopertin significantly reduced the toxic metabolite, protoporphyrin IX, or PPIX, and was associated with improvements in measures of time spent in sunlight and quality of life. In addition, bitopertin was generally well-tolerated. All participants in AURORA and BEACON were eligible to participate in HELIOS, an ongoing open-label, long-term extension study of bitopertin in EPP and XLP patients. Interim data from HELIOS, presented in June 2025, demonstrated that longer term treatment of bitopertin was associated with sustained reductions in PPIX, as well as improvements in quality of life and liver biomarkers. In our end-of-Phase 2 meeting in September 2024, the U.S. Food &amp; Drug Administration, or the FDA, agreed with the potential for reduction of PPIX to serve as a surrogate endpoint to support a potential accelerated approval of bitopertin in EPP and XLP. In our Type C meeting in December 2024, we aligned with the FDA on the design of APOLLO, a Phase 3, randomized, double-blind, placebo-controlled, clinical trial of bitopertin in EPP and XLP patients that in the setting of an accelerated approval would serve as a post-marketing confirmatory trial. We initiated the APOLLO trial in May 2025 and in September 2025 we submitted a New Drug Application, or NDA, for accelerated approval of bitopertin in EPP and XLP in the United States based on our existing data. In October 2025, we were awarded a Commissioner’s National Priority Voucher, or CNPV, from the FDA for bitopertin in EPP and XLP. The CNPV program, announced in June 2025, is designed to accelerate the development and review of certain drugs aligned with US national health priorities. The FDA accepted our NDA for review in November 2025 and in February 2026 issued a complete response letter, or CRL. Although the FDA agreed that clinical data from AURORA and BEACON provided sufficient evidence that bitopertin significantly lowers whole blood metal-free PPIX, the FDA concluded that the trials did not show evidence of association between percent change in PPIX and sunlight exposure-based endpoints as measured in the trials. As such, the FDA determined that there is uncertainty regarding whether bitopertin’s effect on PPIX is reasonably likely to predict clinical benefit, despite the strong mechanistic and biological plausibility supporting the use of the PPIX biomarker in protoporphyria. The FDA indicated that results of the ongoing APOLLO trial could serve as evidence to support a potential traditional approval, and we plan to request a Type A meeting to review our approach with the FDA. We expect to report topline data from APOLLO in the fourth quarter of 2026, following which we plan to submit a response to the CRL.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8" w:name="page109"/>
    <w:bookmarkEnd w:id="10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APOLLO clinical trial is also intended to serve as a registrational trial with respect to any potential future marketing applications for bitopertin in EPP and XLP outside the United States. We continue to evaluate potential additional trials of bitopertin in other indications.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Iron Homeostasis: DISC-0974 and DISC-3405</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licensed from AbbVie Deutschland GmbH &amp; Co. KG, or AbbVie. DISC-0974 is designed to suppress hepcidin production and increase serum iron levels. We completed a Phase 1 clinical trial in healthy volunteers in the United States in June 2022, with results showing an acceptable tolerability profile and evidence of target engagement, iron mobilization and augmented erythropoiesis. We initiated a Phase 1b/2 clinical trial in June 2022 in patients with anemia of MF, with results from the Phase 1b portion of this clinical trial showing substantial and sustained reductions in hepcidin levels and increases in iron alongside strong hematologic responses across patient types and an acceptable tolerability profile. We initiated RALLY-MF, the open-label Phase 2 portion of this clinical trial, in December 2024 and reported initial data from this Phase 2 trial in December 2025, with results demonstrating meaningful overall anemia responses across all patient subgroups, regardless of baseline transfusion status and independent of concomitant Janus Kinase, or JAK, inhibitor therapy use. Topline data from this trial is expected in the second half of 2026, which, if positive, is expected to support discussions with regulatory agencies on the potential regulatory path for DISC-0974 in anemia of MF. We initiated a Phase 2 clinical trial of DISC-0974 in patients with IBD and anemia in the first quarter of 2026, and we are planning exploratory studies in additional patient populations with anemia of chronic disease. We are also developing a preclinical anti-hemojuvelin, or HJV, monoclonal antibody, DISC-0998, which also targets hepcidin suppression and was 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We initiated a Phase 1 clinical trial of DISC-3405 in healthy adult volunteers in October 2023 and presented interim data from the single-ascending dose, or SAD, portion of this clinical trial in June 2024. We presented data from the multiple ascending dose, or MAD, portion of this clinical trial in December 2024, and presented updated data from both the SAD and MAD portions of this clinical trial in June 2025, with results showing an acceptable tolerability profile and evidence of target engagement, including dose-related increases in serum hepcidin and corresponding reductions in serum iron across all dose levels. We are developing DISC-3405 for the treatment of PV, SCD, and other hematologic disorders. We initiated RESTORE-PV, an open-label Phase 2 clinical trial of DISC-3405 in patients with PV, in the first half of 2025, with initial data expected in the second half of 2026. We also initiated a Phase 1b, open-label clinical trial of DISC-3405 in patients with SCD in October 2025, with initial data expected in the second half of 2026, and plan to explore the role of therapeutic iron restriction in other indications.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October 2025 we completed an underwritten offering of shares of our common stock and pre-funded warrants for net proceeds of $211.0 million, after deducting offering expenses. As of December 31, 2025, we had cash, cash equivalents and marketable securities of $791.2 million. We believe that our cash, cash equivalents and marketable securities, will be sufficient to fund our current operating and capital expenditure plans and our debt service obligations into 2029,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for additional details.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product candidates. These expenses include:</w:t>
      </w:r>
    </w:p>
    <w:p>
      <w:pPr>
        <w:spacing w:after="0" w:line="54" w:lineRule="exact"/>
        <w:rPr>
          <w:sz w:val="20"/>
          <w:szCs w:val="20"/>
          <w:color w:val="auto"/>
        </w:rPr>
      </w:pPr>
    </w:p>
    <w:p>
      <w:pPr>
        <w:ind w:left="76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research and development activities, including under agreements with third parties such as consultants, contractors and contract research organizations, or CROs;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contract development and manufacturing organizations, or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and manufacturing preclinical study and clinical trial materials, including manufacturing registration and validation batches;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typically use our employee and infrastructure resources across product candidates and development programs. We track external development costs by product candidate or development program, but we do not allocate personnel costs or other internal costs to specific product candidates or development programs.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substantially as we advance our programs into and through clinical development. At this time, we cannot accurately estimate or know the nature, timing or costs of the efforts that will be necessary to complete their preclinical and clinical development. Changes in the outcome of any number of variables with respect to these programs could significantly affect the costs and timing associated with their development. We may never succeed in obtaining regulatory approval for any product candidates that have not yet been approved. The successful development of any product candidate is highly uncertain due to the numerous risks and uncertainties inherent in product development, including the following:</w:t>
      </w:r>
    </w:p>
    <w:p>
      <w:pPr>
        <w:spacing w:after="0" w:line="79" w:lineRule="exact"/>
        <w:rPr>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the extent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agreements with third-party manufacturers for supply of product candidate components for our clinical trials;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0" w:name="page111"/>
    <w:bookmarkEnd w:id="110"/>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insurance coverage and adequate reimbursement for any approved products.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related costs for personnel in executive, finance, commercial, corporate and business development, and administrative functions. Selling, general and administrative expenses also include legal fees relating to patent and corporate matters, including noncapitalizable transaction costs; professional fees for accounting, auditing, tax compliance and administrative consulting services; investor and public relations expenses; commercial planning and market research; director and officer insurance costs and other insurance costs; and facility related expenses including maintenance and allocated expenses for rent and other operating costs.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substantially in the future as we increase our headcount to support our continued research and development and potential commercialization activities, including establishing the infrastructure to commercialize any product candidates for which we may obtain marketing approval.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cash equivalents, consisting of money market funds, U.S. treasury securities and corporate debt securities, as well as marketable securities, consisting of U.S treasury securities, U.S. government agency securities and corporate debt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primarily consists of amortization of debt issuance costs and discount and interest expense under the Hercules Loan Agreement.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73"/>
        </w:trPr>
        <w:tc>
          <w:tcPr>
            <w:tcW w:w="53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210"/>
        </w:trPr>
        <w:tc>
          <w:tcPr>
            <w:tcW w:w="53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170,640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96,671</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73,969</w:t>
            </w:r>
          </w:p>
        </w:tc>
      </w:tr>
      <w:tr>
        <w:trPr>
          <w:trHeight w:val="216"/>
        </w:trPr>
        <w:tc>
          <w:tcPr>
            <w:tcW w:w="5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65,382</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33,049</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32,333</w:t>
            </w:r>
          </w:p>
        </w:tc>
      </w:tr>
      <w:tr>
        <w:trPr>
          <w:trHeight w:val="210"/>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236,022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129,720</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106,302</w:t>
            </w: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(236,022)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(129,720)</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(106,302)</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27,761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21,292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6,469</w:t>
            </w: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r>
      <w:tr>
        <w:trPr>
          <w:trHeight w:val="216"/>
        </w:trPr>
        <w:tc>
          <w:tcPr>
            <w:tcW w:w="5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w:t>
            </w:r>
          </w:p>
        </w:tc>
        <w:tc>
          <w:tcPr>
            <w:tcW w:w="10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r>
      <w:tr>
        <w:trPr>
          <w:trHeight w:val="210"/>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24,199</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20,718</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3,481</w:t>
            </w:r>
          </w:p>
        </w:tc>
      </w:tr>
      <w:tr>
        <w:trPr>
          <w:trHeight w:val="210"/>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(211,823)</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(109,002)</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(102,821)</w:t>
            </w:r>
          </w:p>
        </w:tc>
      </w:tr>
      <w:tr>
        <w:trPr>
          <w:trHeight w:val="210"/>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(212,184)</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(109,357)</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(102,827)</w:t>
            </w:r>
          </w:p>
        </w:tc>
      </w:tr>
      <w:tr>
        <w:trPr>
          <w:trHeight w:val="629"/>
        </w:trPr>
        <w:tc>
          <w:tcPr>
            <w:tcW w:w="538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jc w:val="right"/>
              <w:ind w:right="575"/>
              <w:spacing w:after="0"/>
              <w:rPr>
                <w:sz w:val="20"/>
                <w:szCs w:val="20"/>
                <w:color w:val="auto"/>
              </w:rPr>
            </w:pPr>
            <w:r>
              <w:rPr>
                <w:rFonts w:ascii="Times New Roman" w:cs="Times New Roman" w:eastAsia="Times New Roman" w:hAnsi="Times New Roman"/>
                <w:sz w:val="18"/>
                <w:szCs w:val="18"/>
                <w:color w:val="auto"/>
              </w:rPr>
              <w:t>105</w:t>
            </w:r>
          </w:p>
        </w:tc>
        <w:tc>
          <w:tcPr>
            <w:tcW w:w="8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763"/>
        </w:trPr>
        <w:tc>
          <w:tcPr>
            <w:tcW w:w="5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-2356485</wp:posOffset>
            </wp:positionV>
            <wp:extent cx="1714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-2356485</wp:posOffset>
            </wp:positionV>
            <wp:extent cx="1714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-1516380</wp:posOffset>
            </wp:positionV>
            <wp:extent cx="1714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-1516380</wp:posOffset>
            </wp:positionV>
            <wp:extent cx="1714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-1224915</wp:posOffset>
            </wp:positionV>
            <wp:extent cx="1714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-1224915</wp:posOffset>
            </wp:positionV>
            <wp:extent cx="1714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-933450</wp:posOffset>
            </wp:positionV>
            <wp:extent cx="1714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-916305</wp:posOffset>
            </wp:positionV>
            <wp:extent cx="1714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-933450</wp:posOffset>
            </wp:positionV>
            <wp:extent cx="1714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-916305</wp:posOffset>
            </wp:positionV>
            <wp:extent cx="1714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ended December 31, 2025 and 2024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3"/>
        </w:trPr>
        <w:tc>
          <w:tcPr>
            <w:tcW w:w="6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209"/>
        </w:trPr>
        <w:tc>
          <w:tcPr>
            <w:tcW w:w="6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Bitopertin</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58,827</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28,105</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30,722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DISC-0974</w:t>
            </w:r>
          </w:p>
        </w:tc>
        <w:tc>
          <w:tcPr>
            <w:tcW w:w="3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27,586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16,943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10,643</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DISC-3405</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17,693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13,934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3,759</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programs and expenses</w:t>
            </w:r>
          </w:p>
        </w:tc>
        <w:tc>
          <w:tcPr>
            <w:tcW w:w="3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19,374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10,150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9,224</w:t>
            </w:r>
          </w:p>
        </w:tc>
      </w:tr>
      <w:tr>
        <w:trPr>
          <w:trHeight w:val="216"/>
        </w:trPr>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(including equity-based compensation)</w:t>
            </w: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47,160</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27,539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19,621</w:t>
            </w:r>
          </w:p>
        </w:tc>
      </w:tr>
      <w:tr>
        <w:trPr>
          <w:trHeight w:val="210"/>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170,640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96,671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73,969</w:t>
            </w:r>
          </w:p>
        </w:tc>
      </w:tr>
      <w:tr>
        <w:trPr>
          <w:trHeight w:val="20"/>
        </w:trPr>
        <w:tc>
          <w:tcPr>
            <w:tcW w:w="6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-170815</wp:posOffset>
            </wp:positionV>
            <wp:extent cx="1543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1460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were $170.6 million for the year ended December 31, 2025, compared to $96.7 million for the year ended December 31, 2024. The increase of $74.0 million was primarily due to an increase of $30.7 million in bitopertin development expense consisting of a $10.0 million milestone payment triggered by the initiation of our APOLLO trial and a $20.7 million increase in ongoing costs associated with both the APOLLO study and the HELIOS long-term extension trial. Personnel-related costs increased $19.6 million related to higher research and development headcount, including an increase of $9.0 million in stock-based compensation driven by awards granted under our equity compensation plans. DISC-0974 development expenses increased $10.6 million primarily due to clinical trial advancement and drug manufacturing activities. Other research programs and expenses increased $9.2 million related to expanded research initiatives and ongoing program support. Additionally, DISC-3405 development expenses increased $3.8 million driven by a $10.0 million milestone payment triggered by the first administration to a patient in a Phase 2 clinical trial, partially offset by a decrease of $6.2 million related to manufacturing costs incurred in the year ended December 31, 2024 that did not recur in the year ended December 31, 2025.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selling, general and administrative expenses for the years ended December 31, 2025 and 2024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73"/>
        </w:trPr>
        <w:tc>
          <w:tcPr>
            <w:tcW w:w="6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210"/>
        </w:trPr>
        <w:tc>
          <w:tcPr>
            <w:tcW w:w="6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(including equity-based compensation)</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36,838</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19,367</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17,471</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Legal, consulting and professional fees</w:t>
            </w:r>
          </w:p>
        </w:tc>
        <w:tc>
          <w:tcPr>
            <w:tcW w:w="88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9,645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13,054</w:t>
            </w:r>
          </w:p>
        </w:tc>
      </w:tr>
      <w:tr>
        <w:trPr>
          <w:trHeight w:val="216"/>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5,845</w:t>
            </w:r>
          </w:p>
        </w:tc>
        <w:tc>
          <w:tcPr>
            <w:tcW w:w="2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4,037</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1,808</w:t>
            </w:r>
          </w:p>
        </w:tc>
      </w:tr>
      <w:tr>
        <w:trPr>
          <w:trHeight w:val="210"/>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65,382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33,049</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32,333</w:t>
            </w:r>
          </w:p>
        </w:tc>
      </w:tr>
      <w:tr>
        <w:trPr>
          <w:trHeight w:val="20"/>
        </w:trPr>
        <w:tc>
          <w:tcPr>
            <w:tcW w:w="6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-170815</wp:posOffset>
            </wp:positionV>
            <wp:extent cx="1460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were $65.4 million for the year ended December 31, 2025, compared to $33.0 million for the year ended December 31, 2024. The increase of $32.3 million was primarily due to an increase of $17.5 million in personnel-related costs due to higher selling, general and administrative headcount, including an increase of $8.6 million in stock-based compensation driven by awards granted under our equity compensation plans. There was also a $13.1 million increase in legal, consulting, and professional fees primarily related to developing our commercialization capabilities.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was $24.2 million for the year ended December 31, 2025, compared to $20.7 million for the year ended December 31, 2024. The increase of $3.5 million was primarily due to higher interest income driven by larger cash, cash equivalents and marketable securities balances, partially offset by an increase in interest expense associated with our term loan.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was $0.4 million for the years ended December 31, 2025 and 2024, respectively. This expense primarily relates to state income tax resulting from an increase in interest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We expect to continue to incur significant expenses and operating losses in the foreseeable future as we advance the clinical development of our product candidates. We expect that our research and development and selling, general and administrative costs will continue to increase significantly, including in connection with conducting clinical trials and manufacturing for our product candidates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12" w:name="page113"/>
    <w:bookmarkEnd w:id="112"/>
    <w:p>
      <w:pPr>
        <w:jc w:val="both"/>
        <w:spacing w:after="0" w:line="261" w:lineRule="auto"/>
        <w:rPr>
          <w:sz w:val="20"/>
          <w:szCs w:val="20"/>
          <w:color w:val="auto"/>
        </w:rPr>
      </w:pPr>
      <w:r>
        <w:rPr>
          <w:rFonts w:ascii="Times New Roman" w:cs="Times New Roman" w:eastAsia="Times New Roman" w:hAnsi="Times New Roman"/>
          <w:sz w:val="18"/>
          <w:szCs w:val="18"/>
          <w:color w:val="auto"/>
        </w:rPr>
        <w:t>support commercialization and providing selling, general and administrative support for our operations, including the costs associated with operating as a public company. As a result, we may need additional capital to fund our operations, which we may obtain from additional equity or debt financings, collaborations, licensing arrangements or other sources. See “Risk Factors” included within Item 1A of this Annual Report on Form 10-K for additional risks associated with our substantial capital requirements.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the sale of our convertible preferred stock and common stock, the proceeds from the merger with Gemini, proceeds from various private and public sales of our equity securities, and proceeds from borrowings under the Hercules Loan Agreement. Through December 31, 2025, we have received net proceeds of $144.5 million from sales of our Series Seed, Series A and Series B convertible preferred stock, $89.5 million from the merger with Gemini, $941.8 million from various private and public sales of our equity securities, and $27.6 million from borrowings under the Hercules Loan Agreement. As of December 31, 2025, we had cash, cash equivalents, and marketable securities of $791.2 million.</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and, as of December 31, 2025, had an accumulated deficit of $510.2 million. In addition, we expect to continue to incur significant and increasing expenses and operating losses for the foreseeable future. We believe that our cash, cash equivalents and marketable securities will be sufficient to fund our current operating and capital expenditure plans and our debt service obligations into 2029,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We may also pursue additional cash resources through public or private equity offerings, collaborations or additional debt financing.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period presented (in thousands):</w:t>
      </w:r>
    </w:p>
    <w:p>
      <w:pPr>
        <w:spacing w:after="0" w:line="111"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-3175</wp:posOffset>
            </wp:positionV>
            <wp:extent cx="26657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40" w:type="dxa"/>
            <w:vAlign w:val="bottom"/>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38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r>
      <w:tr>
        <w:trPr>
          <w:trHeight w:val="216"/>
        </w:trPr>
        <w:tc>
          <w:tcPr>
            <w:tcW w:w="5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activities</w:t>
            </w:r>
          </w:p>
        </w:tc>
        <w:tc>
          <w:tcPr>
            <w:tcW w:w="254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(180,393)</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(93,926)</w:t>
            </w:r>
          </w:p>
        </w:tc>
      </w:tr>
      <w:tr>
        <w:trPr>
          <w:trHeight w:val="216"/>
        </w:trPr>
        <w:tc>
          <w:tcPr>
            <w:tcW w:w="5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Investing activities</w:t>
            </w:r>
          </w:p>
        </w:tc>
        <w:tc>
          <w:tcPr>
            <w:tcW w:w="13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(394,299)</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(292,332)</w:t>
            </w:r>
          </w:p>
        </w:tc>
      </w:tr>
      <w:tr>
        <w:trPr>
          <w:trHeight w:val="216"/>
        </w:trPr>
        <w:tc>
          <w:tcPr>
            <w:tcW w:w="5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 activities</w:t>
            </w:r>
          </w:p>
        </w:tc>
        <w:tc>
          <w:tcPr>
            <w:tcW w:w="13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473,407</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218,314</w:t>
            </w:r>
          </w:p>
        </w:tc>
      </w:tr>
      <w:tr>
        <w:trPr>
          <w:trHeight w:val="229"/>
        </w:trPr>
        <w:tc>
          <w:tcPr>
            <w:tcW w:w="5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(101,285)</w:t>
            </w:r>
          </w:p>
        </w:tc>
        <w:tc>
          <w:tcPr>
            <w:tcW w:w="6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(167,944)</w:t>
            </w: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-25400</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137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portfolio, drug discovery efforts, conducting clinical trials and manufacturing,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net cash used in operating activities of $180.4 million was primarily due to our net loss of $212.2 million, offset by changes in operating assets and liabilities of $3.5 million and non-cash expenses of $28.3 million which primarily related to stock-based compensation expense of $34.3 million, reduced by $8.5 million from amortization and accretion of investment securities.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net cash used in operating activities of $93.9 million was primarily due to our net loss of $109.4 million, offset by changes in operating assets and liabilities of $3.2 million and non-cash expenses of $12.2 million which primarily related to stock-based compensation expense of $16.8 million, reduced by $5.3 million from amortization and accretion of investment securities.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net cash used in investing activities was primarily due to purchases of marketable securities of $849.6 million, partially offset by maturities of marketable securities of $456.2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net cash used in investing activities was primarily due to purchases of marketable securities of $386.6 million, partially offset by maturities of marketable securities of $94.8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net cash provided by financing activities of $473.4 million consisted primarily of aggregate net proceeds from sales of common stock and pre-funded warrants of $454.4 million from our underwritten offerings in January and October 2025, aggregate net proceeds of $9.8 million from at-the-market offerings and proceeds from the exercise of stock options of $8.6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3" w:name="page114"/>
    <w:bookmarkEnd w:id="113"/>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financing activities of $218.3 million consisted primarily of net proceeds of $172.5 million from the June 2024 underwritten offering, net proceeds from the issuance of long-term debt of $27.6 million, aggregate net proceeds of $14.8 million from at-the-market offerings, and proceeds from the exercise of stock options of $3.0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our expenses to continue to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continue to incur costs associated with operating as a public company. Our future capital requirements will depend on and could increase significantly as a result of many factors, including:</w:t>
      </w:r>
    </w:p>
    <w:p>
      <w:pPr>
        <w:spacing w:after="0" w:line="81"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the extent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and maintain existing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 for any approved products.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may take longer than we anticipate to become commercially available, if they become commercially available at all. Accordingly, we may need to obtain substantial additional funds to achieve our business objectives.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2025 and the effects that such obligations are expected to have on our liquidity and cash flows in future periods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1 to 3</w:t>
            </w:r>
          </w:p>
        </w:tc>
        <w:tc>
          <w:tcPr>
            <w:tcW w:w="240" w:type="dxa"/>
            <w:vAlign w:val="bottom"/>
          </w:tcPr>
          <w:p>
            <w:pPr>
              <w:spacing w:after="0"/>
              <w:rPr>
                <w:sz w:val="10"/>
                <w:szCs w:val="10"/>
                <w:color w:val="auto"/>
              </w:rPr>
            </w:pPr>
          </w:p>
        </w:tc>
        <w:tc>
          <w:tcPr>
            <w:tcW w:w="96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3 to 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3,130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3,130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892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-170815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-170815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-170815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65" w:lineRule="exact"/>
        <w:rPr>
          <w:sz w:val="20"/>
          <w:szCs w:val="20"/>
          <w:color w:val="auto"/>
        </w:rPr>
      </w:pPr>
    </w:p>
    <w:p>
      <w:pPr>
        <w:jc w:val="both"/>
        <w:ind w:right="20" w:firstLine="8"/>
        <w:spacing w:after="0" w:line="242" w:lineRule="auto"/>
        <w:tabs>
          <w:tab w:leader="none" w:pos="207"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contractual rent payments due for our leased and subleased office spaces in Watertown, Massachusetts as of December 31, 2025 and include contractual payments due under our forward-starting lease which is expected to commence in December 2026. The term date for our existing lease is December 31, 2029 and the term date for our existing sublease is November 30, 2026.</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also entered into license agreements under which we are obligated to make specified milestone and royalty payments. We have not included future payments under these agreements in the table of contractual obligations above since the payment obligations under these agreements are contingent upon future events such as regulatory milestones or generating product sales. We are unable to estimate the timing or likelihood of achieving these milestones or generating future product sales. For additional information about our license agreements and amounts that could become payable in the future under such agreements, see our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generally accepted accounting principles, or GAAP. The preparation of our consolidated financial statements and related disclosures requires us to make estimates and judgments that affect the reported amounts of assets, liabilities, and costs and expenses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While our significant accounting policies are described in more detail 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our consolidated financial statements, we believe that the following accounting policies are those most critical to the judgments and estimates used in the preparation of our consolidated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Contract Costs and Accruals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and prepaid research and development expenses. This process involves reviewing open contracts and purchase orders, communicating with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these estimates with the service providers and makes adjustments, if necessary. Examples of estimated accrued research and development expenses include fees paid to:</w:t>
      </w:r>
    </w:p>
    <w:p>
      <w:pPr>
        <w:spacing w:after="0" w:line="84" w:lineRule="exact"/>
        <w:rPr>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CDMOs in connection with the production of preclinical study and clinical trial materials.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5" w:name="page116"/>
    <w:bookmarkEnd w:id="115"/>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stock-based awards granted to employees, directors, and nonemployees based on their fair value on the date of the grant and recognize compensation expense for those awards over the requisite service period, which is generally the vesting period of the respective award. For stock-based awards with service-based vesting conditions, we recognize compensation expense using the straight-line method. For stock-based awards with performance-based vesting conditions, we use the accelerated attribution method to expense the awards over the implicit service period based on the probability of achieving the performance conditions.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which requires inputs based on certain subjective assumptions, including:</w:t>
      </w:r>
    </w:p>
    <w:p>
      <w:pPr>
        <w:spacing w:after="0" w:line="52" w:lineRule="exact"/>
        <w:rPr>
          <w:sz w:val="20"/>
          <w:szCs w:val="20"/>
          <w:color w:val="auto"/>
        </w:rPr>
      </w:pPr>
    </w:p>
    <w:p>
      <w:pPr>
        <w:jc w:val="both"/>
        <w:ind w:left="760" w:hanging="378"/>
        <w:spacing w:after="0" w:line="261"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our common stock: </w:t>
      </w:r>
      <w:r>
        <w:rPr>
          <w:rFonts w:ascii="Times New Roman" w:cs="Times New Roman" w:eastAsia="Times New Roman" w:hAnsi="Times New Roman"/>
          <w:sz w:val="18"/>
          <w:szCs w:val="18"/>
          <w:color w:val="auto"/>
        </w:rPr>
        <w:t>Prior to the merger with Gemini closing, we determined the estimated fair value of our common-stock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third-party valuations and certain other relevant objective and subjective factors. See </w:t>
      </w:r>
      <w:r>
        <w:rPr>
          <w:rFonts w:ascii="Times New Roman" w:cs="Times New Roman" w:eastAsia="Times New Roman" w:hAnsi="Times New Roman"/>
          <w:sz w:val="18"/>
          <w:szCs w:val="18"/>
          <w:i w:val="1"/>
          <w:iCs w:val="1"/>
          <w:color w:val="auto"/>
        </w:rPr>
        <w:t>Determination of the Fair Value of Common Stock</w:t>
      </w:r>
      <w:r>
        <w:rPr>
          <w:rFonts w:ascii="Times New Roman" w:cs="Times New Roman" w:eastAsia="Times New Roman" w:hAnsi="Times New Roman"/>
          <w:sz w:val="18"/>
          <w:szCs w:val="18"/>
          <w:color w:val="auto"/>
        </w:rPr>
        <w:t xml:space="preserve"> below for additional details. After the close of the merger, the fair value of our common stock is determined based on the quoted market price of our common stock.</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stock price volatility: </w:t>
      </w:r>
      <w:r>
        <w:rPr>
          <w:rFonts w:ascii="Times New Roman" w:cs="Times New Roman" w:eastAsia="Times New Roman" w:hAnsi="Times New Roman"/>
          <w:sz w:val="18"/>
          <w:szCs w:val="18"/>
          <w:color w:val="auto"/>
        </w:rPr>
        <w:t>Due to the lack of company-specific historical and implied volatility data, we determine the volatility for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based on an analysis of reported data for a group of guideline companies that issued options with substantially similar terms. The expected volatility has been determined using a weighted average of the historical volatility measures of this group of guideline companies. We expect to continue to do so until such time that we have adequate historical data regarding the volatility of our own traded stock price.</w:t>
      </w:r>
    </w:p>
    <w:p>
      <w:pPr>
        <w:spacing w:after="0" w:line="71" w:lineRule="exact"/>
        <w:rPr>
          <w:rFonts w:ascii="Times New Roman" w:cs="Times New Roman" w:eastAsia="Times New Roman" w:hAnsi="Times New Roman"/>
          <w:sz w:val="18"/>
          <w:szCs w:val="18"/>
          <w:color w:val="auto"/>
        </w:rPr>
      </w:pPr>
    </w:p>
    <w:p>
      <w:pPr>
        <w:ind w:left="760" w:right="20" w:hanging="378"/>
        <w:spacing w:after="0" w:line="284"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of the option. </w:t>
      </w:r>
      <w:r>
        <w:rPr>
          <w:rFonts w:ascii="Times New Roman" w:cs="Times New Roman" w:eastAsia="Times New Roman" w:hAnsi="Times New Roman"/>
          <w:sz w:val="18"/>
          <w:szCs w:val="18"/>
          <w:color w:val="auto"/>
        </w:rPr>
        <w:t>The expected term of our stock options granted to employees has been determined utilizing the “simplified”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awards that qualify as “plain-vanilla” options, using the average between the vesting date and the contractual term.</w:t>
      </w:r>
    </w:p>
    <w:p>
      <w:pPr>
        <w:spacing w:after="0" w:line="50" w:lineRule="exact"/>
        <w:rPr>
          <w:rFonts w:ascii="Times New Roman" w:cs="Times New Roman" w:eastAsia="Times New Roman" w:hAnsi="Times New Roman"/>
          <w:sz w:val="18"/>
          <w:szCs w:val="18"/>
          <w:color w:val="auto"/>
        </w:rPr>
      </w:pPr>
    </w:p>
    <w:p>
      <w:pPr>
        <w:ind w:left="760" w:hanging="378"/>
        <w:spacing w:after="0" w:line="284"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determined by reference to the U.S. Treasury yield curve in effect at the time of grant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for time periods approximately equal to the expected term of the award.</w:t>
      </w:r>
    </w:p>
    <w:p>
      <w:pPr>
        <w:spacing w:after="0" w:line="50" w:lineRule="exact"/>
        <w:rPr>
          <w:rFonts w:ascii="Times New Roman" w:cs="Times New Roman" w:eastAsia="Times New Roman" w:hAnsi="Times New Roman"/>
          <w:sz w:val="18"/>
          <w:szCs w:val="18"/>
          <w:color w:val="auto"/>
        </w:rPr>
      </w:pPr>
    </w:p>
    <w:p>
      <w:pPr>
        <w:ind w:left="760" w:right="20" w:hanging="378"/>
        <w:spacing w:after="0" w:line="284"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We have not paid, and do not anticipate paying, cash dividends on our common stock; therefore, the expected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yield is assumed to be zero.</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assumptions used in the Black-Scholes option pricing model changed significantly, stock-based compensation expense for future awards may differ materially compared with the expense for awards granted previously. We will continue to use judgment in evaluating the assumptions related to our stock-based compensation on a prospective basis. As we continue to accumulate additional data related to our common stock, we may refine our estimates, which could materially impact our future stock-based compensation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the Fair Value of Common Stock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Prior to the merger with Gemini closing, the estimated fair value of our common stock had been determined by our board of directors as of the date of each option grant with input from management, considering our most recently available third-party valuation of common stock, and our board of directors’ assessment of additional objective and subjective factors that we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common stock valuations were prepared using either an option pricing method, or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convertible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hybrid method is a probability-weighted expected return method, or PWERM, by which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valuation date at an appropriate risk-adjusted discount rate and probability weighted to arrive at an indication of value for the common stock.</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stock-based compensation expense could be materially different.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closing of the merger, a public trading market for our common stock has been established and it is no longer necessary for our board of directors to estimate the fair value of our common stock in connection with our accounting for granted stock options and other such awards we may grant, as the fair value of our common stock is now determined based on the quoted market price of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 description of recently issued and certain recently adopted accounting pronouncements that have or may potentially impact our financial position and results of operations is included 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we had cash, cash equivalents and marketable securities of $791.2 million. As of December 31, 2025, our cash equivalents consisted of U.S. treasury and corporate debt securities with original maturities of three months or less and our marketable securities consisted of U.S. treasury, U.S. government agency, and corporate debt securities which were classified as available-for-sale securities. As of December 31, 2024, we had cash, cash equivalents, and marketable securities of $489.9 million. As of December 31, 2024, our cash equivalents consisted of money market funds and U.S. treasury securities and our marketable securities consisted of U.S. treasury securities and U.S. government agency securities which were classified as available-for-sale securities. Our primary investment objectives are the preservation of capital and the maintenance of liquidity, and our investment policy defines allowable investments based on quality of the institutions and financial instruments designed to minimize risk exposure. Our exposure to interest rate sensitivity is affected by changes in the general level of U.S. interest rates. Our marketable securities are subject to interest rate risk and will fall in value if market interest rates increase. Due to the short-term maturities and low risk profiles of our investments, we do not anticipate a significant exposure to interest rate risk. If market interest rates were to increase immediately and uniformly by one percentage point from levels as of December 31, 2025, the net fair value of our marketable securities would decrease by approximately $5.2 million.</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contract research. We do not believe that inflation had a material effect on our business, financial condition or results of operations during the years ended December 31, 2025, 2024 and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42)</w:t>
            </w:r>
          </w:p>
        </w:tc>
        <w:tc>
          <w:tcPr>
            <w:tcW w:w="4960" w:type="dxa"/>
            <w:vAlign w:val="bottom"/>
            <w:vMerge w:val="restart"/>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5500" w:type="dxa"/>
            <w:vAlign w:val="bottom"/>
            <w:tcBorders>
              <w:bottom w:val="single" w:sz="8" w:color="0000FF"/>
            </w:tcBorders>
            <w:gridSpan w:val="8"/>
            <w:vMerge w:val="continue"/>
          </w:tcPr>
          <w:p>
            <w:pPr>
              <w:spacing w:after="0"/>
              <w:rPr>
                <w:sz w:val="14"/>
                <w:szCs w:val="14"/>
                <w:color w:val="auto"/>
              </w:rPr>
            </w:pPr>
          </w:p>
        </w:tc>
        <w:tc>
          <w:tcPr>
            <w:tcW w:w="4960" w:type="dxa"/>
            <w:vAlign w:val="bottom"/>
            <w:vMerge w:val="continue"/>
          </w:tcPr>
          <w:p>
            <w:pPr>
              <w:spacing w:after="0"/>
              <w:rPr>
                <w:sz w:val="14"/>
                <w:szCs w:val="14"/>
                <w:color w:val="auto"/>
              </w:rPr>
            </w:pPr>
          </w:p>
        </w:tc>
        <w:tc>
          <w:tcPr>
            <w:tcW w:w="7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bottom w:val="single" w:sz="8" w:color="0000EE"/>
            </w:tcBorders>
          </w:tcPr>
          <w:p>
            <w:pPr>
              <w:spacing w:after="0"/>
              <w:rPr>
                <w:sz w:val="17"/>
                <w:szCs w:val="17"/>
                <w:color w:val="auto"/>
              </w:rPr>
            </w:pPr>
          </w:p>
        </w:tc>
        <w:tc>
          <w:tcPr>
            <w:tcW w:w="8340" w:type="dxa"/>
            <w:vAlign w:val="bottom"/>
            <w:gridSpan w:val="7"/>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6"/>
        </w:trPr>
        <w:tc>
          <w:tcPr>
            <w:tcW w:w="104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468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780" w:type="dxa"/>
            <w:vAlign w:val="bottom"/>
            <w:gridSpan w:val="2"/>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top w:val="single" w:sz="8" w:color="0000FF"/>
              <w:bottom w:val="single" w:sz="8" w:color="0000EE"/>
            </w:tcBorders>
          </w:tcPr>
          <w:p>
            <w:pPr>
              <w:spacing w:after="0"/>
              <w:rPr>
                <w:sz w:val="17"/>
                <w:szCs w:val="17"/>
                <w:color w:val="auto"/>
              </w:rPr>
            </w:pPr>
          </w:p>
        </w:tc>
        <w:tc>
          <w:tcPr>
            <w:tcW w:w="620" w:type="dxa"/>
            <w:vAlign w:val="bottom"/>
            <w:tcBorders>
              <w:top w:val="single" w:sz="8" w:color="0000FF"/>
            </w:tcBorders>
            <w:gridSpan w:val="2"/>
          </w:tcPr>
          <w:p>
            <w:pPr>
              <w:spacing w:after="0"/>
              <w:rPr>
                <w:sz w:val="17"/>
                <w:szCs w:val="17"/>
                <w:color w:val="auto"/>
              </w:rPr>
            </w:pPr>
          </w:p>
        </w:tc>
        <w:tc>
          <w:tcPr>
            <w:tcW w:w="6940" w:type="dxa"/>
            <w:vAlign w:val="bottom"/>
            <w:gridSpan w:val="3"/>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300" w:type="dxa"/>
            <w:vAlign w:val="bottom"/>
            <w:gridSpan w:val="4"/>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669"/>
        </w:trPr>
        <w:tc>
          <w:tcPr>
            <w:tcW w:w="10460" w:type="dxa"/>
            <w:vAlign w:val="bottom"/>
            <w:gridSpan w:val="9"/>
          </w:tcPr>
          <w:p>
            <w:pPr>
              <w:ind w:left="5480"/>
              <w:spacing w:after="0"/>
              <w:rPr>
                <w:sz w:val="20"/>
                <w:szCs w:val="20"/>
                <w:color w:val="auto"/>
              </w:rPr>
            </w:pPr>
            <w:r>
              <w:rPr>
                <w:rFonts w:ascii="Times New Roman" w:cs="Times New Roman" w:eastAsia="Times New Roman" w:hAnsi="Times New Roman"/>
                <w:sz w:val="18"/>
                <w:szCs w:val="18"/>
                <w:color w:val="auto"/>
              </w:rPr>
              <w:t>112</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8" w:name="page119"/>
    <w:bookmarkEnd w:id="118"/>
    <w:p>
      <w:pPr>
        <w:ind w:right="3380" w:firstLine="33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Disc Medicine, Inc.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Disc Medicine, Inc. (the Company) as of December 31, 2025 and 2024, the related consolidated statements of operations and comprehensive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Accrued External Research and Development Expenses</w:t>
      </w:r>
    </w:p>
    <w:p>
      <w:pPr>
        <w:spacing w:after="0" w:line="119" w:lineRule="exact"/>
        <w:rPr>
          <w:sz w:val="20"/>
          <w:szCs w:val="20"/>
          <w:color w:val="auto"/>
        </w:rPr>
      </w:pPr>
    </w:p>
    <w:p>
      <w:pPr>
        <w:jc w:val="both"/>
        <w:ind w:left="2160" w:right="80" w:hanging="2145"/>
        <w:spacing w:after="0" w:line="254" w:lineRule="auto"/>
        <w:tabs>
          <w:tab w:leader="none" w:pos="214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As of December 31, 2025, the Company had recognized accrued external research and development expenses of approximately $11.5 million, which includes accrued expenses related to contracts with contract research organizations and investigative sites in connection with clinical trials. As described in Note 2 to the consolidated financial statements, the Company’s determination of accrued external research and development expenses incurred at each reporting period incorporates judgment and utilizes various assumptions as payments for such activities are based on the terms of the individual arrangements, which may differ from the pattern of costs incurred. Such judgments and assumptions include an evaluation of the information provided to the Company by third parties on actual costs incurred, the time period over which services will be performed and the level of effort expended in each period.</w:t>
      </w:r>
    </w:p>
    <w:p>
      <w:pPr>
        <w:spacing w:after="0" w:line="86" w:lineRule="exact"/>
        <w:rPr>
          <w:sz w:val="20"/>
          <w:szCs w:val="20"/>
          <w:color w:val="auto"/>
        </w:rPr>
      </w:pPr>
    </w:p>
    <w:p>
      <w:pPr>
        <w:jc w:val="both"/>
        <w:ind w:left="2160" w:right="80"/>
        <w:spacing w:after="0" w:line="256" w:lineRule="auto"/>
        <w:rPr>
          <w:sz w:val="20"/>
          <w:szCs w:val="20"/>
          <w:color w:val="auto"/>
        </w:rPr>
      </w:pPr>
      <w:r>
        <w:rPr>
          <w:rFonts w:ascii="Times New Roman" w:cs="Times New Roman" w:eastAsia="Times New Roman" w:hAnsi="Times New Roman"/>
          <w:sz w:val="18"/>
          <w:szCs w:val="18"/>
          <w:color w:val="auto"/>
        </w:rPr>
        <w:t>Auditing the Company’s accrued external research and development expenses related to contracts with contract research organizations and investigative sites in connection with clinical trials is especially complex due to the significant volume of transactions and the use of third-party data involved in determining the accrual balance that was accumulated from multiple sources. In addition, in certain circumstances, the determination of the nature and level of services that have been received during the reporting period requires judgment because the timing and pattern of vendor invoicing did not correspond to the level of services provided and invoicing from clinical study sites and other vendors may not yet be available to management.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9" w:name="page120"/>
    <w:bookmarkEnd w:id="119"/>
    <w:p>
      <w:pPr>
        <w:spacing w:after="0"/>
        <w:tabs>
          <w:tab w:leader="none" w:pos="214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controls over the Company’s</w:t>
      </w:r>
    </w:p>
    <w:p>
      <w:pPr>
        <w:spacing w:after="0" w:line="29" w:lineRule="exact"/>
        <w:rPr>
          <w:sz w:val="20"/>
          <w:szCs w:val="20"/>
          <w:color w:val="auto"/>
        </w:rPr>
      </w:pPr>
    </w:p>
    <w:p>
      <w:pPr>
        <w:ind w:left="2160" w:hanging="2145"/>
        <w:spacing w:after="0" w:line="260" w:lineRule="auto"/>
        <w:tabs>
          <w:tab w:leader="none" w:pos="214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estimation of accrued external research and development expenses related to contracts with contract research organizations and investigative sites in connection with clinical trials.</w:t>
      </w:r>
    </w:p>
    <w:p>
      <w:pPr>
        <w:spacing w:after="0" w:line="73" w:lineRule="exact"/>
        <w:rPr>
          <w:sz w:val="20"/>
          <w:szCs w:val="20"/>
          <w:color w:val="auto"/>
        </w:rPr>
      </w:pPr>
    </w:p>
    <w:p>
      <w:pPr>
        <w:jc w:val="both"/>
        <w:ind w:left="2160"/>
        <w:spacing w:after="0" w:line="254" w:lineRule="auto"/>
        <w:rPr>
          <w:sz w:val="20"/>
          <w:szCs w:val="20"/>
          <w:color w:val="auto"/>
        </w:rPr>
      </w:pPr>
      <w:r>
        <w:rPr>
          <w:rFonts w:ascii="Times New Roman" w:cs="Times New Roman" w:eastAsia="Times New Roman" w:hAnsi="Times New Roman"/>
          <w:sz w:val="18"/>
          <w:szCs w:val="18"/>
          <w:color w:val="auto"/>
        </w:rPr>
        <w:t>Our audit procedures included, among others, testing the completeness and accuracy of the underlying data used in the estimate, including actual and expected patient enrollment research services incurred to date and terms of contractual arrangements. To assess the reasonableness of the Company’s estimate of the level of services provided by clinical study sites and other vendors, we corroborated the progress of the underlying clinical research and development service arrangements with Company personnel and obtained direct third-party confirmations supporting the contractual arrangements and estimated costs incurred to date. We recalculated the accrual based on executed contracts with the contract research organizations. We also obtained invoices received from third parties subsequent to the balance sheet date to test the Company’s accrual for the level of services provided as of December 31, 2025 that have not been paid.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120" w:name="page121"/>
    <w:bookmarkEnd w:id="1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91,145</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803,898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806,879</w:t>
            </w:r>
          </w:p>
        </w:tc>
        <w:tc>
          <w:tcPr>
            <w:tcW w:w="3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accrued expenses</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36,641</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or</w:t>
            </w:r>
          </w:p>
        </w:tc>
        <w:tc>
          <w:tcPr>
            <w:tcW w:w="300" w:type="dxa"/>
            <w:vAlign w:val="bottom"/>
            <w:shd w:val="clear" w:color="auto" w:fill="CFF0FC"/>
          </w:tcPr>
          <w:p>
            <w:pPr>
              <w:spacing w:after="0"/>
              <w:rPr>
                <w:sz w:val="17"/>
                <w:szCs w:val="17"/>
                <w:color w:val="auto"/>
              </w:rPr>
            </w:pPr>
          </w:p>
        </w:tc>
        <w:tc>
          <w:tcPr>
            <w:tcW w:w="1860" w:type="dxa"/>
            <w:vAlign w:val="bottom"/>
            <w:gridSpan w:val="2"/>
            <w:vMerge w:val="restart"/>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7"/>
                <w:szCs w:val="17"/>
                <w:color w:val="auto"/>
              </w:rPr>
            </w:pPr>
          </w:p>
        </w:tc>
        <w:tc>
          <w:tcPr>
            <w:tcW w:w="16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716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as of December 31, 2025 and December 31, 2024</w:t>
            </w:r>
          </w:p>
        </w:tc>
        <w:tc>
          <w:tcPr>
            <w:tcW w:w="300" w:type="dxa"/>
            <w:vAlign w:val="bottom"/>
            <w:shd w:val="clear" w:color="auto" w:fill="CFF0FC"/>
          </w:tcPr>
          <w:p>
            <w:pPr>
              <w:spacing w:after="0"/>
              <w:rPr>
                <w:sz w:val="10"/>
                <w:szCs w:val="10"/>
                <w:color w:val="auto"/>
              </w:rPr>
            </w:pPr>
          </w:p>
        </w:tc>
        <w:tc>
          <w:tcPr>
            <w:tcW w:w="1860" w:type="dxa"/>
            <w:vAlign w:val="bottom"/>
            <w:gridSpan w:val="2"/>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160" w:type="dxa"/>
            <w:vAlign w:val="bottom"/>
            <w:vMerge w:val="continue"/>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71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as of December 31, 2025</w:t>
            </w: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December 31, 2024; 37,890,616 and 29,865,030 shares issued and outstanding as of</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2025 and December 31, 2024, respectively</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1,249,043</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741,297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(510,186)</w:t>
            </w:r>
          </w:p>
        </w:tc>
        <w:tc>
          <w:tcPr>
            <w:tcW w:w="2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(298,002)</w:t>
            </w:r>
          </w:p>
        </w:tc>
        <w:tc>
          <w:tcPr>
            <w:tcW w:w="0" w:type="dxa"/>
            <w:vAlign w:val="bottom"/>
          </w:tcPr>
          <w:p>
            <w:pPr>
              <w:spacing w:after="0"/>
              <w:rPr>
                <w:sz w:val="1"/>
                <w:szCs w:val="1"/>
                <w:color w:val="auto"/>
              </w:rPr>
            </w:pPr>
          </w:p>
        </w:tc>
      </w:tr>
      <w:tr>
        <w:trPr>
          <w:trHeight w:val="210"/>
        </w:trPr>
        <w:tc>
          <w:tcPr>
            <w:tcW w:w="71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739,826</w:t>
            </w:r>
          </w:p>
        </w:tc>
        <w:tc>
          <w:tcPr>
            <w:tcW w:w="3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443,587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806,879</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-3805555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-3248025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-1833880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-316865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1" w:name="page122"/>
    <w:bookmarkEnd w:id="1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00"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-3175</wp:posOffset>
            </wp:positionV>
            <wp:extent cx="33775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170,640</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96,671</w:t>
            </w:r>
          </w:p>
        </w:tc>
        <w:tc>
          <w:tcPr>
            <w:tcW w:w="3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69,264</w:t>
            </w:r>
          </w:p>
        </w:tc>
        <w:tc>
          <w:tcPr>
            <w:tcW w:w="120" w:type="dxa"/>
            <w:vAlign w:val="bottom"/>
          </w:tcPr>
          <w:p>
            <w:pPr>
              <w:spacing w:after="0"/>
              <w:rPr>
                <w:sz w:val="18"/>
                <w:szCs w:val="18"/>
                <w:color w:val="auto"/>
              </w:rPr>
            </w:pPr>
          </w:p>
        </w:tc>
      </w:tr>
      <w:tr>
        <w:trPr>
          <w:trHeight w:val="216"/>
        </w:trPr>
        <w:tc>
          <w:tcPr>
            <w:tcW w:w="5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65,382</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33,049</w:t>
            </w:r>
          </w:p>
        </w:tc>
        <w:tc>
          <w:tcPr>
            <w:tcW w:w="3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236,022</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129,720</w:t>
            </w: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91,125</w:t>
            </w:r>
          </w:p>
        </w:tc>
        <w:tc>
          <w:tcPr>
            <w:tcW w:w="120" w:type="dxa"/>
            <w:vAlign w:val="bottom"/>
          </w:tcPr>
          <w:p>
            <w:pPr>
              <w:spacing w:after="0"/>
              <w:rPr>
                <w:sz w:val="18"/>
                <w:szCs w:val="18"/>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(236,022)</w:t>
            </w: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(129,720)</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(91,125)</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21,292</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14,797</w:t>
            </w:r>
          </w:p>
        </w:tc>
        <w:tc>
          <w:tcPr>
            <w:tcW w:w="120" w:type="dxa"/>
            <w:vAlign w:val="bottom"/>
            <w:shd w:val="clear" w:color="auto" w:fill="CFF0FC"/>
          </w:tcPr>
          <w:p>
            <w:pPr>
              <w:spacing w:after="0"/>
              <w:rPr>
                <w:sz w:val="18"/>
                <w:szCs w:val="18"/>
                <w:color w:val="auto"/>
              </w:rPr>
            </w:pPr>
          </w:p>
        </w:tc>
      </w:tr>
      <w:tr>
        <w:trPr>
          <w:trHeight w:val="21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(3,607)</w:t>
            </w:r>
          </w:p>
        </w:tc>
        <w:tc>
          <w:tcPr>
            <w:tcW w:w="3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(572)</w:t>
            </w:r>
          </w:p>
        </w:tc>
        <w:tc>
          <w:tcPr>
            <w:tcW w:w="3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524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5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24,199</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20,718</w:t>
            </w:r>
          </w:p>
        </w:tc>
        <w:tc>
          <w:tcPr>
            <w:tcW w:w="3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120" w:type="dxa"/>
            <w:vAlign w:val="bottom"/>
            <w:tcBorders>
              <w:top w:val="single" w:sz="8" w:color="CFF0FC"/>
            </w:tcBorders>
          </w:tcPr>
          <w:p>
            <w:pPr>
              <w:spacing w:after="0"/>
              <w:rPr>
                <w:sz w:val="18"/>
                <w:szCs w:val="18"/>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(211,823)</w:t>
            </w: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(109,002)</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(76,330)</w:t>
            </w:r>
          </w:p>
        </w:tc>
      </w:tr>
      <w:tr>
        <w:trPr>
          <w:trHeight w:val="21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3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(355)</w:t>
            </w: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5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(212,184)</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(109,357)</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(76,429)</w:t>
            </w:r>
          </w:p>
        </w:tc>
      </w:tr>
      <w:tr>
        <w:trPr>
          <w:trHeight w:val="20"/>
        </w:trPr>
        <w:tc>
          <w:tcPr>
            <w:tcW w:w="52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(3.96)</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w:t>
            </w:r>
          </w:p>
        </w:tc>
      </w:tr>
      <w:tr>
        <w:trPr>
          <w:trHeight w:val="20"/>
        </w:trPr>
        <w:tc>
          <w:tcPr>
            <w:tcW w:w="5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2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5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35,295,663</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27,606,022</w:t>
            </w: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22,315,877</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96"/>
        </w:trPr>
        <w:tc>
          <w:tcPr>
            <w:tcW w:w="5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(212,184)</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(109,357)</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(76,429)</w:t>
            </w: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5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(211,508)</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(109,068)</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(76,429)</w:t>
            </w: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-2887980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-2887980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-2887980</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-2047875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-2047875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-2047875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-1473835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-1473835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-1473835</wp:posOffset>
            </wp:positionV>
            <wp:extent cx="774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-1165225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-1148080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-1165225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-1148080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-1165225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-1148080</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-316230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-316230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STOCKHOLDERS’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p>
      <w:pPr>
        <w:spacing w:after="0" w:line="1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3"/>
          <w:szCs w:val="13"/>
          <w:color w:val="auto"/>
        </w:rPr>
        <w:t>Issuance of common stock upon exercise of stock options Issuance of common stock upon vesting of restricted stock awards</w:t>
      </w:r>
    </w:p>
    <w:p>
      <w:pPr>
        <w:spacing w:after="0" w:line="1" w:lineRule="exact"/>
        <w:rPr>
          <w:sz w:val="20"/>
          <w:szCs w:val="20"/>
          <w:color w:val="auto"/>
        </w:rPr>
      </w:pPr>
    </w:p>
    <w:p>
      <w:pPr>
        <w:ind w:right="320"/>
        <w:spacing w:after="0" w:line="238" w:lineRule="auto"/>
        <w:rPr>
          <w:sz w:val="20"/>
          <w:szCs w:val="20"/>
          <w:color w:val="auto"/>
        </w:rPr>
      </w:pPr>
      <w:r>
        <w:rPr>
          <w:rFonts w:ascii="Times New Roman" w:cs="Times New Roman" w:eastAsia="Times New Roman" w:hAnsi="Times New Roman"/>
          <w:sz w:val="13"/>
          <w:szCs w:val="13"/>
          <w:color w:val="auto"/>
        </w:rPr>
        <w:t>Issuance of common stock upon exercise of warrants Sale of common stock in follow-on public offering,</w:t>
      </w:r>
    </w:p>
    <w:p>
      <w:pPr>
        <w:ind w:left="100"/>
        <w:spacing w:after="0"/>
        <w:rPr>
          <w:sz w:val="20"/>
          <w:szCs w:val="20"/>
          <w:color w:val="auto"/>
        </w:rPr>
      </w:pPr>
      <w:r>
        <w:rPr>
          <w:rFonts w:ascii="Times New Roman" w:cs="Times New Roman" w:eastAsia="Times New Roman" w:hAnsi="Times New Roman"/>
          <w:sz w:val="13"/>
          <w:szCs w:val="13"/>
          <w:color w:val="auto"/>
        </w:rPr>
        <w:t>net of issuance costs of $9,272</w:t>
      </w:r>
    </w:p>
    <w:p>
      <w:pPr>
        <w:ind w:left="100" w:right="100" w:hanging="100"/>
        <w:spacing w:after="0" w:line="238" w:lineRule="auto"/>
        <w:rPr>
          <w:sz w:val="20"/>
          <w:szCs w:val="20"/>
          <w:color w:val="auto"/>
        </w:rPr>
      </w:pPr>
      <w:r>
        <w:rPr>
          <w:rFonts w:ascii="Times New Roman" w:cs="Times New Roman" w:eastAsia="Times New Roman" w:hAnsi="Times New Roman"/>
          <w:sz w:val="13"/>
          <w:szCs w:val="13"/>
          <w:color w:val="auto"/>
        </w:rPr>
        <w:t>Sale of pre-funded warrants in follow-on public offering, net of issuance costs of $627</w:t>
      </w:r>
    </w:p>
    <w:p>
      <w:pPr>
        <w:spacing w:after="0" w:line="1" w:lineRule="exact"/>
        <w:rPr>
          <w:sz w:val="20"/>
          <w:szCs w:val="20"/>
          <w:color w:val="auto"/>
        </w:rPr>
      </w:pPr>
    </w:p>
    <w:p>
      <w:pPr>
        <w:ind w:left="100" w:right="600" w:hanging="100"/>
        <w:spacing w:after="0" w:line="238" w:lineRule="auto"/>
        <w:rPr>
          <w:sz w:val="20"/>
          <w:szCs w:val="20"/>
          <w:color w:val="auto"/>
        </w:rPr>
      </w:pPr>
      <w:r>
        <w:rPr>
          <w:rFonts w:ascii="Times New Roman" w:cs="Times New Roman" w:eastAsia="Times New Roman" w:hAnsi="Times New Roman"/>
          <w:sz w:val="13"/>
          <w:szCs w:val="13"/>
          <w:color w:val="auto"/>
        </w:rPr>
        <w:t>Sale of common stock in underwritten offering, net of issuance costs of $80</w:t>
      </w:r>
    </w:p>
    <w:p>
      <w:pPr>
        <w:spacing w:after="0" w:line="1" w:lineRule="exact"/>
        <w:rPr>
          <w:sz w:val="20"/>
          <w:szCs w:val="20"/>
          <w:color w:val="auto"/>
        </w:rPr>
      </w:pPr>
    </w:p>
    <w:p>
      <w:pPr>
        <w:ind w:left="100" w:right="300" w:hanging="100"/>
        <w:spacing w:after="0" w:line="238" w:lineRule="auto"/>
        <w:rPr>
          <w:sz w:val="20"/>
          <w:szCs w:val="20"/>
          <w:color w:val="auto"/>
        </w:rPr>
      </w:pPr>
      <w:r>
        <w:rPr>
          <w:rFonts w:ascii="Times New Roman" w:cs="Times New Roman" w:eastAsia="Times New Roman" w:hAnsi="Times New Roman"/>
          <w:sz w:val="13"/>
          <w:szCs w:val="13"/>
          <w:color w:val="auto"/>
        </w:rPr>
        <w:t>Sale of pre-funded warrants in underwritten offering, net of issuance costs of $66</w:t>
      </w:r>
    </w:p>
    <w:p>
      <w:pPr>
        <w:spacing w:after="0" w:line="1" w:lineRule="exact"/>
        <w:rPr>
          <w:sz w:val="20"/>
          <w:szCs w:val="20"/>
          <w:color w:val="auto"/>
        </w:rPr>
      </w:pPr>
    </w:p>
    <w:p>
      <w:pPr>
        <w:ind w:left="100" w:right="520" w:hanging="100"/>
        <w:spacing w:after="0" w:line="238" w:lineRule="auto"/>
        <w:rPr>
          <w:sz w:val="20"/>
          <w:szCs w:val="20"/>
          <w:color w:val="auto"/>
        </w:rPr>
      </w:pPr>
      <w:r>
        <w:rPr>
          <w:rFonts w:ascii="Times New Roman" w:cs="Times New Roman" w:eastAsia="Times New Roman" w:hAnsi="Times New Roman"/>
          <w:sz w:val="13"/>
          <w:szCs w:val="13"/>
          <w:color w:val="auto"/>
        </w:rPr>
        <w:t>Sale of common stock in at-the-market offerings, net of issuance costs of $742</w:t>
      </w:r>
    </w:p>
    <w:p>
      <w:pPr>
        <w:spacing w:after="0" w:line="234" w:lineRule="auto"/>
        <w:rPr>
          <w:sz w:val="20"/>
          <w:szCs w:val="20"/>
          <w:color w:val="auto"/>
        </w:rPr>
      </w:pPr>
      <w:r>
        <w:rPr>
          <w:rFonts w:ascii="Times New Roman" w:cs="Times New Roman" w:eastAsia="Times New Roman" w:hAnsi="Times New Roman"/>
          <w:sz w:val="13"/>
          <w:szCs w:val="13"/>
          <w:color w:val="auto"/>
        </w:rPr>
        <w:t>Stock-based compensation expense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3"/>
            <w:vMerge w:val="restart"/>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jc w:val="center"/>
              <w:ind w:right="38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2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344"/>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20" w:type="dxa"/>
            <w:vAlign w:val="bottom"/>
            <w:tcBorders>
              <w:bottom w:val="single" w:sz="8" w:color="auto"/>
            </w:tcBorders>
            <w:gridSpan w:val="3"/>
          </w:tcPr>
          <w:p>
            <w:pPr>
              <w:jc w:val="center"/>
              <w:ind w:left="151"/>
              <w:spacing w:after="0"/>
              <w:rPr>
                <w:sz w:val="20"/>
                <w:szCs w:val="20"/>
                <w:color w:val="auto"/>
              </w:rPr>
            </w:pPr>
            <w:r>
              <w:rPr>
                <w:rFonts w:ascii="Times New Roman" w:cs="Times New Roman" w:eastAsia="Times New Roman" w:hAnsi="Times New Roman"/>
                <w:sz w:val="14"/>
                <w:szCs w:val="14"/>
                <w:b w:val="1"/>
                <w:bCs w:val="1"/>
                <w:color w:val="auto"/>
              </w:rPr>
              <w:t>$0.0001 Par Value</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4"/>
                <w:szCs w:val="14"/>
                <w:color w:val="auto"/>
              </w:rPr>
            </w:pPr>
          </w:p>
        </w:tc>
        <w:tc>
          <w:tcPr>
            <w:tcW w:w="1360" w:type="dxa"/>
            <w:vAlign w:val="bottom"/>
            <w:gridSpan w:val="4"/>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9"/>
        </w:trPr>
        <w:tc>
          <w:tcPr>
            <w:tcW w:w="12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344"/>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29"/>
        </w:trPr>
        <w:tc>
          <w:tcPr>
            <w:tcW w:w="1240" w:type="dxa"/>
            <w:vAlign w:val="bottom"/>
            <w:tcBorders>
              <w:top w:val="single" w:sz="8" w:color="auto"/>
            </w:tcBorders>
          </w:tcPr>
          <w:p>
            <w:pPr>
              <w:jc w:val="right"/>
              <w:ind w:right="71"/>
              <w:spacing w:after="0" w:line="129" w:lineRule="exact"/>
              <w:rPr>
                <w:sz w:val="20"/>
                <w:szCs w:val="20"/>
                <w:color w:val="auto"/>
              </w:rPr>
            </w:pPr>
            <w:r>
              <w:rPr>
                <w:rFonts w:ascii="Times New Roman" w:cs="Times New Roman" w:eastAsia="Times New Roman" w:hAnsi="Times New Roman"/>
                <w:sz w:val="13"/>
                <w:szCs w:val="13"/>
                <w:color w:val="auto"/>
              </w:rPr>
              <w:t>17,403,315</w:t>
            </w:r>
          </w:p>
        </w:tc>
        <w:tc>
          <w:tcPr>
            <w:tcW w:w="120" w:type="dxa"/>
            <w:vAlign w:val="bottom"/>
          </w:tcPr>
          <w:p>
            <w:pPr>
              <w:spacing w:after="0"/>
              <w:rPr>
                <w:sz w:val="11"/>
                <w:szCs w:val="11"/>
                <w:color w:val="auto"/>
              </w:rPr>
            </w:pPr>
          </w:p>
        </w:tc>
        <w:tc>
          <w:tcPr>
            <w:tcW w:w="86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1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ind w:right="51"/>
              <w:spacing w:after="0" w:line="129" w:lineRule="exact"/>
              <w:rPr>
                <w:sz w:val="20"/>
                <w:szCs w:val="20"/>
                <w:color w:val="auto"/>
              </w:rPr>
            </w:pPr>
            <w:r>
              <w:rPr>
                <w:rFonts w:ascii="Times New Roman" w:cs="Times New Roman" w:eastAsia="Times New Roman" w:hAnsi="Times New Roman"/>
                <w:sz w:val="13"/>
                <w:szCs w:val="13"/>
                <w:color w:val="auto"/>
              </w:rPr>
              <w:t>288,814</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ind w:left="8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(112,216)</w:t>
            </w: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tcPr>
          <w:p>
            <w:pPr>
              <w:jc w:val="right"/>
              <w:ind w:right="51"/>
              <w:spacing w:after="0" w:line="129" w:lineRule="exact"/>
              <w:rPr>
                <w:sz w:val="20"/>
                <w:szCs w:val="20"/>
                <w:color w:val="auto"/>
              </w:rPr>
            </w:pPr>
            <w:r>
              <w:rPr>
                <w:rFonts w:ascii="Times New Roman" w:cs="Times New Roman" w:eastAsia="Times New Roman" w:hAnsi="Times New Roman"/>
                <w:sz w:val="13"/>
                <w:szCs w:val="13"/>
                <w:color w:val="auto"/>
              </w:rPr>
              <w:t>176,600</w:t>
            </w:r>
          </w:p>
        </w:tc>
        <w:tc>
          <w:tcPr>
            <w:tcW w:w="0" w:type="dxa"/>
            <w:vAlign w:val="bottom"/>
          </w:tcPr>
          <w:p>
            <w:pPr>
              <w:spacing w:after="0"/>
              <w:rPr>
                <w:sz w:val="1"/>
                <w:szCs w:val="1"/>
                <w:color w:val="auto"/>
              </w:rPr>
            </w:pPr>
          </w:p>
        </w:tc>
      </w:tr>
      <w:tr>
        <w:trPr>
          <w:trHeight w:val="174"/>
        </w:trPr>
        <w:tc>
          <w:tcPr>
            <w:tcW w:w="1240" w:type="dxa"/>
            <w:vAlign w:val="bottom"/>
          </w:tcPr>
          <w:p>
            <w:pPr>
              <w:jc w:val="right"/>
              <w:ind w:right="71"/>
              <w:spacing w:after="0"/>
              <w:rPr>
                <w:sz w:val="20"/>
                <w:szCs w:val="20"/>
                <w:color w:val="auto"/>
              </w:rPr>
            </w:pPr>
            <w:r>
              <w:rPr>
                <w:rFonts w:ascii="Times New Roman" w:cs="Times New Roman" w:eastAsia="Times New Roman" w:hAnsi="Times New Roman"/>
                <w:sz w:val="13"/>
                <w:szCs w:val="13"/>
                <w:color w:val="auto"/>
              </w:rPr>
              <w:t>254,432</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2,763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2,763</w:t>
            </w:r>
          </w:p>
        </w:tc>
        <w:tc>
          <w:tcPr>
            <w:tcW w:w="0" w:type="dxa"/>
            <w:vAlign w:val="bottom"/>
          </w:tcPr>
          <w:p>
            <w:pPr>
              <w:spacing w:after="0"/>
              <w:rPr>
                <w:sz w:val="1"/>
                <w:szCs w:val="1"/>
                <w:color w:val="auto"/>
              </w:rPr>
            </w:pPr>
          </w:p>
        </w:tc>
      </w:tr>
      <w:tr>
        <w:trPr>
          <w:trHeight w:val="216"/>
        </w:trPr>
        <w:tc>
          <w:tcPr>
            <w:tcW w:w="1240" w:type="dxa"/>
            <w:vAlign w:val="bottom"/>
          </w:tcPr>
          <w:p>
            <w:pPr>
              <w:jc w:val="right"/>
              <w:ind w:right="71"/>
              <w:spacing w:after="0"/>
              <w:rPr>
                <w:sz w:val="20"/>
                <w:szCs w:val="20"/>
                <w:color w:val="auto"/>
              </w:rPr>
            </w:pPr>
            <w:r>
              <w:rPr>
                <w:rFonts w:ascii="Times New Roman" w:cs="Times New Roman" w:eastAsia="Times New Roman" w:hAnsi="Times New Roman"/>
                <w:sz w:val="13"/>
                <w:szCs w:val="13"/>
                <w:color w:val="auto"/>
              </w:rPr>
              <w:t>1,916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9"/>
        </w:trPr>
        <w:tc>
          <w:tcPr>
            <w:tcW w:w="1240" w:type="dxa"/>
            <w:vAlign w:val="bottom"/>
          </w:tcPr>
          <w:p>
            <w:pPr>
              <w:jc w:val="right"/>
              <w:ind w:right="71"/>
              <w:spacing w:after="0"/>
              <w:rPr>
                <w:sz w:val="20"/>
                <w:szCs w:val="20"/>
                <w:color w:val="auto"/>
              </w:rPr>
            </w:pPr>
            <w:r>
              <w:rPr>
                <w:rFonts w:ascii="Times New Roman" w:cs="Times New Roman" w:eastAsia="Times New Roman" w:hAnsi="Times New Roman"/>
                <w:sz w:val="13"/>
                <w:szCs w:val="13"/>
                <w:color w:val="auto"/>
              </w:rPr>
              <w:t>1,229,221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6"/>
        </w:trPr>
        <w:tc>
          <w:tcPr>
            <w:tcW w:w="1240" w:type="dxa"/>
            <w:vAlign w:val="bottom"/>
          </w:tcPr>
          <w:p>
            <w:pPr>
              <w:jc w:val="right"/>
              <w:ind w:right="71"/>
              <w:spacing w:after="0"/>
              <w:rPr>
                <w:sz w:val="20"/>
                <w:szCs w:val="20"/>
                <w:color w:val="auto"/>
              </w:rPr>
            </w:pPr>
            <w:r>
              <w:rPr>
                <w:rFonts w:ascii="Times New Roman" w:cs="Times New Roman" w:eastAsia="Times New Roman" w:hAnsi="Times New Roman"/>
                <w:sz w:val="13"/>
                <w:szCs w:val="13"/>
                <w:color w:val="auto"/>
              </w:rPr>
              <w:t>3,015,919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138,508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138,508</w:t>
            </w:r>
          </w:p>
        </w:tc>
        <w:tc>
          <w:tcPr>
            <w:tcW w:w="0" w:type="dxa"/>
            <w:vAlign w:val="bottom"/>
          </w:tcPr>
          <w:p>
            <w:pPr>
              <w:spacing w:after="0"/>
              <w:rPr>
                <w:sz w:val="1"/>
                <w:szCs w:val="1"/>
                <w:color w:val="auto"/>
              </w:rPr>
            </w:pPr>
          </w:p>
        </w:tc>
      </w:tr>
      <w:tr>
        <w:trPr>
          <w:trHeight w:val="297"/>
        </w:trPr>
        <w:tc>
          <w:tcPr>
            <w:tcW w:w="1240" w:type="dxa"/>
            <w:vAlign w:val="bottom"/>
          </w:tcPr>
          <w:p>
            <w:pPr>
              <w:jc w:val="right"/>
              <w:ind w:right="7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9,373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9,373</w:t>
            </w:r>
          </w:p>
        </w:tc>
        <w:tc>
          <w:tcPr>
            <w:tcW w:w="0" w:type="dxa"/>
            <w:vAlign w:val="bottom"/>
          </w:tcPr>
          <w:p>
            <w:pPr>
              <w:spacing w:after="0"/>
              <w:rPr>
                <w:sz w:val="1"/>
                <w:szCs w:val="1"/>
                <w:color w:val="auto"/>
              </w:rPr>
            </w:pPr>
          </w:p>
        </w:tc>
      </w:tr>
      <w:tr>
        <w:trPr>
          <w:trHeight w:val="297"/>
        </w:trPr>
        <w:tc>
          <w:tcPr>
            <w:tcW w:w="1240" w:type="dxa"/>
            <w:vAlign w:val="bottom"/>
          </w:tcPr>
          <w:p>
            <w:pPr>
              <w:jc w:val="right"/>
              <w:ind w:right="71"/>
              <w:spacing w:after="0"/>
              <w:rPr>
                <w:sz w:val="20"/>
                <w:szCs w:val="20"/>
                <w:color w:val="auto"/>
              </w:rPr>
            </w:pPr>
            <w:r>
              <w:rPr>
                <w:rFonts w:ascii="Times New Roman" w:cs="Times New Roman" w:eastAsia="Times New Roman" w:hAnsi="Times New Roman"/>
                <w:sz w:val="13"/>
                <w:szCs w:val="13"/>
                <w:color w:val="auto"/>
              </w:rPr>
              <w:t>1,488,166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34,148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34,148</w:t>
            </w:r>
          </w:p>
        </w:tc>
        <w:tc>
          <w:tcPr>
            <w:tcW w:w="0" w:type="dxa"/>
            <w:vAlign w:val="bottom"/>
          </w:tcPr>
          <w:p>
            <w:pPr>
              <w:spacing w:after="0"/>
              <w:rPr>
                <w:sz w:val="1"/>
                <w:szCs w:val="1"/>
                <w:color w:val="auto"/>
              </w:rPr>
            </w:pPr>
          </w:p>
        </w:tc>
      </w:tr>
      <w:tr>
        <w:trPr>
          <w:trHeight w:val="297"/>
        </w:trPr>
        <w:tc>
          <w:tcPr>
            <w:tcW w:w="1240" w:type="dxa"/>
            <w:vAlign w:val="bottom"/>
          </w:tcPr>
          <w:p>
            <w:pPr>
              <w:jc w:val="right"/>
              <w:ind w:right="7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28,206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28,206</w:t>
            </w:r>
          </w:p>
        </w:tc>
        <w:tc>
          <w:tcPr>
            <w:tcW w:w="0" w:type="dxa"/>
            <w:vAlign w:val="bottom"/>
          </w:tcPr>
          <w:p>
            <w:pPr>
              <w:spacing w:after="0"/>
              <w:rPr>
                <w:sz w:val="1"/>
                <w:szCs w:val="1"/>
                <w:color w:val="auto"/>
              </w:rPr>
            </w:pPr>
          </w:p>
        </w:tc>
      </w:tr>
      <w:tr>
        <w:trPr>
          <w:trHeight w:val="297"/>
        </w:trPr>
        <w:tc>
          <w:tcPr>
            <w:tcW w:w="1240" w:type="dxa"/>
            <w:vAlign w:val="bottom"/>
          </w:tcPr>
          <w:p>
            <w:pPr>
              <w:jc w:val="right"/>
              <w:ind w:right="71"/>
              <w:spacing w:after="0"/>
              <w:rPr>
                <w:sz w:val="20"/>
                <w:szCs w:val="20"/>
                <w:color w:val="auto"/>
              </w:rPr>
            </w:pPr>
            <w:r>
              <w:rPr>
                <w:rFonts w:ascii="Times New Roman" w:cs="Times New Roman" w:eastAsia="Times New Roman" w:hAnsi="Times New Roman"/>
                <w:sz w:val="13"/>
                <w:szCs w:val="13"/>
                <w:color w:val="auto"/>
              </w:rPr>
              <w:t>967,264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26,422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26,422</w:t>
            </w:r>
          </w:p>
        </w:tc>
        <w:tc>
          <w:tcPr>
            <w:tcW w:w="0" w:type="dxa"/>
            <w:vAlign w:val="bottom"/>
          </w:tcPr>
          <w:p>
            <w:pPr>
              <w:spacing w:after="0"/>
              <w:rPr>
                <w:sz w:val="1"/>
                <w:szCs w:val="1"/>
                <w:color w:val="auto"/>
              </w:rPr>
            </w:pPr>
          </w:p>
        </w:tc>
      </w:tr>
      <w:tr>
        <w:trPr>
          <w:trHeight w:val="214"/>
        </w:trPr>
        <w:tc>
          <w:tcPr>
            <w:tcW w:w="1240" w:type="dxa"/>
            <w:vAlign w:val="bottom"/>
          </w:tcPr>
          <w:p>
            <w:pPr>
              <w:jc w:val="right"/>
              <w:ind w:right="7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5,530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5,530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-1506855</wp:posOffset>
            </wp:positionV>
            <wp:extent cx="7132320" cy="946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-1318260</wp:posOffset>
            </wp:positionV>
            <wp:extent cx="7132320"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-1035685</wp:posOffset>
            </wp:positionV>
            <wp:extent cx="7132320"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-658495</wp:posOffset>
            </wp:positionV>
            <wp:extent cx="7132320"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-280670</wp:posOffset>
            </wp:positionV>
            <wp:extent cx="7132320"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180" w:space="340"/>
            <w:col w:w="772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3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124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(76,429)</w:t>
            </w:r>
          </w:p>
        </w:tc>
        <w:tc>
          <w:tcPr>
            <w:tcW w:w="10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(76,429)</w:t>
            </w:r>
          </w:p>
        </w:tc>
      </w:tr>
      <w:tr>
        <w:trPr>
          <w:trHeight w:val="142"/>
        </w:trPr>
        <w:tc>
          <w:tcPr>
            <w:tcW w:w="35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24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24,360,233</w:t>
            </w:r>
          </w:p>
        </w:tc>
        <w:tc>
          <w:tcPr>
            <w:tcW w:w="62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2</w:t>
            </w:r>
          </w:p>
        </w:tc>
        <w:tc>
          <w:tcPr>
            <w:tcW w:w="4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533,764</w:t>
            </w:r>
          </w:p>
        </w:tc>
        <w:tc>
          <w:tcPr>
            <w:tcW w:w="60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(188,645)</w:t>
            </w:r>
          </w:p>
        </w:tc>
        <w:tc>
          <w:tcPr>
            <w:tcW w:w="4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345,121</w:t>
            </w:r>
          </w:p>
        </w:tc>
      </w:tr>
      <w:tr>
        <w:trPr>
          <w:trHeight w:val="20"/>
        </w:trPr>
        <w:tc>
          <w:tcPr>
            <w:tcW w:w="35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946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-127635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-127635</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-127635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-127635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-127635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p>
      <w:pPr>
        <w:spacing w:after="0"/>
        <w:rPr>
          <w:sz w:val="20"/>
          <w:szCs w:val="20"/>
          <w:color w:val="auto"/>
        </w:rPr>
      </w:pPr>
      <w:r>
        <w:rPr>
          <w:rFonts w:ascii="Times New Roman" w:cs="Times New Roman" w:eastAsia="Times New Roman" w:hAnsi="Times New Roman"/>
          <w:sz w:val="13"/>
          <w:szCs w:val="13"/>
          <w:color w:val="auto"/>
        </w:rPr>
        <w:t>Issuance of common stock under employee stock purchase plan</w:t>
      </w:r>
    </w:p>
    <w:p>
      <w:pPr>
        <w:spacing w:after="0"/>
        <w:rPr>
          <w:sz w:val="20"/>
          <w:szCs w:val="20"/>
          <w:color w:val="auto"/>
        </w:rPr>
      </w:pPr>
      <w:r>
        <w:rPr>
          <w:rFonts w:ascii="Times New Roman" w:cs="Times New Roman" w:eastAsia="Times New Roman" w:hAnsi="Times New Roman"/>
          <w:sz w:val="13"/>
          <w:szCs w:val="13"/>
          <w:color w:val="auto"/>
        </w:rPr>
        <w:t>Sale of common stock in an underwritten offering,</w:t>
      </w:r>
    </w:p>
    <w:p>
      <w:pPr>
        <w:ind w:left="100"/>
        <w:spacing w:after="0"/>
        <w:rPr>
          <w:sz w:val="20"/>
          <w:szCs w:val="20"/>
          <w:color w:val="auto"/>
        </w:rPr>
      </w:pPr>
      <w:r>
        <w:rPr>
          <w:rFonts w:ascii="Times New Roman" w:cs="Times New Roman" w:eastAsia="Times New Roman" w:hAnsi="Times New Roman"/>
          <w:sz w:val="13"/>
          <w:szCs w:val="13"/>
          <w:color w:val="auto"/>
        </w:rPr>
        <w:t>net of issuance costs of $5,472</w:t>
      </w:r>
    </w:p>
    <w:p>
      <w:pPr>
        <w:ind w:left="100" w:right="800" w:hanging="100"/>
        <w:spacing w:after="0" w:line="238" w:lineRule="auto"/>
        <w:rPr>
          <w:sz w:val="20"/>
          <w:szCs w:val="20"/>
          <w:color w:val="auto"/>
        </w:rPr>
      </w:pPr>
      <w:r>
        <w:rPr>
          <w:rFonts w:ascii="Times New Roman" w:cs="Times New Roman" w:eastAsia="Times New Roman" w:hAnsi="Times New Roman"/>
          <w:sz w:val="13"/>
          <w:szCs w:val="13"/>
          <w:color w:val="auto"/>
        </w:rPr>
        <w:t>Sale of common stock in at-the-market offerings, net of issuance costs of $518</w:t>
      </w:r>
    </w:p>
    <w:p>
      <w:pPr>
        <w:spacing w:after="0"/>
        <w:rPr>
          <w:sz w:val="20"/>
          <w:szCs w:val="20"/>
          <w:color w:val="auto"/>
        </w:rPr>
      </w:pPr>
      <w:r>
        <w:rPr>
          <w:rFonts w:ascii="Times New Roman" w:cs="Times New Roman" w:eastAsia="Times New Roman" w:hAnsi="Times New Roman"/>
          <w:sz w:val="13"/>
          <w:szCs w:val="13"/>
          <w:color w:val="auto"/>
        </w:rPr>
        <w:t>Stock-based compensation expense</w:t>
      </w:r>
    </w:p>
    <w:p>
      <w:pPr>
        <w:spacing w:after="0"/>
        <w:rPr>
          <w:sz w:val="20"/>
          <w:szCs w:val="20"/>
          <w:color w:val="auto"/>
        </w:rPr>
      </w:pPr>
      <w:r>
        <w:rPr>
          <w:rFonts w:ascii="Times New Roman" w:cs="Times New Roman" w:eastAsia="Times New Roman" w:hAnsi="Times New Roman"/>
          <w:sz w:val="13"/>
          <w:szCs w:val="13"/>
          <w:color w:val="auto"/>
        </w:rPr>
        <w:t>Foreign currency translation adjustments</w:t>
      </w:r>
    </w:p>
    <w:p>
      <w:pPr>
        <w:spacing w:after="0"/>
        <w:rPr>
          <w:sz w:val="20"/>
          <w:szCs w:val="20"/>
          <w:color w:val="auto"/>
        </w:rPr>
      </w:pPr>
      <w:r>
        <w:rPr>
          <w:rFonts w:ascii="Times New Roman" w:cs="Times New Roman" w:eastAsia="Times New Roman" w:hAnsi="Times New Roman"/>
          <w:sz w:val="13"/>
          <w:szCs w:val="13"/>
          <w:color w:val="auto"/>
        </w:rPr>
        <w:t>Unrealized gain on marketable securities</w:t>
      </w:r>
    </w:p>
    <w:p>
      <w:pPr>
        <w:spacing w:after="0"/>
        <w:rPr>
          <w:sz w:val="20"/>
          <w:szCs w:val="20"/>
          <w:color w:val="auto"/>
        </w:rPr>
      </w:pPr>
      <w:r>
        <w:rPr>
          <w:rFonts w:ascii="Times New Roman" w:cs="Times New Roman" w:eastAsia="Times New Roman" w:hAnsi="Times New Roman"/>
          <w:sz w:val="13"/>
          <w:szCs w:val="13"/>
          <w:color w:val="auto"/>
        </w:rPr>
        <w:t>Net loss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p>
      <w:pPr>
        <w:spacing w:after="0"/>
        <w:rPr>
          <w:sz w:val="20"/>
          <w:szCs w:val="20"/>
          <w:color w:val="auto"/>
        </w:rPr>
      </w:pPr>
      <w:r>
        <w:rPr>
          <w:rFonts w:ascii="Times New Roman" w:cs="Times New Roman" w:eastAsia="Times New Roman" w:hAnsi="Times New Roman"/>
          <w:sz w:val="13"/>
          <w:szCs w:val="13"/>
          <w:color w:val="auto"/>
        </w:rPr>
        <w:t>Issuance of common stock under employee stock purchase plan</w:t>
      </w:r>
    </w:p>
    <w:p>
      <w:pPr>
        <w:spacing w:after="0"/>
        <w:rPr>
          <w:sz w:val="20"/>
          <w:szCs w:val="20"/>
          <w:color w:val="auto"/>
        </w:rPr>
      </w:pPr>
      <w:r>
        <w:rPr>
          <w:rFonts w:ascii="Times New Roman" w:cs="Times New Roman" w:eastAsia="Times New Roman" w:hAnsi="Times New Roman"/>
          <w:sz w:val="13"/>
          <w:szCs w:val="13"/>
          <w:color w:val="auto"/>
        </w:rPr>
        <w:t>Sale of common stock in underwritten offerings,</w:t>
      </w:r>
    </w:p>
    <w:p>
      <w:pPr>
        <w:ind w:left="100"/>
        <w:spacing w:after="0"/>
        <w:rPr>
          <w:sz w:val="20"/>
          <w:szCs w:val="20"/>
          <w:color w:val="auto"/>
        </w:rPr>
      </w:pPr>
      <w:r>
        <w:rPr>
          <w:rFonts w:ascii="Times New Roman" w:cs="Times New Roman" w:eastAsia="Times New Roman" w:hAnsi="Times New Roman"/>
          <w:sz w:val="13"/>
          <w:szCs w:val="13"/>
          <w:color w:val="auto"/>
        </w:rPr>
        <w:t>net of issuance costs of $28,978</w:t>
      </w:r>
    </w:p>
    <w:p>
      <w:pPr>
        <w:ind w:left="100" w:right="540" w:hanging="100"/>
        <w:spacing w:after="0" w:line="238" w:lineRule="auto"/>
        <w:rPr>
          <w:sz w:val="20"/>
          <w:szCs w:val="20"/>
          <w:color w:val="auto"/>
        </w:rPr>
      </w:pPr>
      <w:r>
        <w:rPr>
          <w:rFonts w:ascii="Times New Roman" w:cs="Times New Roman" w:eastAsia="Times New Roman" w:hAnsi="Times New Roman"/>
          <w:sz w:val="13"/>
          <w:szCs w:val="13"/>
          <w:color w:val="auto"/>
        </w:rPr>
        <w:t>Sale of pre-funded warrants in underwritten offerings, net of issuance costs of $925</w:t>
      </w:r>
    </w:p>
    <w:p>
      <w:pPr>
        <w:spacing w:after="0" w:line="1" w:lineRule="exact"/>
        <w:rPr>
          <w:sz w:val="20"/>
          <w:szCs w:val="20"/>
          <w:color w:val="auto"/>
        </w:rPr>
      </w:pPr>
    </w:p>
    <w:p>
      <w:pPr>
        <w:ind w:left="100" w:right="840" w:hanging="100"/>
        <w:spacing w:after="0" w:line="238" w:lineRule="auto"/>
        <w:rPr>
          <w:sz w:val="20"/>
          <w:szCs w:val="20"/>
          <w:color w:val="auto"/>
        </w:rPr>
      </w:pPr>
      <w:r>
        <w:rPr>
          <w:rFonts w:ascii="Times New Roman" w:cs="Times New Roman" w:eastAsia="Times New Roman" w:hAnsi="Times New Roman"/>
          <w:sz w:val="13"/>
          <w:szCs w:val="13"/>
          <w:color w:val="auto"/>
        </w:rPr>
        <w:t>Sale of common stock in at-the-market offering, net of issuance costs of $302</w:t>
      </w:r>
    </w:p>
    <w:p>
      <w:pPr>
        <w:spacing w:after="0"/>
        <w:rPr>
          <w:sz w:val="20"/>
          <w:szCs w:val="20"/>
          <w:color w:val="auto"/>
        </w:rPr>
      </w:pPr>
      <w:r>
        <w:rPr>
          <w:rFonts w:ascii="Times New Roman" w:cs="Times New Roman" w:eastAsia="Times New Roman" w:hAnsi="Times New Roman"/>
          <w:sz w:val="13"/>
          <w:szCs w:val="13"/>
          <w:color w:val="auto"/>
        </w:rPr>
        <w:t>Stock-based compensation expense</w:t>
      </w:r>
    </w:p>
    <w:p>
      <w:pPr>
        <w:spacing w:after="0"/>
        <w:rPr>
          <w:sz w:val="20"/>
          <w:szCs w:val="20"/>
          <w:color w:val="auto"/>
        </w:rPr>
      </w:pPr>
      <w:r>
        <w:rPr>
          <w:rFonts w:ascii="Times New Roman" w:cs="Times New Roman" w:eastAsia="Times New Roman" w:hAnsi="Times New Roman"/>
          <w:sz w:val="13"/>
          <w:szCs w:val="13"/>
          <w:color w:val="auto"/>
        </w:rPr>
        <w:t>Foreign currency translation adjustments</w:t>
      </w:r>
    </w:p>
    <w:p>
      <w:pPr>
        <w:spacing w:after="0" w:line="233" w:lineRule="auto"/>
        <w:rPr>
          <w:sz w:val="20"/>
          <w:szCs w:val="20"/>
          <w:color w:val="auto"/>
        </w:rPr>
      </w:pPr>
      <w:r>
        <w:rPr>
          <w:rFonts w:ascii="Times New Roman" w:cs="Times New Roman" w:eastAsia="Times New Roman" w:hAnsi="Times New Roman"/>
          <w:sz w:val="13"/>
          <w:szCs w:val="13"/>
          <w:color w:val="auto"/>
        </w:rPr>
        <w:t>Unrealized gain on marketable securities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1240" w:type="dxa"/>
            <w:vAlign w:val="bottom"/>
          </w:tcPr>
          <w:p>
            <w:pPr>
              <w:jc w:val="right"/>
              <w:ind w:right="73"/>
              <w:spacing w:after="0" w:line="136" w:lineRule="exact"/>
              <w:rPr>
                <w:sz w:val="20"/>
                <w:szCs w:val="20"/>
                <w:color w:val="auto"/>
              </w:rPr>
            </w:pPr>
            <w:r>
              <w:rPr>
                <w:rFonts w:ascii="Times New Roman" w:cs="Times New Roman" w:eastAsia="Times New Roman" w:hAnsi="Times New Roman"/>
                <w:sz w:val="13"/>
                <w:szCs w:val="13"/>
                <w:color w:val="auto"/>
              </w:rPr>
              <w:t>315,266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jc w:val="right"/>
              <w:ind w:right="73"/>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jc w:val="right"/>
              <w:ind w:right="53"/>
              <w:spacing w:after="0" w:line="136" w:lineRule="exact"/>
              <w:rPr>
                <w:sz w:val="20"/>
                <w:szCs w:val="20"/>
                <w:color w:val="auto"/>
              </w:rPr>
            </w:pPr>
            <w:r>
              <w:rPr>
                <w:rFonts w:ascii="Times New Roman" w:cs="Times New Roman" w:eastAsia="Times New Roman" w:hAnsi="Times New Roman"/>
                <w:sz w:val="13"/>
                <w:szCs w:val="13"/>
                <w:color w:val="auto"/>
              </w:rPr>
              <w:t>2,976</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jc w:val="right"/>
              <w:ind w:right="53"/>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right"/>
              <w:ind w:right="53"/>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jc w:val="right"/>
              <w:ind w:right="53"/>
              <w:spacing w:after="0" w:line="136" w:lineRule="exact"/>
              <w:rPr>
                <w:sz w:val="20"/>
                <w:szCs w:val="20"/>
                <w:color w:val="auto"/>
              </w:rPr>
            </w:pPr>
            <w:r>
              <w:rPr>
                <w:rFonts w:ascii="Times New Roman" w:cs="Times New Roman" w:eastAsia="Times New Roman" w:hAnsi="Times New Roman"/>
                <w:sz w:val="13"/>
                <w:szCs w:val="13"/>
                <w:color w:val="auto"/>
              </w:rPr>
              <w:t>2,976</w:t>
            </w:r>
          </w:p>
        </w:tc>
      </w:tr>
      <w:tr>
        <w:trPr>
          <w:trHeight w:val="174"/>
        </w:trPr>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11,082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441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441</w:t>
            </w:r>
          </w:p>
        </w:tc>
      </w:tr>
      <w:tr>
        <w:trPr>
          <w:trHeight w:val="216"/>
        </w:trPr>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4,944,000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172,511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172,512</w:t>
            </w:r>
          </w:p>
        </w:tc>
      </w:tr>
      <w:tr>
        <w:trPr>
          <w:trHeight w:val="297"/>
        </w:trPr>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234,449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14,790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14,790</w:t>
            </w:r>
          </w:p>
        </w:tc>
      </w:tr>
      <w:tr>
        <w:trPr>
          <w:trHeight w:val="204"/>
        </w:trPr>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16,815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16,815</w:t>
            </w:r>
          </w:p>
        </w:tc>
      </w:tr>
      <w:tr>
        <w:trPr>
          <w:trHeight w:val="148"/>
        </w:trPr>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49"/>
        </w:trPr>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316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316</w:t>
            </w:r>
          </w:p>
        </w:tc>
      </w:tr>
      <w:tr>
        <w:trPr>
          <w:trHeight w:val="161"/>
        </w:trPr>
        <w:tc>
          <w:tcPr>
            <w:tcW w:w="1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(109,357)</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(109,357)</w:t>
            </w:r>
          </w:p>
        </w:tc>
      </w:tr>
      <w:tr>
        <w:trPr>
          <w:trHeight w:val="142"/>
        </w:trPr>
        <w:tc>
          <w:tcPr>
            <w:tcW w:w="124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29,865,030</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2"/>
                <w:szCs w:val="12"/>
                <w:color w:val="auto"/>
              </w:rPr>
            </w:pPr>
          </w:p>
        </w:tc>
        <w:tc>
          <w:tcPr>
            <w:tcW w:w="3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741,297</w:t>
            </w:r>
          </w:p>
        </w:tc>
        <w:tc>
          <w:tcPr>
            <w:tcW w:w="120" w:type="dxa"/>
            <w:vAlign w:val="bottom"/>
          </w:tcPr>
          <w:p>
            <w:pPr>
              <w:spacing w:after="0"/>
              <w:rPr>
                <w:sz w:val="12"/>
                <w:szCs w:val="12"/>
                <w:color w:val="auto"/>
              </w:rPr>
            </w:pPr>
          </w:p>
        </w:tc>
        <w:tc>
          <w:tcPr>
            <w:tcW w:w="4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289</w:t>
            </w:r>
          </w:p>
        </w:tc>
        <w:tc>
          <w:tcPr>
            <w:tcW w:w="120" w:type="dxa"/>
            <w:vAlign w:val="bottom"/>
          </w:tcPr>
          <w:p>
            <w:pPr>
              <w:spacing w:after="0"/>
              <w:rPr>
                <w:sz w:val="12"/>
                <w:szCs w:val="12"/>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(298,002)</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443,587</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16"/>
        </w:trPr>
        <w:tc>
          <w:tcPr>
            <w:tcW w:w="1240" w:type="dxa"/>
            <w:vAlign w:val="bottom"/>
          </w:tcPr>
          <w:p>
            <w:pPr>
              <w:jc w:val="right"/>
              <w:ind w:right="73"/>
              <w:spacing w:after="0" w:line="116" w:lineRule="exact"/>
              <w:rPr>
                <w:sz w:val="20"/>
                <w:szCs w:val="20"/>
                <w:color w:val="auto"/>
              </w:rPr>
            </w:pPr>
            <w:r>
              <w:rPr>
                <w:rFonts w:ascii="Times New Roman" w:cs="Times New Roman" w:eastAsia="Times New Roman" w:hAnsi="Times New Roman"/>
                <w:sz w:val="13"/>
                <w:szCs w:val="13"/>
                <w:color w:val="auto"/>
              </w:rPr>
              <w:t>578,872</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jc w:val="right"/>
              <w:ind w:right="73"/>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jc w:val="right"/>
              <w:ind w:right="53"/>
              <w:spacing w:after="0" w:line="116" w:lineRule="exact"/>
              <w:rPr>
                <w:sz w:val="20"/>
                <w:szCs w:val="20"/>
                <w:color w:val="auto"/>
              </w:rPr>
            </w:pPr>
            <w:r>
              <w:rPr>
                <w:rFonts w:ascii="Times New Roman" w:cs="Times New Roman" w:eastAsia="Times New Roman" w:hAnsi="Times New Roman"/>
                <w:sz w:val="13"/>
                <w:szCs w:val="13"/>
                <w:color w:val="auto"/>
              </w:rPr>
              <w:t>8,641</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jc w:val="right"/>
              <w:ind w:right="53"/>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jc w:val="right"/>
              <w:ind w:right="53"/>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jc w:val="right"/>
              <w:ind w:right="53"/>
              <w:spacing w:after="0" w:line="116" w:lineRule="exact"/>
              <w:rPr>
                <w:sz w:val="20"/>
                <w:szCs w:val="20"/>
                <w:color w:val="auto"/>
              </w:rPr>
            </w:pPr>
            <w:r>
              <w:rPr>
                <w:rFonts w:ascii="Times New Roman" w:cs="Times New Roman" w:eastAsia="Times New Roman" w:hAnsi="Times New Roman"/>
                <w:sz w:val="13"/>
                <w:szCs w:val="13"/>
                <w:color w:val="auto"/>
              </w:rPr>
              <w:t>8,641</w:t>
            </w:r>
          </w:p>
        </w:tc>
      </w:tr>
      <w:tr>
        <w:trPr>
          <w:trHeight w:val="148"/>
        </w:trPr>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117,911</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14,115</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578</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578</w:t>
            </w:r>
          </w:p>
        </w:tc>
      </w:tr>
      <w:tr>
        <w:trPr>
          <w:trHeight w:val="216"/>
        </w:trPr>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7,152,231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440,346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440,346</w:t>
            </w:r>
          </w:p>
        </w:tc>
      </w:tr>
      <w:tr>
        <w:trPr>
          <w:trHeight w:val="297"/>
        </w:trPr>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14,076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14,076</w:t>
            </w:r>
          </w:p>
        </w:tc>
      </w:tr>
      <w:tr>
        <w:trPr>
          <w:trHeight w:val="297"/>
        </w:trPr>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162,457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9,765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9,766</w:t>
            </w:r>
          </w:p>
        </w:tc>
      </w:tr>
      <w:tr>
        <w:trPr>
          <w:trHeight w:val="204"/>
        </w:trPr>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34,340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34,340</w:t>
            </w:r>
          </w:p>
        </w:tc>
      </w:tr>
      <w:tr>
        <w:trPr>
          <w:trHeight w:val="148"/>
        </w:trPr>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9"/>
        </w:trPr>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677</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-2012315</wp:posOffset>
            </wp:positionV>
            <wp:extent cx="7132320"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-1635125</wp:posOffset>
            </wp:positionV>
            <wp:extent cx="7132320" cy="939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-1446530</wp:posOffset>
            </wp:positionV>
            <wp:extent cx="7132320" cy="939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-1035050</wp:posOffset>
            </wp:positionV>
            <wp:extent cx="7132320" cy="939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-846455</wp:posOffset>
            </wp:positionV>
            <wp:extent cx="7132320"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-469265</wp:posOffset>
            </wp:positionV>
            <wp:extent cx="7132320" cy="188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-186690</wp:posOffset>
            </wp:positionV>
            <wp:extent cx="7132320" cy="946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-1249680</wp:posOffset>
            </wp:positionV>
            <wp:extent cx="7132320" cy="1200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460" w:space="60"/>
            <w:col w:w="772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3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124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(212,184)</w:t>
            </w:r>
          </w:p>
        </w:tc>
        <w:tc>
          <w:tcPr>
            <w:tcW w:w="10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(212,184)</w:t>
            </w:r>
          </w:p>
        </w:tc>
      </w:tr>
      <w:tr>
        <w:trPr>
          <w:trHeight w:val="142"/>
        </w:trPr>
        <w:tc>
          <w:tcPr>
            <w:tcW w:w="35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124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37,890,616</w:t>
            </w:r>
          </w:p>
        </w:tc>
        <w:tc>
          <w:tcPr>
            <w:tcW w:w="62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4</w:t>
            </w:r>
          </w:p>
        </w:tc>
        <w:tc>
          <w:tcPr>
            <w:tcW w:w="4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1,249,043</w:t>
            </w:r>
          </w:p>
        </w:tc>
        <w:tc>
          <w:tcPr>
            <w:tcW w:w="58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965</w:t>
            </w:r>
          </w:p>
        </w:tc>
        <w:tc>
          <w:tcPr>
            <w:tcW w:w="42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(510,186)</w:t>
            </w:r>
          </w:p>
        </w:tc>
        <w:tc>
          <w:tcPr>
            <w:tcW w:w="4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739,826</w:t>
            </w:r>
          </w:p>
        </w:tc>
      </w:tr>
      <w:tr>
        <w:trPr>
          <w:trHeight w:val="20"/>
        </w:trPr>
        <w:tc>
          <w:tcPr>
            <w:tcW w:w="35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-127635</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-127635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-127635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-127635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-127635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23" w:name="page124"/>
    <w:bookmarkEnd w:id="1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7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2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(212,184)</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(109,357)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(76,429)</w:t>
            </w:r>
          </w:p>
        </w:tc>
      </w:tr>
      <w:tr>
        <w:trPr>
          <w:trHeight w:val="216"/>
        </w:trPr>
        <w:tc>
          <w:tcPr>
            <w:tcW w:w="7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operations:</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7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2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34,340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16,815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5,530</w:t>
            </w:r>
          </w:p>
        </w:tc>
      </w:tr>
      <w:tr>
        <w:trPr>
          <w:trHeight w:val="216"/>
        </w:trPr>
        <w:tc>
          <w:tcPr>
            <w:tcW w:w="7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Amortization/accretion of investment securities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from initial consolidation of variable interest entity</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72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non-cash items</w:t>
            </w: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7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16"/>
        </w:trPr>
        <w:tc>
          <w:tcPr>
            <w:tcW w:w="72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1,070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r>
      <w:tr>
        <w:trPr>
          <w:trHeight w:val="216"/>
        </w:trPr>
        <w:tc>
          <w:tcPr>
            <w:tcW w:w="7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5,155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72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6,882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1,681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1,839</w:t>
            </w:r>
          </w:p>
        </w:tc>
      </w:tr>
      <w:tr>
        <w:trPr>
          <w:trHeight w:val="216"/>
        </w:trPr>
        <w:tc>
          <w:tcPr>
            <w:tcW w:w="7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0"/>
        </w:trPr>
        <w:tc>
          <w:tcPr>
            <w:tcW w:w="726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(180,393)</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(93,926)</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(73,462)</w:t>
            </w:r>
          </w:p>
        </w:tc>
      </w:tr>
      <w:tr>
        <w:trPr>
          <w:trHeight w:val="209"/>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(849,585)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(386,627)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456,219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94,800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0"/>
        </w:trPr>
        <w:tc>
          <w:tcPr>
            <w:tcW w:w="7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(394,299)</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(292,332)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0"/>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common stock in underwritten offerings, net of issuance costs paid</w:t>
            </w: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440,346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172,512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199,078</w:t>
            </w:r>
          </w:p>
        </w:tc>
      </w:tr>
      <w:tr>
        <w:trPr>
          <w:trHeight w:val="216"/>
        </w:trPr>
        <w:tc>
          <w:tcPr>
            <w:tcW w:w="7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 of pre-funded warrants in underwritten offerings, net of issuance costs paid</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14,076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37,579</w:t>
            </w: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common stock in at-the-market offerings, net of issuance costs paid</w:t>
            </w: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9,766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14,790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issuance of long-term debt, net of issuance costs paid</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28,988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8,641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2,976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2,722</w:t>
            </w: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Contributions from employee stock purchase plan</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473,407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218,314</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239,379</w:t>
            </w:r>
          </w:p>
        </w:tc>
      </w:tr>
      <w:tr>
        <w:trPr>
          <w:trHeight w:val="210"/>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(101,285)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(167,944)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165,828</w:t>
            </w:r>
          </w:p>
        </w:tc>
      </w:tr>
      <w:tr>
        <w:trPr>
          <w:trHeight w:val="216"/>
        </w:trPr>
        <w:tc>
          <w:tcPr>
            <w:tcW w:w="7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192,672</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360,616</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194,788</w:t>
            </w:r>
          </w:p>
        </w:tc>
      </w:tr>
      <w:tr>
        <w:trPr>
          <w:trHeight w:val="210"/>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91,387</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192,672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360,616</w:t>
            </w:r>
          </w:p>
        </w:tc>
      </w:tr>
      <w:tr>
        <w:trPr>
          <w:trHeight w:val="20"/>
        </w:trPr>
        <w:tc>
          <w:tcPr>
            <w:tcW w:w="7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-2407920</wp:posOffset>
            </wp:positionV>
            <wp:extent cx="857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-2407920</wp:posOffset>
            </wp:positionV>
            <wp:extent cx="857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-1851025</wp:posOffset>
            </wp:positionV>
            <wp:extent cx="857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-1851025</wp:posOffset>
            </wp:positionV>
            <wp:extent cx="857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-453390</wp:posOffset>
            </wp:positionV>
            <wp:extent cx="857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-453390</wp:posOffset>
            </wp:positionV>
            <wp:extent cx="857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857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857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4" w:name="page125"/>
    <w:bookmarkEnd w:id="1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-3175</wp:posOffset>
            </wp:positionV>
            <wp:extent cx="25285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2,795</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850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718</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186</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the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and X-linked protoporphyria ("XLP"); DISC-0974 for the treatment of anemia of myelofibrosis ("MF"), and anemia of inflammatory bowel disease ("IBD"); and DISC-3405 for the treatment of polycythemia vera ("PV"), sickle cell disease ("SCD"), and other hematologic disorders. In addition, the Company's preclinical programs include DISC-0998 for the treatment of anemia associated with inflammatory diseases. The Company's approach to product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located in Watertown, Massachusetts.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and the ability to secure additional capital to fund operations. The Company’s research and development programs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Merger with Gemini</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merger, each person who was a stockholder of record of Gemini or had the right to receive Gemini’s common stock received a contractual contingent value right (“CVR”) issued by Gemini subject to and in accordance with the terms and conditions of a Contingent Value Rights Agreement (the “CVR Agreement”). The CVRs represented the contractual right to receive consideration from the post-closing combined company upon the receipt of certain proceeds from a disposition of Gemini’s pre-merger assets (specifically, Gemini’s intellectual property assets (“Gemini IP”), which the Company assumed in the merger) during the one year after the closing of the merger, calculated in accordance with the CVR Agreement.</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satisfy its obligations with respect to the CVRs and the Gemini IP, the Company hired an outside firm to attempt to sell the Gemini IP. In June 2023, the Company received an offer and recorded a $1.5 million liability representing the estimated fair value of the Company’s obligation to the holders of the CVRs. However, the counterparty and the Company were unable to come to an agreement. The disposition period ended on December 29, 2023 and no dispositions of Gemini's pre-merger assets were made during the disposition period. Therefore, there were no CVR payments made to the holders and there will not be any future CVR payments to the holders. The Company’s obligations under the CVR Agreement expired and the CVRs are valueless. In December 2023, the Company recognized the reversal of the $1.5 million liability in the consolidated statements of operations and comprehensive loss. The Company generated no revenue from Gemini’s pre-merger assets and incurred approximately $1.6 million in aggregate costs (including maintenance of license agreements, storage, legal and other fees) during the year ended December 31, 2023, to maintain Gemini’s pre-merger assets solely in order to fulfill the Company’s obligations under the CVR Agreement.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the basis of the Company continuing as a going concern. The Company expects that its existing cash, cash equivalents and marketable securities as of December 31, 2025 of $791.2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6" w:name="page127"/>
    <w:bookmarkEnd w:id="126"/>
    <w:p>
      <w:pPr>
        <w:jc w:val="both"/>
        <w:spacing w:after="0" w:line="255" w:lineRule="auto"/>
        <w:rPr>
          <w:sz w:val="20"/>
          <w:szCs w:val="20"/>
          <w:color w:val="auto"/>
        </w:rPr>
      </w:pPr>
      <w:r>
        <w:rPr>
          <w:rFonts w:ascii="Times New Roman" w:cs="Times New Roman" w:eastAsia="Times New Roman" w:hAnsi="Times New Roman"/>
          <w:sz w:val="18"/>
          <w:szCs w:val="18"/>
          <w:color w:val="auto"/>
        </w:rPr>
        <w:t>will enable the Company to fund its planned operating expense and capital expenditure requirements for at least twelve months from the date of issuance of these consolidated financial statements. The Company has incurred recurring losses and negative cash flows from operations since inception. As of December 31, 2025, the Company had an accumulated deficit of $510.2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may require significant additional financing.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transactions and balances have been eliminated in consolidation.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accrued research and development expenses; stock-based compensation expense; the fair value of the common stock prior to the effective date of the merger;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manages its operations as a single operating segment for the purposes of assessing performance and making operating decisions, resulting in a single reportable segment. The Company has determined that its chief operating decision maker is its Chief Executive Officer. The Company’s chief operating decision maker reviews the Company’s financial information on a consolidated basis for purposes of allocating resources and assessing financial performance. All of the Company’s tangible assets are held in the United States. See </w:t>
      </w:r>
      <w:r>
        <w:rPr>
          <w:rFonts w:ascii="Times New Roman" w:cs="Times New Roman" w:eastAsia="Times New Roman" w:hAnsi="Times New Roman"/>
          <w:sz w:val="18"/>
          <w:szCs w:val="18"/>
          <w:i w:val="1"/>
          <w:iCs w:val="1"/>
          <w:color w:val="auto"/>
        </w:rPr>
        <w:t>Note 13 - Segment Information</w:t>
      </w:r>
      <w:r>
        <w:rPr>
          <w:rFonts w:ascii="Times New Roman" w:cs="Times New Roman" w:eastAsia="Times New Roman" w:hAnsi="Times New Roman"/>
          <w:sz w:val="18"/>
          <w:szCs w:val="18"/>
          <w:color w:val="auto"/>
        </w:rPr>
        <w:t xml:space="preserve"> for additional details.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 Significant Suppliers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and limits its exposure to cash risk by placing its cash with high credit quality accredited financial institutions. The Company has concluded that it is not subject to unusual credit risk beyond the normal credit risk associated with commercial banking relationships.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Comprehensive income (loss) is the change in equity of a business enterprise during a period from transactions and other events and circumstances from non-owner sources. Comprehensive income (loss) includes net income (loss) and the change in accumulated other comprehensive income (loss) for the period. Accumulated other comprehensive income (loss) consisted of foreign currency translation adjustments and unrealized gains (losses) on available-for-sale marketable securities during the years ended years ended December 31, 2025, 2024 and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date of purchase to be cash equivalents. Cash and cash equivalents include cash in readily available checking and money market accounts and U.S. treasury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7" w:name="page128"/>
    <w:bookmarkEnd w:id="127"/>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and corporate debt securities with original maturities of three months or less at the date of purchase. Cash equivalents are reflected at fair value based on quoted market prices as further described in </w:t>
      </w:r>
      <w:r>
        <w:rPr>
          <w:rFonts w:ascii="Times New Roman" w:cs="Times New Roman" w:eastAsia="Times New Roman" w:hAnsi="Times New Roman"/>
          <w:sz w:val="18"/>
          <w:szCs w:val="18"/>
          <w:i w:val="1"/>
          <w:iCs w:val="1"/>
          <w:color w:val="auto"/>
        </w:rPr>
        <w:t>Note 5 - Fair Value Measurements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classifies its marketable securities as available-for-sale. All of the Company’s marketable securities are available to the Company for use in current operations. As a result, the Company classified all of these securities as current assets even though the stated maturity of some individual securities may be one year or more beyond the balance sheet date. Marketable securities are maintained by an investment manager and consist of U.S. treasury, US government agency, and corporate debt securities. Marketable securities are carried at fair value with the unrealized gains and losses included in accumulated other comprehensive income (loss) as a component of stockholders’ equity until realized. Any premium or discount arising at purchase is amortized and/or accreted to interest income and/or expense over the life of the underlying marketable security. Although these marketable securities are available to be sold to meet operating needs or otherwise, they are generally held through maturity. The cost of securities sold is determined on a specific identification basis, and realized gains and losses are included in other income (expense), net within the consolidated statements of operations and comprehensive loss. The Company reviews its portfolio of available-for-sale securities, using both quantitative and qualitative factors, to determine if declines in fair value below cost have resulted from a credit loss or other factors. If the decline in fair value is due to credit loss factors, a loss is recognized. To date, the Company has not experienced any credit losses and does not expect it is exposed to any significant credit risk on these investments.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Transaction Costs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transaction costs until such financings are consummated. After consummation of an equity financing, these costs are recorded as a reduction of the proceeds from the transaction, either as a reduction of the carrying value of the preferred stock or in stockholders’ equity as a reduction of additional paid-in capital generated as a result of the transaction. Should the in-process equity financing be abandoned, the deferred transaction costs would be expensed immediately as a charge to operating expenses in the consolidated statements of operations and comprehensive loss.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categorizes its assets and liabilities measured at fair value in accordance with the provisions of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Disclosures, </w:t>
      </w:r>
      <w:r>
        <w:rPr>
          <w:rFonts w:ascii="Times New Roman" w:cs="Times New Roman" w:eastAsia="Times New Roman" w:hAnsi="Times New Roman"/>
          <w:sz w:val="18"/>
          <w:szCs w:val="18"/>
          <w:color w:val="auto"/>
        </w:rPr>
        <w:t>which establishes a consistent framework for measuring fair value and expands disclosures for each major asset and liability category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at fair value on either a recurring or nonrecurring basis. Fair value is defined as the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fair value hierarchy, which prioritizes the inputs used in measuring fair value as follows:</w:t>
      </w:r>
    </w:p>
    <w:p>
      <w:pPr>
        <w:spacing w:after="0" w:line="76" w:lineRule="exact"/>
        <w:rPr>
          <w:sz w:val="20"/>
          <w:szCs w:val="20"/>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within Level 1 that are either directly or indirectly observable;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in which little or no market activity exists, therefore requiring an entity to develop its own assumptions about the assumptions that market participants would use in pricing.</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fair value of the Company’s cash equivalents and marketable securities are determined according to the fair value hierarchy described above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5 - Fair Value Measurements</w:t>
      </w:r>
      <w:r>
        <w:rPr>
          <w:rFonts w:ascii="Times New Roman" w:cs="Times New Roman" w:eastAsia="Times New Roman" w:hAnsi="Times New Roman"/>
          <w:sz w:val="18"/>
          <w:szCs w:val="18"/>
          <w:color w:val="auto"/>
        </w:rPr>
        <w:t>). The carrying values of the Company’s prepaid expenses and other current assets, accounts payable and accrued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 their fair values due to the short-term nature of these assets and liabilities.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calculated using the straight-line method over the estimated useful lives of the assets.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00" w:type="dxa"/>
            <w:vAlign w:val="bottom"/>
          </w:tcPr>
          <w:p>
            <w:pPr>
              <w:spacing w:after="0"/>
              <w:rPr>
                <w:sz w:val="16"/>
                <w:szCs w:val="16"/>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14"/>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Shorter of useful life or remaining life of lease</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 years</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3.0 years</w:t>
            </w: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in accordance with the above guidelines once placed into service. Upon retirement or sale, the cost of assets disposed and the related accumulated depreciation and amortization are removed from the accounts and any resulting gain or loss is included in loss from operations. Expenditures for repairs and maintenance are expensed as incurred.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8" w:name="page129"/>
    <w:bookmarkEnd w:id="128"/>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capitalizes internal costs incurred to develop software for internal use during the application development stage. The Company includes capitalized internally developed software subject to a cloud computing arrangement within other assets. Amortization of capitalized internally developed software costs is recorded within depreciation expense over the estimated useful life of the related asset, which is typically three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the impairment and disposition of long-lived assets in accordance with ASC Topic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Long-lived assets, such as property and equipment and right-of-use ("ROU") assets, are reviewed for impairment whenever events or changes in circumstances indicate that the carrying amount of an asset or asset group may not be recoverable. The recoverability of assets or asset groups to be held and used is measured by a comparison of the carrying amount of an asset or asset group to estimated undiscounted future cash flows expected to be generated by the asset or asset group. If the carrying amount of an asset or asset group exceeds its estimated future cash flows, an impairment charge is recognized for the amount by which the carrying amount of the asset or asset group exceeds the estimated fair value of the asset or asset group. There were no impairment losses recorded for the years ended December 31, 2025, 2024 and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its leases under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Upon adoption, the Company elected to combine lease and non-lease components when calculating minimum lease payments on new leases for all asset classes. The Company has also elected an accounting policy to forgo the recognition of lease assets or liabilities for short-term leases. Short-term leases are defined, in accordance with the standard, as those with terms of one year or less and do not include an option to purchase the underlying asset that the lessee is reasonably certain to exercise.</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contract inception. The Company accounts for a contract as a lease when it has the right to direct the use of the asset for a period of time while obtaining substantially all of the asset’s economic benefits. The Company determines the initial classification and measurement of right-of-use assets and lease liabilities at the lease commencement date and thereafter at the modification date, if modified.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Right-of-use assets represent the Company's right to control the underlying assets under lease, and the lease liability is the Company's obligation to make the lease payments related to the underlying assets under lease, over the contractual term. Right-of-use assets and lease liabilities are recognized at the lease commencement date based on the present value of future minimum fixed lease payments to be made over the lease term. The Company uses the non-cancellable lease term unless it is reasonably certain that a renewal or termination option will be exercised. When available, the Company uses the rate implicit in the lease to discount lease payments to present value. As most leases do not provide an implicit rate, the Company estimates the incremental borrowing rate to discount the lease payments. The Company estimates the incremental borrowing rate based on the rates of interest that the Company would have to pay to borrow an amount equal to the lease payments on a collateralized basis, over a similar term, and in a similar economic environment. The right-of-use asset also includes any lease prepayments and initial direct costs, offset by lease incentives.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lease agreements contain variable lease payments which are not included in the measurement of the lease liability. Variable lease payments relate to taxes, insurance, utilities, and common area maintenance ("CAM"). These variable lease payments are recognized in the consolidated statements of operations and comprehensive loss in the period in which the obligation for those payments is incurred.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salaries and bonuses, stock-based compensation, employee benefits, facilities costs, depreciation, external costs of vendors engaged to conduct preclinical development activities and clinical trials, manufacturing expenses, as well as the costs of licensing technology.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Nonrefundable prepayments for goods or services that will be used or rendered for future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If the Company acquires an asset or group of assets under an in-licensing arrangement that does not meet the definition of a business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and the acquired in-process research and development does not have an alternative future use, any related upfront license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 expensed as incurred in accordance with guidance in ASC Topic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Where contingent milestone payments are due to third parties under license or other agreements, the milestone payment obligations are recognized as expense when achievement of the contingent milestone is probable, which is generally upon achievement of the milestone event. Any contingent payments that qualify as a derivative liability are recognized at fair value on the Company’s consolidated balance sheets. Annual maintenance fees under license agreements are expensed in the period in which they are incurred. Contingent payments for assets acquired are expensed as incurred or capitalized and amortized based on the nature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9" w:name="page130"/>
    <w:bookmarkEnd w:id="129"/>
    <w:p>
      <w:pPr>
        <w:jc w:val="both"/>
        <w:spacing w:after="0" w:line="266" w:lineRule="auto"/>
        <w:rPr>
          <w:sz w:val="20"/>
          <w:szCs w:val="20"/>
          <w:color w:val="auto"/>
        </w:rPr>
      </w:pPr>
      <w:r>
        <w:rPr>
          <w:rFonts w:ascii="Times New Roman" w:cs="Times New Roman" w:eastAsia="Times New Roman" w:hAnsi="Times New Roman"/>
          <w:sz w:val="18"/>
          <w:szCs w:val="18"/>
          <w:color w:val="auto"/>
        </w:rPr>
        <w:t>of the associated asset at the date the payment is recognized. Milestone payments made to third parties subsequent to regulatory approval are capitalized as intangible assets and amortized over the estimated remaining useful life of the related product. Royalties owed on sales of the products licensed pursuant to license agreements are expensed in the period the related revenues are recognized.</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entered into various research, development and manufacturing contracts with research institutions and other companies primarily in the United States, including contracts with third-party contract research organizations and contract development and manufacturing organizations. These agreements are generally cancelable, and related costs are recorded as research and development expenses as incurred. The Company records accrued liabilities for estimated ongoing research, development and manufacturing costs and prepaid expenses for payments made in advance of work performed.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research, development and manufacturing activities, invoicing to date under the contracts, communication from the research institutions and other companies of any actual costs incurred during the period that have not yet been invoiced and the costs included in the contracts. Significant judgments and estimates are made in determining the accrued balances at the end of any reporting period. Actual results may differ from the estimates made by the Company.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Debt Discount and Issuance Costs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Long-term debt is initially recorded as the proceeds received by the Company, net of debt issuance costs and discounts. Debt is subsequently stated at amortized cost. Debt issuance costs and discounts and are amortized to interest expense using the effective interest method, over the term of the debt. Debt issuance costs and discounts related to a recognized debt liability are presented in the consolidated balance sheets as a direct deduction from the carrying amount of that debt liability. For tranches not yet drawn, the related debt issuance costs are deferred and recorded as an asset. In the consolidated statements of cash flows, debt issuance costs paid to lenders are netted against the proceeds from the related long-term debt while debt issuance costs paid to third parties, are presented separately within financing activities.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expenses all costs as incurred in connection with patent applications, including direct application fees, and the legal and consulting expenses related to making such applications due to the uncertainty about the recovery of the expenditure. These costs are included in selling, general and administrative expenses within the Company’s consolidated statements of operations and comprehensive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all stock-based awards granted to employees and non-employees as stock-based compensation expense at fair value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fair value of each stock option grant is estimated on the date of grant using the Black-Scholes option-pricing model, which requires inputs based on certain subjective assumptions, including the fair value of the Company’s common stock on the date of grant, the expected stock price volatility, the expected term of the option, the risk-free interest rate for a period that approximates the expected term of the option and the Company’s expected dividend yield. Due to the lack of company-specific historical and implied volatility data, the Company determines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granted to employees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 The grant date fair value of restricted stock units and shares of restricted stock granted is based on the fair value of the underlying common stock on the date of grant.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expense for employees and non-employees over the requisite service period, which is generally the vesting period of the respective award, based on the grant date fair value of the award. For awards that include performance-based vesting conditions expense is recognized using the accelerated attribution method when the performance condition is deemed to be probable. The Company accounts for forfeitures as they occur.</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classifies stock-based compensation expense in the consolidated statements of operations and comprehensive loss in the same manner in which the award recipient’s payroll costs are classified or in which the award recipient’s service payments are classified. See </w:t>
      </w:r>
      <w:r>
        <w:rPr>
          <w:rFonts w:ascii="Times New Roman" w:cs="Times New Roman" w:eastAsia="Times New Roman" w:hAnsi="Times New Roman"/>
          <w:sz w:val="18"/>
          <w:szCs w:val="18"/>
          <w:i w:val="1"/>
          <w:iCs w:val="1"/>
          <w:color w:val="auto"/>
        </w:rPr>
        <w:t>Note 10 - 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for a summary of the stock-based award activity under the Company’s stock-based compensation plans.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 of Common Stock on Grant Dates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merger, due to the absence of an active market for Private Disc’s common stock, Private Disc and its Board were required to determine the fair value of Private Disc’s common stock at the time of each grant of a stock-based award. Private Disc estimated the fair value of its common stock utilizing methodologies in accordance with the framework of the American Institute of Certified Public Accountants’ Technical Practice Aid, Valuation of Privately-Held Company Equity Securities Issued as Compensation. In determining the exercise prices for options granted, Private Disc considered the estimated fair value of the common stock as of the measurement date. The estimated fair value of the common stock has been determined at each grant date based upon a variety of factors, including prices paid for Private Disc’s convertible preferred stock and the rights, preferences, and privileges of Private Disc’s Preferred Stock and common stock; Private Disc’s stage of development and status of technological developments within Private Disc’s research; the illiquid nature of securities in a private company; the prospects of a liquidity event; and the current business climate in the marketplace. Significant changes to the key assumptions underlying the factors used could result in different fair values of common stock at each valuation date.</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Private Disc’s common stock valuations were prepared using either an option pricing method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exceeds the value of the convertible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hybrid method is a probability-weighted expected return method (“PWERM”), by which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In addition to a scenario using the OPM, the hybrid method also considers an initial public offering scenario in which the shares of convertible preferred stock are assumed to convert to common stock. The future value of the common stock in the initial public offering scenario was discounted back to the valuation date at an appropriate risk adjusted discount rate. In the hybrid method, the present value indicated for each scenario was probability weighted to arrive at an indication of value for the Private Disc’s common stock. Private Disc utilized significant estimates and assumptions in determining the fair value of its equity and equity-based awards.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the awards granted by the Company are either new hire grants or routine annual grants. Management evaluates its award grants and modifications contemporaneously and if any are determined to be spring-loaded, the Company will adjust the fair value.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the period that includes the enactment date. A valuation allowance against deferred tax assets is recorded if, based upon the weight of all available evidence, it is more likely than not that some or all of the deferred tax assets will not be realized. Since the Company has generated operating losses and expects to continue to incur future losses, the net deferred tax assets have been fully offset by a valuation allowance.</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in accordance with authoritative accounting guidance which states the impact of an uncertain income tax position is recognized at the largest amount that is “more likely than not” to be sustained upon audit by the relevant taxing authority. There are no unrecognized tax benefits included in the Company’s consolidated balance sheets as of December 31, 2025 or December 31, 2024. The Company’s practice is to recognize interest and penalties related to income tax matters in income tax expense. The Company has not recognized interest or penalties related to income tax matters in its consolidated statements of operations and comprehensive loss since inception.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federal income tax returns in the United States, the Netherlands and Australia and state income tax returns in Massachusetts and various other state jurisdictions. The Company’s income tax returns are subject to review and tax assessment from an income tax examination. As of December 31, 2025, the Company was not under examination by the Internal Revenue Service or other jurisdictions for any tax year.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is computed by dividing net loss by the weighted-average common shares outstanding. The weighted-average common shares outstanding used in the basic and diluted net loss per share calculation includes the pre-funded warrants issued in connection with the Company’s underwritten offerings in October 2025, January 2025, and June 2023 as the pre-funded warrants are exercisable for nominal cash consideration. In periods in which the Company reports a net loss, diluted net loss per share is generally the same as basic net loss per share since dilutive common shares are not assumed to have been issued if their effect is anti-dilutive.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enhanced disclosures related to the rate reconciliation and income taxes paid, among other changes. The Company adopted the standard effective January 1, 2025, on a prospective basis. The adoption of ASU 2023-09 did not have a material impact on the Company’s consolidated financial statements, but did result in expanded income tax disclosures as required by the amended guidance. Refer to </w:t>
      </w:r>
      <w:r>
        <w:rPr>
          <w:rFonts w:ascii="Times New Roman" w:cs="Times New Roman" w:eastAsia="Times New Roman" w:hAnsi="Times New Roman"/>
          <w:sz w:val="18"/>
          <w:szCs w:val="18"/>
          <w:i w:val="1"/>
          <w:iCs w:val="1"/>
          <w:color w:val="auto"/>
        </w:rPr>
        <w:t>Note 11 - Income Taxes</w:t>
      </w:r>
      <w:r>
        <w:rPr>
          <w:rFonts w:ascii="Times New Roman" w:cs="Times New Roman" w:eastAsia="Times New Roman" w:hAnsi="Times New Roman"/>
          <w:sz w:val="18"/>
          <w:szCs w:val="18"/>
          <w:color w:val="auto"/>
        </w:rPr>
        <w:t xml:space="preserve"> for additional details.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Cash Equivalents and 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7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91,145</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192,434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as shown on the consolidated statements of cash flows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91,387</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192,672</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restricted cash balance, which is classified within prepaid expenses and other current assets and other assets on the consolidated balance sheets, consists of letters of credit related to leased and subleased office space in Watertown, Massachusetts. The Company is required to maintain a separate cash balance to secure its letters of credit.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as of December 31, 2025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93"/>
        </w:trPr>
        <w:tc>
          <w:tcPr>
            <w:tcW w:w="3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3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 available-for-sale:</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484,670</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859</w:t>
            </w:r>
          </w:p>
        </w:tc>
        <w:tc>
          <w:tcPr>
            <w:tcW w:w="12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485,529</w:t>
            </w:r>
          </w:p>
        </w:tc>
      </w:tr>
      <w:tr>
        <w:trPr>
          <w:trHeight w:val="216"/>
        </w:trPr>
        <w:tc>
          <w:tcPr>
            <w:tcW w:w="3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132,913</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132,941</w:t>
            </w:r>
          </w:p>
        </w:tc>
      </w:tr>
      <w:tr>
        <w:trPr>
          <w:trHeight w:val="216"/>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81,431</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81,537</w:t>
            </w:r>
          </w:p>
        </w:tc>
      </w:tr>
      <w:tr>
        <w:trPr>
          <w:trHeight w:val="229"/>
        </w:trPr>
        <w:tc>
          <w:tcPr>
            <w:tcW w:w="3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699,014</w:t>
            </w:r>
          </w:p>
        </w:tc>
        <w:tc>
          <w:tcPr>
            <w:tcW w:w="6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1,013</w:t>
            </w:r>
          </w:p>
        </w:tc>
        <w:tc>
          <w:tcPr>
            <w:tcW w:w="12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700,007</w:t>
            </w: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r>
      <w:tr>
        <w:trPr>
          <w:trHeight w:val="305"/>
        </w:trPr>
        <w:tc>
          <w:tcPr>
            <w:tcW w:w="6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Marketable securities as of December 31, 2024 consisted of the following (in thousands):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04"/>
        </w:trPr>
        <w:tc>
          <w:tcPr>
            <w:tcW w:w="3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3"/>
        </w:trPr>
        <w:tc>
          <w:tcPr>
            <w:tcW w:w="3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3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 available-for-sale:</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189,409</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288</w:t>
            </w:r>
          </w:p>
        </w:tc>
        <w:tc>
          <w:tcPr>
            <w:tcW w:w="12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189,663</w:t>
            </w:r>
          </w:p>
        </w:tc>
      </w:tr>
      <w:tr>
        <w:trPr>
          <w:trHeight w:val="216"/>
        </w:trPr>
        <w:tc>
          <w:tcPr>
            <w:tcW w:w="36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5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107,722</w:t>
            </w: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107,784</w:t>
            </w:r>
          </w:p>
        </w:tc>
      </w:tr>
      <w:tr>
        <w:trPr>
          <w:trHeight w:val="210"/>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297,131</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373</w:t>
            </w:r>
          </w:p>
        </w:tc>
        <w:tc>
          <w:tcPr>
            <w:tcW w:w="12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297,447</w:t>
            </w:r>
          </w:p>
        </w:tc>
      </w:tr>
      <w:tr>
        <w:trPr>
          <w:trHeight w:val="20"/>
        </w:trPr>
        <w:tc>
          <w:tcPr>
            <w:tcW w:w="3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3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763"/>
        </w:trPr>
        <w:tc>
          <w:tcPr>
            <w:tcW w:w="36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-2073910</wp:posOffset>
            </wp:positionV>
            <wp:extent cx="12001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-2056765</wp:posOffset>
            </wp:positionV>
            <wp:extent cx="12001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-2073910</wp:posOffset>
            </wp:positionV>
            <wp:extent cx="12001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-2056765</wp:posOffset>
            </wp:positionV>
            <wp:extent cx="12001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-2073910</wp:posOffset>
            </wp:positionV>
            <wp:extent cx="12001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-2056765</wp:posOffset>
            </wp:positionV>
            <wp:extent cx="12001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-1079500</wp:posOffset>
            </wp:positionV>
            <wp:extent cx="12001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-1079500</wp:posOffset>
            </wp:positionV>
            <wp:extent cx="12001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-1079500</wp:posOffset>
            </wp:positionV>
            <wp:extent cx="12001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2" w:name="page133"/>
    <w:bookmarkEnd w:id="132"/>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all of the Company’s marketable securities are available to the Company for use in current operations. As a result, the Company has classified all of these securities as current assets even though the stated maturity of some individual securities may be one year or more beyond the balance sheet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of the Company’s marketable securities, by contractual maturity, as of December 31, 2025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4"/>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58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2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479,683</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5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220,324</w:t>
            </w:r>
          </w:p>
        </w:tc>
      </w:tr>
      <w:tr>
        <w:trPr>
          <w:trHeight w:val="249"/>
        </w:trPr>
        <w:tc>
          <w:tcPr>
            <w:tcW w:w="78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5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2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700,007</w:t>
            </w:r>
          </w:p>
        </w:tc>
      </w:tr>
    </w:tbl>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fair value of marketable securities with unrealized losses was $41.3 million as of December 31, 2025 and $51.0 million as of December 31, 2024. As of December 31, 2025 and December 31, 2024, five investments, respectively, were in an unrealized loss position. All such investments have been in an unrealized loss position for less than a year and these losses are considered temporary. The Company has the ability and intent to hold these investments until a recovery of their amortized cost, which may not occur until maturity. The Company expects that U.S. treasury, U.S. government agency and corporate debt securities are subject to minimal credit risk. As a result, the Company did not record any charges for credit-related impairments for its available-for-sale securities during the years ended December 31, 2025, 2024 and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tables present information about the Company’s assets and liabilities that are measured and carried at fair value on a recurring basis and indicate the level within the fair value hierarchy of the valuation techniques the Company utilized to determine such fair value, which is described further within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as of December 31, 2025 are summarized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91"/>
        </w:trPr>
        <w:tc>
          <w:tcPr>
            <w:tcW w:w="4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4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27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72,932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9,981</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72,932</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9,981</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485,529</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132,941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81,537</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700,007</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7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72,932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709,988</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-873760</wp:posOffset>
            </wp:positionV>
            <wp:extent cx="1371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-873760</wp:posOffset>
            </wp:positionV>
            <wp:extent cx="12890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-316865</wp:posOffset>
            </wp:positionV>
            <wp:extent cx="1371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-316865</wp:posOffset>
            </wp:positionV>
            <wp:extent cx="12890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137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137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12890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12890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as of December 31, 2024 are summarized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01"/>
        </w:trPr>
        <w:tc>
          <w:tcPr>
            <w:tcW w:w="61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88,735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91,916</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cash equivalents</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88,735</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91,916</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189,663</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107,784</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297,447</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88,735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389,363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-736600</wp:posOffset>
            </wp:positionV>
            <wp:extent cx="137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-736600</wp:posOffset>
            </wp:positionV>
            <wp:extent cx="12890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-170815</wp:posOffset>
            </wp:positionV>
            <wp:extent cx="1371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12890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Company’s Level 1 cash equivalents, consisting of money market funds, is based on quoted market prices in active markets with no valuation adjustment. The fair value of the Company’s Level 2 cash equivalents consisting of U.S. treasury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3" w:name="page134"/>
    <w:bookmarkEnd w:id="133"/>
    <w:p>
      <w:pPr>
        <w:jc w:val="both"/>
        <w:spacing w:after="0" w:line="266" w:lineRule="auto"/>
        <w:rPr>
          <w:sz w:val="20"/>
          <w:szCs w:val="20"/>
          <w:color w:val="auto"/>
        </w:rPr>
      </w:pPr>
      <w:r>
        <w:rPr>
          <w:rFonts w:ascii="Times New Roman" w:cs="Times New Roman" w:eastAsia="Times New Roman" w:hAnsi="Times New Roman"/>
          <w:sz w:val="18"/>
          <w:szCs w:val="18"/>
          <w:color w:val="auto"/>
        </w:rPr>
        <w:t>and corporate debt securities with original maturities of three months or less and marketable securities consisting of U.S. treasury, U.S. government agency, and corporate debt securities with original maturities 24 months or less, are determined through third-party pricing services. The amortized cost of cash equivalents approximates the fair value.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were no impairments of the Company’s assets measured and carried at fair value during the years ended December 31, 2025, 2024 and 2023. In addition, there were no changes in valuation techniques during the years ended December 31, 2025 and 2024. There were no transfers between Level 1, Level 2 and Level 3 financial assets during the year ended December 31, 2025. The Company transferred assets of $0.9 million from Level 2 to Level 1 during the year ended December 31, 2024. The Company did not have any non-recurring fair value measurements on any assets or liabilities during the years ended December 31,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consisted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employee-related expenses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12,642</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7,211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20" w:type="dxa"/>
            <w:vAlign w:val="bottom"/>
          </w:tcPr>
          <w:p>
            <w:pPr>
              <w:spacing w:after="0"/>
              <w:rPr>
                <w:sz w:val="18"/>
                <w:szCs w:val="18"/>
                <w:color w:val="auto"/>
              </w:rPr>
            </w:pP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705</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355</w:t>
            </w: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accrued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15,561</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8,097</w:t>
            </w:r>
          </w:p>
        </w:tc>
      </w:tr>
      <w:tr>
        <w:trPr>
          <w:trHeight w:val="20"/>
        </w:trPr>
        <w:tc>
          <w:tcPr>
            <w:tcW w:w="7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-170815</wp:posOffset>
            </wp:positionV>
            <wp:extent cx="1200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Licensing Activities and Business Development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Stock Purchase Agreement with AbbVie Deutschland GmbH &amp; Co. KG (“AbbVie”)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September 2019, the Company entered into an agreement with AbbVie, pursuant to which AbbVie granted the Company an exclusive license, with the right to grant sublicenses, to certain AbbVie intellectual property.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this agreement, the Company paid a non-refundable, non-creditable upfront fee of $0.6 million. The Company is also obligated to make aggregate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2025, the Company made a milestone payment of $3.0 million upon the first administration to a patient in the Phase 2 clinical trial of DISC-0974 which was recorded within research and development in the Company’s consolidated statements of operations and comprehensive loss for the year ended December 31, 2025. As of December 31, 2025, no additional milestones were deemed probable of achievement.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F. Hoffmann-La Roche Ltd and Hoffmann-La Roche Inc. (collectively “Roche”)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 license agreement with Roche, (the "Roche Agreement"), the Company paid Roche an upfront, non-refundable exclusivity payment of $0.5 million in March 2021. Upon execution of the Roche Agreement in May 2021, the Company paid Roche an additional upfront, non-refundable payment of $4.0 million.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obligated to make contingent payments to Roche up to an aggregate of $50.0 million in development and regulatory milestone payments for development and approval in a first indication and up to an aggregate of $35.0 million in development and regulatory milestone payments for development and approval in a second indication. The Company is also obligated to make contingent payments to Roche up to an aggregate of $120.0 million based on achievement of certain thresholds for annual net sales of licensed products. Roche is also eligible to receive tiered royalties on net sales of commercialized products, at rates ranging from high single-digits to high teens. Pursuant to the terms of the Roche Agreement and in connection with the Company's reverse merger with Gemini, the Company issued 482,313 shares of the Company to Roche for no consideration.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2025, the Company made a milestone payment of $10.0 million upon the initiation of the first Phase 3 clinical trial with a licensed product in a first indication which was recorded within research and development in the Company’s consolidated statements of operations and comprehensive loss for the year ended December 31, 2025. The next potential milestone payment is $15.0 million due upon regulatory approval in the United States with a licensed product in a first indication. As of December 31, 2025, this milestone was not deemed probable of achievement.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Mabwell Therapeutics, Inc. ("Mabwell")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entered into an exclusive license agreement with Mabwell, pursuant to which Mabwell granted the Company an exclusive and sublicensable license to certain Mabwell intellectual property.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agreement, the Company paid Mabwell an upfront payment of $10.0 million in March 2023. In addition, the Company is obligated to pay certain development and regulatory milestone payments for the licensed products, for up to three indications, up to a maximum aggregate amount of $127.5 million, as well as certain commercial milestone payments for certain licensed product net sales achievements, up to a maximum aggregate amount of $275.0 million. The Company is 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October 2023, the Company made a milestone payment of $5.0 million upon the first administration to a patient in the Phase 1 clinical trial for DISC-3405. In September 2025, the Company made a milestone payment of $10.0 million upon the first administration to a patient in a Phase 2 clinical trial for DISC-3405. These payments were recorded within research and development in the Company’s consolidated statements of operations and comprehensive loss. The next potential milestone payment is $5.0 million due upon the first administration to a patient in a Phase 1b clinical trial with a licensed product in a second indication. As of December 31, 2025, this milestone was not deemed probable of achievement. Subsequent to December 31, 2025, on February 9, 2026, this milestone was achieved. See </w:t>
      </w:r>
      <w:r>
        <w:rPr>
          <w:rFonts w:ascii="Times New Roman" w:cs="Times New Roman" w:eastAsia="Times New Roman" w:hAnsi="Times New Roman"/>
          <w:sz w:val="18"/>
          <w:szCs w:val="18"/>
          <w:i w:val="1"/>
          <w:iCs w:val="1"/>
          <w:color w:val="auto"/>
        </w:rPr>
        <w:t>Note 17 - Subsequent Events</w:t>
      </w:r>
      <w:r>
        <w:rPr>
          <w:rFonts w:ascii="Times New Roman" w:cs="Times New Roman" w:eastAsia="Times New Roman" w:hAnsi="Times New Roman"/>
          <w:sz w:val="18"/>
          <w:szCs w:val="18"/>
          <w:color w:val="auto"/>
        </w:rPr>
        <w:t xml:space="preserve"> for additional details.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Oak Bay Biosciences, Inc. (“OBB”)</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the Company entered into an out-license agreement with OBB pursuant to which the Company granted an exclusive license, with the right to grant sublicenses, to certain Gemini intellectual property. Under the terms of the agreement, the Company received an upfront payment of $0.2 million with additional consideration receivable upon the achievement of certain clinical, regulatory and sales milestones up to $7.0 million, $35.0 million, and $160.0 million, respectively. As of December 31, 2025, none of the milestones had been achieved, nor were they considered probable of achievement.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acquired a privately held company with a clinic-ready program for myelodysplastic syndromes and similar hematologic conditions. The transaction included no upfront cash payment and up to $50.0 million in late-stage contingent development and sales-based milestone payments (“Contingent Consideration”). The acquired entity’s primary asset was in-process research and development (“IPR&amp;D”) with no alternative future use.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the acquired entity did not meet the definition of a business under ASC Topic 805. The transaction was accounted for as the initial consolidation of a variable interest entity (“VIE”) in accordance with ASC Topic 810, as the acquired entity lacked sufficient equity at risk to fund its operations, and the Company became its sole equity holder and primary beneficiary.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 the Company recorded the acquired assets and assumed liabilities at their estimated fair values as of the acquisition date, which resulted in net acquired liabilities of $0.5 million, excluding Contingent Consideration. Total consideration transferred, including the fair value of the Contingent Consideration, was $0.3 million. The difference between the consideration transferred and the fair value of net liabilities assumed resulted in a $0.9 million loss upon initial consolidation, which was recorded within research and development in the Company’s consolidated statements of operations and comprehensive loss for the year ended December 31, 2025.</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Contingent Consideration was determined using Level 3 unobservable inputs including management's estimates of milestone achievement probabilities and the application of an appropriate discount rate. Because the milestone payments were not accounted for as derivatives under ASC Topic 815, they were initially measured at fair value as of the acquisition date and are not remeasured each reporting period. The Contingent Consideration will be adjusted when it is determined that achievement of the contingent milestone is probable, which is generally upon achievement of the milestone event.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transaction, the Company also obtained an exclusive license to certain intellectual property. Under the terms of the license, the Company is obligated to make certain development and sales-based milestone payments of up to $5.6 million and $20.0 million, respectively, for each compound. Additionally, the Company is required to pay royalties on net sales of licensed products at rates in the low single-digits. As of December 31, 2025, none of the milestones had been achieved, nor were they considered probable of achievement.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6, 2024 (the "Closing Date"), the Company entered into a Loan and Security Agreement (the “Hercules Loan Agreement”), with the lenders party thereto (the “Lenders”) and Hercules Capital, Inc., as administrative agent and collateral agent (the “Agent”). The Hercules Loan Agreement provides for up to $200.0 million of senior secured term loans available to the Company in multiple tranches (the “Term Loan Facility”). Under the Hercules Loan Agreement, the Company borrowed an initial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5" w:name="page136"/>
    <w:bookmarkEnd w:id="135"/>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amount of $30.0 million on the Closing Date, and at the Company's sole option, can draw an additional $80.0 million on or prior to December 15, 2026, as well as additional term loan advances in an aggregate principal amount of up to $65.0 million during the term of the Term Loan Facility subject to achievement of specified performance milestones, and one additional term loan advance up to an aggregate principal amount of $25.0 million subject to certain terms and conditions. The Company intends to use the proceeds of the Term Loan Facility for working capital and general corporate purposes.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 Loan Facility will mature on December 1, 2029 (the “Maturity Date”). The outstanding principal balance of the Term Loan Facility bears cash interest at a floating annual rate equal to the greater of (i) 8.25% and (ii) the sum of the Prime Rate and 1.75%. Accrued interest is payable monthly following the funding of each term loan advance. Borrowings under the Hercules Loan Agreement are repayable in monthly interest-only payments through November 2028. At the end of the interest-only payment period, borrowings under the Hercules Loan Agreement are repayable in equal monthly payments of principal and accrued interest until the Maturity Date. At the Company's option, the Company may prepay all or a portion of the outstanding borrowings, subject to a prepayment fee of 3.0% of the principal amount if prepayment occurs during the 18 months following the Closing Date, 2.0% after 18 months following the Closing Date but prior to 36 months following the Closing Date, and 1.0% thereafter.</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obligations under the Hercules Loan Agreement are secured, subject to customary permitted liens and other agreed-upon exceptions, by a first-priority perfected security interest in all of the tangible and intangible assets of the Company, other than intellectual property. The Hercules Loan Agreement includes customary repayment and prepayment terms, events of default, affirmative and negative covenants and representations and warranties. Additionally, the Hercules Loan Agreement contains a minimum cash covenant that requires the Company to maintain certain levels of cash in accounts subject to a control agreement in favor of the Agent at all times beginning on the first day on or after January 1, 2027 (or January 1, 2028, if the Company achieves a certain milestone) on which the aggregate principal amount of the term loan advances is then more than $50.0 million; provided, however, the minimum cash covenant will be waived during all times that the Company's market capitalization is greater than or equal to $1.0 billion. The Hercules Loan Agreement also includes a subjective acceleration clause for circumstances which could be reasonably expected to have a material adverse effect on the Company.</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Hercules Loan Agreement provides for a final payment ("End of Term Charge"), payable upon maturity or the repayment of the obligations in full or in part (on a pro rata basis), equal to 6.75% of the aggregate principal amount of term loans advanced to the Company and repaid on such date, which is being accrued on the Company's consolidated balance sheets.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debt discount and debt issuance costs of $1.8 million upon closing of the Hercules Loan Agreement. Debt discount and unamortized debt issuance costs were recorded as a reduction of the carrying amount on the term loan and are amortized as interest expense using the effective-interest method. In addition, unamortized deferred financing costs of $0.6 million were recorded in other assets as of December 31, 2025 and 2024 related to the Company's right to borrow additional amounts in the future.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related to the Term Loan Facility for the years ended December 31, 2025 and 2024 was $3.6 million and $0.6 million, respectively. As of December 31, 2025 and 2024, the carrying value of the Term Loan Facility approximates its fair value.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under the Term Loan Facility as of December 31, 2025 consisted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40" w:type="dxa"/>
            <w:vAlign w:val="bottom"/>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4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12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term loan balance</w:t>
            </w:r>
          </w:p>
        </w:tc>
        <w:tc>
          <w:tcPr>
            <w:tcW w:w="66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16"/>
        </w:trPr>
        <w:tc>
          <w:tcPr>
            <w:tcW w:w="8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end of term fee</w:t>
            </w:r>
          </w:p>
        </w:tc>
        <w:tc>
          <w:tcPr>
            <w:tcW w:w="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510</w:t>
            </w: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66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29,159</w:t>
            </w:r>
          </w:p>
        </w:tc>
      </w:tr>
      <w:tr>
        <w:trPr>
          <w:trHeight w:val="20"/>
        </w:trPr>
        <w:tc>
          <w:tcPr>
            <w:tcW w:w="8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305"/>
        </w:trPr>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annual principal payments due under the Term Loan Facility as of December 31, 2025 were as follows (in thousands):</w:t>
            </w:r>
          </w:p>
        </w:tc>
        <w:tc>
          <w:tcPr>
            <w:tcW w:w="2140" w:type="dxa"/>
            <w:vAlign w:val="bottom"/>
          </w:tcPr>
          <w:p>
            <w:pPr>
              <w:spacing w:after="0"/>
              <w:rPr>
                <w:sz w:val="24"/>
                <w:szCs w:val="24"/>
                <w:color w:val="auto"/>
              </w:rPr>
            </w:pPr>
          </w:p>
        </w:tc>
      </w:tr>
      <w:tr>
        <w:trPr>
          <w:trHeight w:val="108"/>
        </w:trPr>
        <w:tc>
          <w:tcPr>
            <w:tcW w:w="8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40" w:type="dxa"/>
            <w:vAlign w:val="bottom"/>
          </w:tcPr>
          <w:p>
            <w:pPr>
              <w:spacing w:after="0"/>
              <w:rPr>
                <w:sz w:val="9"/>
                <w:szCs w:val="9"/>
                <w:color w:val="auto"/>
              </w:rPr>
            </w:pPr>
          </w:p>
        </w:tc>
      </w:tr>
      <w:tr>
        <w:trPr>
          <w:trHeight w:val="216"/>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2,211</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27,789</w:t>
            </w:r>
          </w:p>
        </w:tc>
      </w:tr>
      <w:tr>
        <w:trPr>
          <w:trHeight w:val="250"/>
        </w:trPr>
        <w:tc>
          <w:tcPr>
            <w:tcW w:w="8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30,000</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of future principal payments excludes the End of Term Charge of $2.0 million, which is due upon the maturity of the loan.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10,000,000 shares of preferred stock, $0.0001 par value per share. As of December 31, 2025 no shares of preferred stock were issued or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100,000,000 shares of common stock, $0.0001 par value per share. As of December 31, 2025, 37,890,616 shares of common stock were issued and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2025 Offering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2025, in connection with an underwriting agreement with Jefferies LLC, Leerink Partners LLC, Morgan Stanley &amp; Co. LLC, and Cantor Fitzgerald &amp; Co., the Company sold 2,619,049 shares of its common stock, at a public offering price of $84.00 per share. The Company also sold pre-funded warrants to purchase an aggregate of 59,523 shares of common stock at a price of $83.9999 per pre-funded warrant. The Company received aggregate net proceeds of $211.0 million, after deducting offering expenses of $14.0 million. As of December 31, 2025, none of the 59,523 pre-funded warrants had been exercised.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2025 Offering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in connection with an underwriting agreement with Jefferies LLC, Leerink Partners LLC, Stifel, Nicolaus &amp; Company, Incorporated and Cantor Fitzgerald &amp; Co., the Company sold 4,533,182 shares of its common stock, which included the exercise in full by the underwriters of their option to purchase up to 615,000 additional shares of common stock, at a public offering price of $55.00 per share. The Company also sold pre-funded warrants to purchase an aggregate of 181,818 shares of common stock at a price of $54.9999 per pre-funded warrant. The Company received aggregate net proceeds of $243.4 million, after deducting offering expenses of $15.9 million. As of December 31, 2025, none of the 181,818 pre-funded warrants had been exercised.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2024 Offering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an underwriting agreement with Leerink Partners LLC related to an underwritten offering. Pursuant to the agreement, the Company sold 4,944,000 shares of common stock of the Company, par value $0.0001 per share, at a price to the public of $36.00 per share. The Company received net proceeds of $172.5 million, after deducting the underwriting discount and offering expenses of $5.5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2023, the Company sold 3,015,919 shares of its common stock upon the completion of its public follow-on offering, which included the exercise in full by the underwriters of their option to purchase up to 420,000 additional shares of common stock, at a public offering price of $49.00 per share. The Company also sold, in lieu of shares of the Company’s common stock, pre-funded warrants to purchase an aggregate of 204,081 shares of common stock at a price of $48.9999 per pre-funded warrant. The Company received aggregate net proceeds of $147.9 million, after deducting offering expenses of $9.9 million. As of December 31, 2025, none of the 204,081 pre-funded warrants had been exercised.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2023 Offering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2023, the Company entered into a securities purchase agreement, with certain investors. Pursuant to the securities purchase agreement, the Company sold an aggregate of 1,488,166 shares of the Company’s common stock, at a purchase price of $23.00 per share, and with respect to a certain investor, in lieu of shares of the Company’s common stock, pre-funded warrants to purchase an aggregate of 1,229,224 shares of the Company’s common stock, at a purchase price of $22.9999 per pre-funded warrant, for aggregate net proceeds of $62.4 million, after deducting offering expenses of $0.1 million. In September 2023, all of the pre-funded warrants were exercised in a cashless transaction which resulted in 1,229,221 shares of common stock being issued to the investor.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("ATM")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 &amp; Co. (“Cantor”)</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15, 2024, the Company entered into a Controlled Equity Offering Sales Agreement (the “Cantor ATM Agreement”) with Cantor, pursuant to which the Company may, from time to time in its sole discretion, issue and sell to or through Cantor, acting as sales agent, shares of the Company’s common stock, par value $0.0001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7" w:name="page138"/>
    <w:bookmarkEnd w:id="137"/>
    <w:p>
      <w:pPr>
        <w:jc w:val="both"/>
        <w:ind w:firstLine="46"/>
        <w:spacing w:after="0" w:line="282" w:lineRule="auto"/>
        <w:rPr>
          <w:sz w:val="20"/>
          <w:szCs w:val="20"/>
          <w:color w:val="auto"/>
        </w:rPr>
      </w:pPr>
      <w:r>
        <w:rPr>
          <w:rFonts w:ascii="Times New Roman" w:cs="Times New Roman" w:eastAsia="Times New Roman" w:hAnsi="Times New Roman"/>
          <w:sz w:val="18"/>
          <w:szCs w:val="18"/>
          <w:color w:val="auto"/>
        </w:rPr>
        <w:t>per share having an aggregate offering price of up to $200.0 million. This offering was made pursuant to the Company's effective registration statement on Form S-3 filed in August 2024 (the "August 2024 Shelf").</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sold an aggregate of 162,457 shares of common stock in Cantor ATM offerings under the August 2024 Shelf and pursuant to the Cantor ATM Agreement. Aggregate gross proceeds from the transaction were $10.1 million and the Company received $9.8 million in net proceeds, after deducting placement agent fees and offering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Jefferies LLC ("Jefferies")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2023, the Company entered into an Open Market Sale Agreement with Jefferies as sales agent (the “Jefferies ATM Agreement”) to provide for the offering, issuance and sale by the Company of up to $59.7 million of the Company’s common stock from time to time in ATM offerings under the Company's registration statement on Form S-3 filed in January 2023. In November 2023, the Company filed a shelf registration statement on Form S-3 with the SEC, which covered the offering, issuance and sale by the Company of up to an aggregate of $400.0 million of the Company’s common stock, preferred stock, debt securities, warrants or units (the “November 2023 Shelf”). On December 5, 2023, the Company and Jefferies entered into an amendment to the Jefferies ATM Agreement to increase the aggregate offering price of the shares of common stock that the Company may offer under the Jefferies ATM Agreement from $59.7 million to $200.0 million. The material terms and conditions of the Jefferies ATM Agreement otherwise remained unchanged. On November 15, 2024, the Company terminated the Jefferies ATM Agreement. In connection with the termination, the Company recognized the remaining capitalized issuance costs of $0.6 million as selling, general and administrative expense in the consolidated statements of operations and comprehensive loss for the year ended December 31, 2024.</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sold an aggregate of 234,449 and 141,914 shares of common stock in Jefferies ATM offerings under the November 2023 Shelf and pursuant to the Jefferies ATM Agreement, respectively. During the years ended December 31, 2024 and 2023, aggregate gross proceeds from the transactions were $15.3 million and $7.2 million, respectively, and the Company received $14.8 million and $7.0 million in net proceeds, after deducting placement agent fees and offering expenses, respectively. In total, the Company sold an aggregate of 376,363 shares of common stock in ATM offerings under the November 2023 Shelf and pursuant to the Jefferies ATM Agreement for aggregate gross proceeds of $22.5 million and aggregate net proceeds received of $21.8 million, after deducting placement agent fees and offering expenses.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SVB Securities LLC</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2023, the Company filed a shelf registration statement on Form S-3 with the SEC, which covered the offering, issuance and sale by the Company of up to an aggregate of $300.0 million of the Company’s common stock, preferred stock, debt securities, warrants or units (the “January 2023 Shelf”). Subsequently in January 2023, the Company entered into a Sales Agreement (the “Sales Agreement”) with SVB Securities LLC, as sales agent, to provide for the offering, issuance and sale by the Company of up to $100.0 million of the Company’s common stock from time to time in ATM offerings under the January 2023 Shelf. Effective June 12, 2023, the ATM program with SVB Securities LLC was suspended. Following the date of the ATM suspension, the Company did not make any further sales of its common stock pursuant to the Sales Agreement. The Sales Agreement was terminated effective September 28, 2023. In connection with the ATM suspension, the Company recognized the remaining capitalized issuance costs of $0.3 million as selling, general and administrative expense in the consolidated statements of operations and comprehensive loss for the year ended December 31, 2023.</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sold an aggregate of 825,350 shares of common stock in ATM offerings under the January 2023 Shelf and pursuant to the Sales Agreement. During the year ended December 31, 2023, aggregate gross proceeds from the transactions were $20.0 million and the Company received $19.5 million in net proceeds, after deducting placement agent fees and offering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Statements Resulting from the Merger</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2023, as a result of the merger, the Company filed a resale registration statement on Form S-3 with the Securities and Exchange Commission (“SEC”), which covered the proposed resale or other disposition by certain stockholders of up to an aggregate of 12,635,956 shares of the Company’s common stock. The Company also filed a registration statement on Form S-8 with the SEC, which registered 1,672,599 shares of common stock issuable with respect to Private Disc options assumed by the Company pursuant to the Merger Agreement as well as 2,035,103 additional shares of common stock reserved and available for future issuance under the 2021 Plan and 180,894 additional shares of common stock reserved and available for future issuance under the 2021 Employee Stock Purchase Plan (the “2021 ESPP”).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Stock Option and Incentive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8" w:name="page139"/>
    <w:bookmarkEnd w:id="138"/>
    <w:p>
      <w:pPr>
        <w:jc w:val="both"/>
        <w:spacing w:after="0" w:line="254" w:lineRule="auto"/>
        <w:rPr>
          <w:sz w:val="20"/>
          <w:szCs w:val="20"/>
          <w:color w:val="auto"/>
        </w:rPr>
      </w:pPr>
      <w:r>
        <w:rPr>
          <w:rFonts w:ascii="Times New Roman" w:cs="Times New Roman" w:eastAsia="Times New Roman" w:hAnsi="Times New Roman"/>
          <w:sz w:val="18"/>
          <w:szCs w:val="18"/>
          <w:color w:val="auto"/>
        </w:rPr>
        <w:t>1, Gemini adopted the 2021 Stock Option and Incentive Plan (the "2021 Plan") reserving shares of common stock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Upon approving the 2021 Plan in February 2021, Gemini ceased granting awards under its then existing 2017 Stock Option and Grant Plan (the "2017 Gemini Plan"). Incentive stock options may only be granted to employees. The 2021 Plan is administered by the plan administrator, which is the compensation committee of the Company’s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exercise price of each stock option granted under the 2021 Plan is 100% of the fair market value of the underlying stock subject to the award, determined as of the date of the grant, or such higher amount as the plan administrator may determine in connection with the grant, and the term of stock option may not be greater than ten years. The vesting and other restrictions are determined at the discretion of the plan administrator with awards generally vesting over a four-year period.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reserved for issuance under the 2021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Company’s board of directors. As of December 31, 2025, 1,158,171 shares remained available for future issuance under the 2021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2021, Gemini’s board of directors approved the 2021 Employee Stock Purchase Plan (the "2021 ESPP"). The first offering period under the 2021 ESPP began on December 1, 2021. The number of shares of common stock reserved for issuance under the 2021 ESPP automatically increases on January 1 of each calendar year, starting on January 1, 2023 and continuing through January 1, 2031, in an amount equal to the least of (a) 1% of the total number of shares of the Company’s capital stock outstanding on the last day of the calendar month before the date of each automatic increase, (b) 43,055 shares of common stock, or (c) such number of shares determined by the Company’s board of directors. As of December 31, 2025, 283,866 shares remained available for future issuance under the 2021 ESPP.</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Inducement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2021, Gemini’s board of directors approved the 2021 Inducement Plan. The 2021 Inducement Plan is a non-stockholder approved stock plan under which equity awards are granted to induce highly-qualified prospective officers and employees who are not currently employed by the Company to accept employment and provide them with a proprietary interest in the Company. From the completion of the merger through December 31, 2025, the Company had not granted awards under the 2021 Inducement Plan. As of December 31, 2025, 161,689 shares remained available for future issuance under the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Stock Option and Grant Plan (the "Private Disc Plan")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Private Disc adopted the Private Disc Plan in November 2017 reserving shares of common stock for issuance to employees, directors, and consultants. The Private Disc Plan allowed for the grant of incentive stock options, non-statutory stock options, stock appreciation rights, restricted stock awards, restricted stock unit awards and other stock awards. Recipients of stock options or stock appreciation rights were eligible to purchase shares of Private Disc’s common stock at an exercise price equal to the estimated fair market value of such stock on the date of grant. The exercise price could have been less than fair market value if the stock award was granted pursuant to an assumption or substitution for another stock award in the event of a merger or sale of Private Disc. The maximum term of options granted under the Private Disc Plan was ten years, and stock options typically vested over a four-year period. The Board could have assigned vesting terms to the stock options grants as deemed appropriate. Private Disc also had the right of first refusal to purchase any proposed disposition of shares issued under the Private Disc Plan. As it relates to restricted stock awards, Private Disc had the option to repurchase any unvested shares at the original purchase price upon any voluntary or involuntary termination. At the discretion of the Board, unvested shares held by employees, directors and consultants could have accelerated vesting in the event of a change of control of Private Disc unless assumed or substituted by the acquirer or surviving entity. Upon completion of the merger in December 2022, the Company ceased granting awards under the Private Disc Plan.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Out-of-Plan Inducement Grants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grants equity awards to newly hired executives as a material inducement to enter into employment with the Company. These grants are made in accordance with Rule 5635(c)(4) of the Nasdaq Listing Rules and are issued outside the 2021 Plan, the 2021 Inducement Plan and each of the other stock incentive plans described above. The inducement grants typically include nonqualified stock options to purchase shares of the Company's common stock, as well as restricted stock unit grants representing shares of the Company's common stock. The option awards have a ten-year term, with 25% of the underlying shares vesting and becoming exercisable on the one-year anniversary of the date of grant, and the balance of each option award vesting in equal monthly installments over 36 months thereafter. The restricted stock unit awards vest with respect to 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9" w:name="page140"/>
    <w:bookmarkEnd w:id="139"/>
    <w:p>
      <w:pPr>
        <w:ind w:firstLine="8"/>
        <w:spacing w:after="0" w:line="282" w:lineRule="auto"/>
        <w:tabs>
          <w:tab w:leader="none" w:pos="20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underlying shares on each of the first, second, third and fourth anniversaries of the vesting date as set by the Company policy. The inducement grants are included in the stock option and restricted stock unit tables below.</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granted 35,000 nonqualified stock options and 23,333 restricted stock units under employment inducement grants. During the year ended December 31, 2024, the Company granted 220,000 nonqualified stock options and 146,664 restricted stock units under employment inducement grants. The Company made no employment inducement grants during the year ended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calculating stock-based compensation, the Company estimates the fair value of stock options using the Black-Scholes option-pricing model. This model incorporates various assumptions, including the expected volatility, expected term, and interest rates.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does not yet have sufficient company-specific historical or implied volatility information. Therefore, the Company estimated its expected stock volatility based on the historical volatility of a publicly traded set of peer public companies and the Company will continue to do so until such time as it has adequate historical data regarding the volatility of its own traded stock price. The risk-free interest rate is determined by reference to the U.S. Treasury yield curve in effect at the time of grant of the award for time periods approximately equal to the expected term of the option. For options with service-based vesting conditions, the expected term of the Company’s stock options has been determined utilizing the “simplified” method for awards that qualify as “plain-vanilla” options. The expected dividend yield of 0% is based on the fact that the Company has never paid cash dividends and does not expect to pay any cash dividends in the foreseeable future.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to estimate the fair value of stock options granted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73"/>
        </w:trPr>
        <w:tc>
          <w:tcPr>
            <w:tcW w:w="4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86"/>
        </w:trPr>
        <w:tc>
          <w:tcPr>
            <w:tcW w:w="4040" w:type="dxa"/>
            <w:vAlign w:val="bottom"/>
          </w:tcPr>
          <w:p>
            <w:pPr>
              <w:spacing w:after="0"/>
              <w:rPr>
                <w:sz w:val="16"/>
                <w:szCs w:val="16"/>
                <w:color w:val="auto"/>
              </w:rPr>
            </w:pPr>
          </w:p>
        </w:tc>
        <w:tc>
          <w:tcPr>
            <w:tcW w:w="2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per share of common stock</w:t>
            </w:r>
          </w:p>
        </w:tc>
        <w:tc>
          <w:tcPr>
            <w:tcW w:w="2440" w:type="dxa"/>
            <w:vAlign w:val="bottom"/>
            <w:gridSpan w:val="2"/>
            <w:shd w:val="clear" w:color="auto" w:fill="CFF0FC"/>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56.05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58.99</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43.42</w:t>
            </w: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in the years ended December 31, 2025, 2024 and 2023 was $39.53, $35.36 and $26.54 per share,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year ended December 31,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66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06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16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06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2,870,364</w:t>
            </w:r>
          </w:p>
        </w:tc>
        <w:tc>
          <w:tcPr>
            <w:tcW w:w="124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8"/>
              </w:rPr>
              <w:t>26.52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7.44</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106,766</w:t>
            </w:r>
          </w:p>
        </w:tc>
        <w:tc>
          <w:tcPr>
            <w:tcW w:w="0" w:type="dxa"/>
            <w:vAlign w:val="bottom"/>
          </w:tcPr>
          <w:p>
            <w:pPr>
              <w:spacing w:after="0"/>
              <w:rPr>
                <w:sz w:val="1"/>
                <w:szCs w:val="1"/>
                <w:color w:val="auto"/>
              </w:rPr>
            </w:pPr>
          </w:p>
        </w:tc>
      </w:tr>
      <w:tr>
        <w:trPr>
          <w:trHeight w:val="216"/>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1,060,514</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55.89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(578,872)</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8"/>
              </w:rPr>
              <w:t>14.91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(74,539)</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43.65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8"/>
              </w:rPr>
              <w:t>53.87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3,269,290</w:t>
            </w:r>
          </w:p>
        </w:tc>
        <w:tc>
          <w:tcPr>
            <w:tcW w:w="124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37.64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7.48</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137,014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1660" w:type="dxa"/>
            <w:vAlign w:val="bottom"/>
            <w:shd w:val="clear" w:color="auto" w:fill="CFF0FC"/>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1,741,466</w:t>
            </w:r>
          </w:p>
        </w:tc>
        <w:tc>
          <w:tcPr>
            <w:tcW w:w="1240" w:type="dxa"/>
            <w:vAlign w:val="bottom"/>
            <w:gridSpan w:val="2"/>
            <w:shd w:val="clear" w:color="auto" w:fill="CFF0FC"/>
          </w:tcPr>
          <w:p>
            <w:pPr>
              <w:jc w:val="right"/>
              <w:ind w:right="908"/>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98"/>
              </w:rPr>
              <w:t>24.52</w:t>
            </w:r>
          </w:p>
        </w:tc>
        <w:tc>
          <w:tcPr>
            <w:tcW w:w="2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21"/>
              <w:spacing w:after="0" w:line="196" w:lineRule="exact"/>
              <w:rPr>
                <w:sz w:val="20"/>
                <w:szCs w:val="20"/>
                <w:color w:val="auto"/>
              </w:rPr>
            </w:pPr>
            <w:r>
              <w:rPr>
                <w:rFonts w:ascii="Times New Roman" w:cs="Times New Roman" w:eastAsia="Times New Roman" w:hAnsi="Times New Roman"/>
                <w:sz w:val="18"/>
                <w:szCs w:val="18"/>
                <w:color w:val="auto"/>
              </w:rPr>
              <w:t>6.36</w:t>
            </w:r>
          </w:p>
        </w:tc>
        <w:tc>
          <w:tcPr>
            <w:tcW w:w="36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95,764</w:t>
            </w: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-333375</wp:posOffset>
            </wp:positionV>
            <wp:extent cx="1117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1117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1117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12001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1200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the years ended December 31, 2025, 2024 and 2023 was $30.2 million, $14.5 million and $8.3 million, respectively. The total fair value of options vested during the years ended December 31, 2025, 2024 and 2023 was $17.7 million, $10.0 million and $3.7 million, respectively. The tax benefit from the exercise of options eligible for a tax deduction realized during the years ended December 31, 2025, 2024 and 2023 was $21.8 million, $11.0 million and $7.2 million,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calculating stock-based compensation, the Company determines the fair value of the restricted stock units based on the fair value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at the time of grant. The following table summarizes restricted stock unit activity for the year ended December 31, 2025:</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224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tcPr>
          <w:p>
            <w:pPr>
              <w:jc w:val="center"/>
              <w:ind w:right="33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224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as of December 31, 2024</w:t>
            </w:r>
          </w:p>
        </w:tc>
        <w:tc>
          <w:tcPr>
            <w:tcW w:w="2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475,140</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60.01</w:t>
            </w:r>
          </w:p>
        </w:tc>
        <w:tc>
          <w:tcPr>
            <w:tcW w:w="0" w:type="dxa"/>
            <w:vAlign w:val="bottom"/>
          </w:tcPr>
          <w:p>
            <w:pPr>
              <w:spacing w:after="0"/>
              <w:rPr>
                <w:sz w:val="1"/>
                <w:szCs w:val="1"/>
                <w:color w:val="auto"/>
              </w:rPr>
            </w:pPr>
          </w:p>
        </w:tc>
      </w:tr>
      <w:tr>
        <w:trPr>
          <w:trHeight w:val="216"/>
        </w:trPr>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827,402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56.44</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(117,911)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60.15</w:t>
            </w:r>
          </w:p>
        </w:tc>
        <w:tc>
          <w:tcPr>
            <w:tcW w:w="0" w:type="dxa"/>
            <w:vAlign w:val="bottom"/>
          </w:tcPr>
          <w:p>
            <w:pPr>
              <w:spacing w:after="0"/>
              <w:rPr>
                <w:sz w:val="1"/>
                <w:szCs w:val="1"/>
                <w:color w:val="auto"/>
              </w:rPr>
            </w:pPr>
          </w:p>
        </w:tc>
      </w:tr>
      <w:tr>
        <w:trPr>
          <w:trHeight w:val="216"/>
        </w:trPr>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56.78</w:t>
            </w:r>
          </w:p>
        </w:tc>
        <w:tc>
          <w:tcPr>
            <w:tcW w:w="0" w:type="dxa"/>
            <w:vAlign w:val="bottom"/>
          </w:tcPr>
          <w:p>
            <w:pPr>
              <w:spacing w:after="0"/>
              <w:rPr>
                <w:sz w:val="1"/>
                <w:szCs w:val="1"/>
                <w:color w:val="auto"/>
              </w:rPr>
            </w:pPr>
          </w:p>
        </w:tc>
      </w:tr>
      <w:tr>
        <w:trPr>
          <w:trHeight w:val="249"/>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as of December 31, 2025</w:t>
            </w:r>
          </w:p>
        </w:tc>
        <w:tc>
          <w:tcPr>
            <w:tcW w:w="2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1,142,445</w:t>
            </w:r>
          </w:p>
        </w:tc>
        <w:tc>
          <w:tcPr>
            <w:tcW w:w="58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57.29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-25400</wp:posOffset>
            </wp:positionV>
            <wp:extent cx="17145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17145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units vested during the year ended December 31, 2025 was $7.1 million. There were no restricted stock units which vested during the years ended December 31, 2024 or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Restricted Common Stock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a total of 63,061 shares of restricted common stock pursuant to the Private Disc Plan at $0.0001 per share. The stock restrictions related to the sale and transferability of the stock and lapsed over the defined vesting period in the restricted stock agreement. The vesting period was generally contingent upon continued employment or consulting services being provided to the Company. In the event of termination, the Company had the right, but not the obligation to repurchase the unvested shares at the original purchase price. During the year ended December 31, 2023, 1,916 shares of restricted common stock vested. As of December 31, 2023, all awards of restricted common stock were fully vested.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recorded as research and development and selling, general and administrative expenses, respectively, for employees, directors and non-employees was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3"/>
        </w:trPr>
        <w:tc>
          <w:tcPr>
            <w:tcW w:w="54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86"/>
        </w:trPr>
        <w:tc>
          <w:tcPr>
            <w:tcW w:w="5480" w:type="dxa"/>
            <w:vAlign w:val="bottom"/>
          </w:tcPr>
          <w:p>
            <w:pPr>
              <w:spacing w:after="0"/>
              <w:rPr>
                <w:sz w:val="16"/>
                <w:szCs w:val="16"/>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15,989</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7,028</w:t>
            </w:r>
          </w:p>
        </w:tc>
        <w:tc>
          <w:tcPr>
            <w:tcW w:w="6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1,767</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18,351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9,787</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3,763</w:t>
            </w:r>
          </w:p>
        </w:tc>
      </w:tr>
      <w:tr>
        <w:trPr>
          <w:trHeight w:val="249"/>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80" w:type="dxa"/>
            <w:vAlign w:val="bottom"/>
            <w:tcBorders>
              <w:bottom w:val="single" w:sz="8" w:color="auto"/>
            </w:tcBorders>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34,340</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16,815</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5,530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-24765</wp:posOffset>
            </wp:positionV>
            <wp:extent cx="14605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14605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14541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1454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unrecognized stock-based compensation expense as of December 31,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180" w:type="dxa"/>
            <w:vAlign w:val="bottom"/>
          </w:tcPr>
          <w:p>
            <w:pPr>
              <w:spacing w:after="0"/>
              <w:rPr>
                <w:sz w:val="12"/>
                <w:szCs w:val="12"/>
                <w:color w:val="auto"/>
              </w:rPr>
            </w:pPr>
          </w:p>
        </w:tc>
        <w:tc>
          <w:tcPr>
            <w:tcW w:w="2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Period of Recognition</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23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52,672</w:t>
            </w:r>
          </w:p>
        </w:tc>
        <w:tc>
          <w:tcPr>
            <w:tcW w:w="24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49,093</w:t>
            </w:r>
          </w:p>
        </w:tc>
        <w:tc>
          <w:tcPr>
            <w:tcW w:w="24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unrecognized equity-based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101,765</w:t>
            </w:r>
          </w:p>
        </w:tc>
        <w:tc>
          <w:tcPr>
            <w:tcW w:w="180" w:type="dxa"/>
            <w:vAlign w:val="bottom"/>
            <w:tcBorders>
              <w:bottom w:val="single" w:sz="8" w:color="CFF0FC"/>
            </w:tcBorders>
            <w:shd w:val="clear" w:color="auto" w:fill="CFF0FC"/>
          </w:tcPr>
          <w:p>
            <w:pPr>
              <w:spacing w:after="0"/>
              <w:rPr>
                <w:sz w:val="21"/>
                <w:szCs w:val="21"/>
                <w:color w:val="auto"/>
              </w:rPr>
            </w:pPr>
          </w:p>
        </w:tc>
        <w:tc>
          <w:tcPr>
            <w:tcW w:w="2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-24765</wp:posOffset>
            </wp:positionV>
            <wp:extent cx="1111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1111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adopted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effective January 1, 2025, on a prospective basis. The disclosures required by the standard are included below for the year ended December 31, 2025. Comparative prior-period disclosures have not been revised.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loss before income taxes were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08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0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center"/>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5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(212,152)</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9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329</w:t>
            </w:r>
          </w:p>
        </w:tc>
      </w:tr>
      <w:tr>
        <w:trPr>
          <w:trHeight w:val="25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 (loss) before income taxes</w:t>
            </w:r>
          </w:p>
        </w:tc>
        <w:tc>
          <w:tcPr>
            <w:tcW w:w="5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(211,823)</w:t>
            </w:r>
          </w:p>
        </w:tc>
      </w:tr>
      <w:tr>
        <w:trPr>
          <w:trHeight w:val="628"/>
        </w:trPr>
        <w:tc>
          <w:tcPr>
            <w:tcW w:w="4080" w:type="dxa"/>
            <w:vAlign w:val="bottom"/>
            <w:tcBorders>
              <w:top w:val="single" w:sz="8" w:color="CFF0FC"/>
            </w:tcBorders>
          </w:tcPr>
          <w:p>
            <w:pPr>
              <w:spacing w:after="0"/>
              <w:rPr>
                <w:sz w:val="24"/>
                <w:szCs w:val="24"/>
                <w:color w:val="auto"/>
              </w:rPr>
            </w:pPr>
          </w:p>
        </w:tc>
        <w:tc>
          <w:tcPr>
            <w:tcW w:w="4900" w:type="dxa"/>
            <w:vAlign w:val="bottom"/>
            <w:tcBorders>
              <w:top w:val="single" w:sz="8" w:color="CFF0FC"/>
            </w:tcBorders>
          </w:tcPr>
          <w:p>
            <w:pPr>
              <w:jc w:val="right"/>
              <w:ind w:right="3130"/>
              <w:spacing w:after="0"/>
              <w:rPr>
                <w:sz w:val="20"/>
                <w:szCs w:val="20"/>
                <w:color w:val="auto"/>
              </w:rPr>
            </w:pPr>
            <w:r>
              <w:rPr>
                <w:rFonts w:ascii="Times New Roman" w:cs="Times New Roman" w:eastAsia="Times New Roman" w:hAnsi="Times New Roman"/>
                <w:sz w:val="18"/>
                <w:szCs w:val="18"/>
                <w:color w:val="auto"/>
              </w:rPr>
              <w:t>135</w:t>
            </w:r>
          </w:p>
        </w:tc>
        <w:tc>
          <w:tcPr>
            <w:tcW w:w="38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The components of income tax expense were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tcPr>
          <w:p>
            <w:pPr>
              <w:jc w:val="center"/>
              <w:ind w:right="418"/>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8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41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5"/>
        </w:trPr>
        <w:tc>
          <w:tcPr>
            <w:tcW w:w="8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r>
      <w:tr>
        <w:trPr>
          <w:trHeight w:val="216"/>
        </w:trPr>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898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361</w:t>
            </w:r>
          </w:p>
        </w:tc>
      </w:tr>
      <w:tr>
        <w:trPr>
          <w:trHeight w:val="304"/>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During the year ended December 31, 2025, the Company did not recognize any deferred income tax expense.</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24"/>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 were as follows (in thousands):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32"/>
        </w:trPr>
        <w:tc>
          <w:tcPr>
            <w:tcW w:w="8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jc w:val="center"/>
              <w:ind w:right="418"/>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8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8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center"/>
              <w:ind w:right="4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8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8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Total cash paid during the period for income taxes</w:t>
            </w:r>
          </w:p>
        </w:tc>
        <w:tc>
          <w:tcPr>
            <w:tcW w:w="380" w:type="dxa"/>
            <w:vAlign w:val="bottom"/>
            <w:tcBorders>
              <w:bottom w:val="single" w:sz="8" w:color="auto"/>
            </w:tcBorders>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349</w:t>
            </w: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state and foreign income taxes paid (net of refunds) for the year ended December 31, 2025 were related to Massachusetts and the Netherlands, respectively. During the years ended December 31, 2024 and 2023, the Company made cash payments for income taxes of $0.3 million and $0.1 million,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U.S. federal statutory income tax rate to the Company’s effective income tax rate for the year ended December 31,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gridSpan w:val="3"/>
          </w:tcPr>
          <w:p>
            <w:pPr>
              <w:jc w:val="center"/>
              <w:ind w:left="93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center"/>
              <w:ind w:left="95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80" w:type="dxa"/>
            <w:vAlign w:val="bottom"/>
            <w:gridSpan w:val="3"/>
          </w:tcPr>
          <w:p>
            <w:pPr>
              <w:ind w:left="360"/>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500" w:type="dxa"/>
            <w:vAlign w:val="bottom"/>
            <w:vMerge w:val="restart"/>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(44,483)</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54,693</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Section 162(m) limitation</w:t>
            </w: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5,222</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-24765</wp:posOffset>
            </wp:positionV>
            <wp:extent cx="12001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1200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 taxes in Massachusetts made up the majority (greater than 50%) of the tax effect in this category.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disclosed for the years ended December 31, 2024 and 2023, prior to the adoption of ASU 2023-09, the effective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t>income tax rate differed from the federal statutory income tax rate as follows:</w:t>
      </w:r>
    </w:p>
    <w:p>
      <w:pPr>
        <w:spacing w:after="0" w:line="111"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-3175</wp:posOffset>
            </wp:positionV>
            <wp:extent cx="27686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6880" w:type="dxa"/>
            <w:vAlign w:val="bottom"/>
          </w:tcPr>
          <w:p>
            <w:pPr>
              <w:spacing w:after="0"/>
              <w:rPr>
                <w:sz w:val="16"/>
                <w:szCs w:val="16"/>
                <w:color w:val="auto"/>
              </w:rPr>
            </w:pPr>
          </w:p>
        </w:tc>
        <w:tc>
          <w:tcPr>
            <w:tcW w:w="12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8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1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1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Section 162(m) limitation</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8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1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0" w:type="dxa"/>
            <w:vAlign w:val="bottom"/>
            <w:tcBorders>
              <w:bottom w:val="single" w:sz="8" w:color="CFF0FC"/>
            </w:tcBorders>
            <w:shd w:val="clear" w:color="auto" w:fill="CFF0FC"/>
          </w:tcPr>
          <w:p>
            <w:pPr>
              <w:spacing w:after="0"/>
              <w:rPr>
                <w:sz w:val="18"/>
                <w:szCs w:val="18"/>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09"/>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68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-170815</wp:posOffset>
            </wp:positionV>
            <wp:extent cx="12890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rates for the years ended December 31, 2025, 2024 and 2023 were primarily due to state income tax resulting from interest income.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used for income tax purposes. The significant components of the Company’s net deferred income taxes were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Borders>
              <w:bottom w:val="single" w:sz="8" w:color="auto"/>
            </w:tcBorders>
          </w:tcPr>
          <w:p>
            <w:pPr>
              <w:spacing w:after="0"/>
              <w:rPr>
                <w:sz w:val="15"/>
                <w:szCs w:val="15"/>
                <w:color w:val="auto"/>
              </w:rPr>
            </w:pPr>
          </w:p>
        </w:tc>
      </w:tr>
      <w:tr>
        <w:trPr>
          <w:trHeight w:val="186"/>
        </w:trPr>
        <w:tc>
          <w:tcPr>
            <w:tcW w:w="7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100" w:type="dxa"/>
            <w:vAlign w:val="bottom"/>
          </w:tcPr>
          <w:p>
            <w:pPr>
              <w:jc w:val="right"/>
              <w:ind w:right="94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92,780</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33,209</w:t>
            </w:r>
          </w:p>
        </w:tc>
      </w:tr>
      <w:tr>
        <w:trPr>
          <w:trHeight w:val="216"/>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35,640</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21,248</w:t>
            </w: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experimental expenditures</w:t>
            </w:r>
          </w:p>
        </w:tc>
        <w:tc>
          <w:tcPr>
            <w:tcW w:w="110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29,699</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39,463</w:t>
            </w:r>
          </w:p>
        </w:tc>
      </w:tr>
      <w:tr>
        <w:trPr>
          <w:trHeight w:val="216"/>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Capitalized licenses</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12,190</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6,225</w:t>
            </w: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7,309</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3,407</w:t>
            </w:r>
          </w:p>
        </w:tc>
      </w:tr>
      <w:tr>
        <w:trPr>
          <w:trHeight w:val="216"/>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857</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492</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447</w:t>
            </w:r>
          </w:p>
        </w:tc>
      </w:tr>
      <w:tr>
        <w:trPr>
          <w:trHeight w:val="210"/>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178,967</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105,136</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(178,486)</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(104,670)</w:t>
            </w:r>
          </w:p>
        </w:tc>
      </w:tr>
      <w:tr>
        <w:trPr>
          <w:trHeight w:val="210"/>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466</w:t>
            </w:r>
          </w:p>
        </w:tc>
      </w:tr>
      <w:tr>
        <w:trPr>
          <w:trHeight w:val="20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7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100" w:type="dxa"/>
            <w:vAlign w:val="bottom"/>
          </w:tcPr>
          <w:p>
            <w:pPr>
              <w:jc w:val="right"/>
              <w:ind w:right="94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-736600</wp:posOffset>
            </wp:positionV>
            <wp:extent cx="1625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-170815</wp:posOffset>
            </wp:positionV>
            <wp:extent cx="1625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income tax provision for the year ended December 31, 2025 related to state income taxes. The Company has evaluated the positive and negative evidence bearing upon the reliability of its deferred tax assets. Based on this, the Company has provided a valuation allowance for the full amount of the net deferred tax assets as the realization of the deferred tax assets is not determined to be more likely than not. During the year ended December 31, 2025, the valuation allowance increased by $73.8 million primarily due to the increase in the Company’s net operating loss, tax credit carryforwards as a result of current year operations and the acquisition of a privately held company during the period. During the years ended December 31, 2024 and 2023, the valuation allowance increased by $42.9 million and $25.7 million, respectively.</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$342.9 million and $331.8 million of federal and state net operating loss ("NOL") carryforwards, respectively. Substantially all of the federal NOL carryforwards are not subject to expiration and the state NOL carryforwards begin to expire in 2037. These loss carryforwards are available to reduce future federal and state taxable income, if any. As of December 31, 2025, the Company also had federal and state research and development tax credit carryforwards of $32.1 million and $4.3 million respectively, to offset future income taxes, which will begin to expire in 2037. These loss carryforwards are subject to review and possible adjustment by the appropriate taxing authorities.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Utilization of the Company’s NOL carryforwards and research and development credit carryforwards may be subject to a substantial annual limitation due to ownership change limitations that have occurred previously or that could occur in the future in accordance with Section 382 as well as similar state provisions. These ownership changes may limit the amount of NOL and research and development credit carryforwards that can be utilized annually to offset future taxable income and taxes, respectively. In general, an ownership change as defined by Section 382 results from transactions increasing the ownership of certain stockholders or public groups in the stock of a corporation by more than 50% over a three-year period. Since its formation, the Company has raised capital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3" w:name="page144"/>
    <w:bookmarkEnd w:id="143"/>
    <w:p>
      <w:pPr>
        <w:jc w:val="both"/>
        <w:spacing w:after="0" w:line="256" w:lineRule="auto"/>
        <w:rPr>
          <w:sz w:val="20"/>
          <w:szCs w:val="20"/>
          <w:color w:val="auto"/>
        </w:rPr>
      </w:pPr>
      <w:r>
        <w:rPr>
          <w:rFonts w:ascii="Times New Roman" w:cs="Times New Roman" w:eastAsia="Times New Roman" w:hAnsi="Times New Roman"/>
          <w:sz w:val="18"/>
          <w:szCs w:val="18"/>
          <w:color w:val="auto"/>
        </w:rPr>
        <w:t>through the issuance of capital stock on several occasions. These financings could result in a change of control as defined by Section 382. The Company has also completed acquisitions of loss companies, and the associated acquired tax attributes would be further restricted by ownership changes that have occurred. The Company has not yet conducted an analysis under Section 382 to determine if historical changes in ownership through December 31, 2025, would limit or otherwise restrict its ability to utilize its NOL and research and development credit carryforwards. In addition, future changes in ownership occurring after December 31, 2025 could affect the limitation in future years, and any limitation may result in expiration of a portion of the NOL or research and development credit carryforwards before utilization.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generated research and development tax credits but has not conducted a study to document the qualified activities. This study may result in an adjustment to the Company’s research and development tax credit carryforwards; however, until a study is completed and any adjustment is known, no amounts are being presented as an uncertain tax position. A full valuation allowance has been provided against the Company’s research and development tax credit carryforwards and, if an adjustment is required, this adjustment would result in an adjustment to the deferred tax asset established for the research and development tax credit carryforwards and the valuation allowance.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Among other provisions, this act permanently extended and modified certain expiring provisions of the 2017 Tax Cuts and Jobs Act and restored the immediate expensing of domestic research and development expenses. The Company has evaluated the impacts of these provisions and has concluded the OBBBA does not have a material impact on its consolidated financial statements.</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Topic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which specifies how tax benefits for uncertain tax positions are to be recognized, measured, and recorded in financial statements; requires certain disclosures of uncertain tax matters; specifies how reserves for uncertain tax positions should be classified on the consolidated balance sheets; and provides transition and interim period guidance, among other provisions. As of December 31, 2025 and 2024, the Company has not recorded any amounts for uncertain tax positions. The Company’s policy is to recognize interest and penalties accrued on any uncertain tax positions as a component of income tax expense, if any, in its consolidated statements of operations and comprehensive loss. As of December 31, 2025 and 2024, the Company had no reserves for uncertain tax positions. For the years ended December 31, 2025, 2024 and 2023, no estimated interest or penalties were recognized on uncertain tax positions.</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federal income tax returns in the United States, the Netherlands and Australia and state income tax returns in Massachusetts and various other state jurisdictions. The Company’s tax returns for the years ended December 31, 2022 to December 31, 2025 remain open and subject to examination by the Internal Revenue Service and state taxing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Basic and diluted net loss per share is computed by dividing net loss by the weighted-average common shares outstanding. The weighted-average common shares outstanding used in the basic and diluted net loss per share calculation includes pre-funded warrants issued in connection with the Company’s underwritten offerings. As of December 31, 2025, 2024 and 2023, 445,422, 204,081, and 204,081 pre-funded warrants were outstanding,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(in thousands, except share and per share data):</w:t>
      </w:r>
    </w:p>
    <w:p>
      <w:pPr>
        <w:spacing w:after="0" w:line="111"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-3175</wp:posOffset>
            </wp:positionV>
            <wp:extent cx="294894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(212,184)</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(109,357)</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(76,429)</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35,295,663</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27,606,022</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22,315,877</w:t>
            </w:r>
          </w:p>
        </w:tc>
      </w:tr>
      <w:tr>
        <w:trPr>
          <w:trHeight w:val="230"/>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-24765</wp:posOffset>
            </wp:positionV>
            <wp:extent cx="12001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1200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12001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12001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generated a net loss in all periods presented, so the basic and diluted net loss per share are the same, as the inclusion of the potentially dilutive securities would be anti-dilutive. As of December 31, 2025, 2024 and 2023, the Company excluded the following potential common shares from the computation of diluted net loss per share because including them would have had an anti-dilutive effect: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r>
        <w:trPr>
          <w:trHeight w:val="186"/>
        </w:trPr>
        <w:tc>
          <w:tcPr>
            <w:tcW w:w="4020" w:type="dxa"/>
            <w:vAlign w:val="bottom"/>
          </w:tcPr>
          <w:p>
            <w:pPr>
              <w:spacing w:after="0"/>
              <w:rPr>
                <w:sz w:val="16"/>
                <w:szCs w:val="16"/>
                <w:color w:val="auto"/>
              </w:rPr>
            </w:pPr>
          </w:p>
        </w:tc>
        <w:tc>
          <w:tcPr>
            <w:tcW w:w="40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20" w:type="dxa"/>
            <w:vAlign w:val="bottom"/>
            <w:gridSpan w:val="2"/>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4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3,269,290</w:t>
            </w:r>
          </w:p>
        </w:tc>
        <w:tc>
          <w:tcPr>
            <w:tcW w:w="16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2,870,364</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2,459,037</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4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1,142,445</w:t>
            </w:r>
          </w:p>
        </w:tc>
        <w:tc>
          <w:tcPr>
            <w:tcW w:w="16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475,140</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program</w:t>
            </w:r>
          </w:p>
        </w:tc>
        <w:tc>
          <w:tcPr>
            <w:tcW w:w="4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13,866</w:t>
            </w:r>
          </w:p>
        </w:tc>
        <w:tc>
          <w:tcPr>
            <w:tcW w:w="16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9,003</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4,878</w:t>
            </w:r>
          </w:p>
        </w:tc>
      </w:tr>
      <w:tr>
        <w:trPr>
          <w:trHeight w:val="648"/>
        </w:trPr>
        <w:tc>
          <w:tcPr>
            <w:tcW w:w="4020" w:type="dxa"/>
            <w:vAlign w:val="bottom"/>
          </w:tcPr>
          <w:p>
            <w:pPr>
              <w:spacing w:after="0"/>
              <w:rPr>
                <w:sz w:val="24"/>
                <w:szCs w:val="24"/>
                <w:color w:val="auto"/>
              </w:rPr>
            </w:pPr>
          </w:p>
        </w:tc>
        <w:tc>
          <w:tcPr>
            <w:tcW w:w="254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138</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63"/>
        </w:trPr>
        <w:tc>
          <w:tcPr>
            <w:tcW w:w="40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purposes of assessing performance and making operating decisions, resulting in a single reportable segment. The Company has determined that its Chief Operating Decision Maker ("CODM") is its Chief Executive Officer. The Company’s CODM reviews the Company’s financial information on a consolidated basis for the purpose of allocating resources and assessing financial performance.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assembled a portfolio of clinical and preclinical product candidates that aim to modify fundamental biological pathways associated with the formation and function of red blood cells, specifically heme biosynthesis and iron homeostasis. The Company has not generated any revenue since its inception. The Company primarily incurs expenses in connection with the research and development of its product candidates as well as selling, general and administrative costs consisting of salaries and related costs for personnel in executive, finance, commercial, corporate and business development, and administrative functions, as well as legal, consulting, commercial planning, market research and professional fees.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key measure of segment profit or loss that the CODM uses to allocate resources and assess performance is the Company’s consolidated net loss, as reported on the consolidated statements of operations and comprehensive loss. In addition, the CODM is regularly provided the significant segment expense categories included in the table below, which are reviewed against budgeted expectations to assist in resource allocation decision-making. The categories reflect a change made during the first quarter of 2025 to separately present commercial expense. The prior periods have been recast to reflect this update.</w:t>
      </w:r>
    </w:p>
    <w:p>
      <w:pPr>
        <w:spacing w:after="0" w:line="69"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-3175</wp:posOffset>
            </wp:positionV>
            <wp:extent cx="450024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Bitopertin program external expense</w:t>
            </w:r>
          </w:p>
        </w:tc>
        <w:tc>
          <w:tcPr>
            <w:tcW w:w="148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(58,827)</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(28,105)</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(17,271)</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DISC-0974 program external expense</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(27,586)</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(9,136)</w:t>
            </w: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DISC-3405 program external expense</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(17,693)</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(20,168)</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external research and development expense</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and other research and development expense</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(36,947)</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(23,782)</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(16,170)</w:t>
            </w: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expense</w:t>
            </w:r>
          </w:p>
        </w:tc>
        <w:tc>
          <w:tcPr>
            <w:tcW w:w="148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8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(32,152)</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(21,358)</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(17,091)</w:t>
            </w: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8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(34,340)</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w:t>
            </w: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148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23,838</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20,363</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14,696</w:t>
            </w: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(212,184)</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(109,357)</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(76,429)</w:t>
            </w: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-24765</wp:posOffset>
            </wp:positionV>
            <wp:extent cx="1200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-8255</wp:posOffset>
            </wp:positionV>
            <wp:extent cx="12001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1200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12001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segment items include interest income, interest expense, other income (expense), and income tax expense as reported on the consolidated statements of operations and comprehensive loss.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regularly provided to the CODM are consistent with those reported on the consolidated balance sheets with particular emphasis on the Company’s available liquidity, including its cash, cash equivalents and marketable securities balances. All of the Company’s tangible assets are held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during the years ended December 31, 2025, 2024 and 2023 and, to the best of its knowledge, no material legal proceedings are currently pending or threatened.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Upon Termination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("CROs"), contract development and manufacturing organizations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 cancellation and, in the case of certain arrangements with CROs and CDMOs, may include noncancelable fees. Under such agreements, the exact amounts owed by the Company in the event of termination will be based on the timing of the termination and the exact terms of the agreement. As of December 31, 2025, the Company has not recognized any amounts related to these contingencies as the amount and timing of such payments are not fixed and estimable.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Certain existing investors have participated in the Company's underwritten offerings in October 2025, January 2025, June 2024, June 2023 and February 2023 (see </w:t>
      </w:r>
      <w:r>
        <w:rPr>
          <w:rFonts w:ascii="Times New Roman" w:cs="Times New Roman" w:eastAsia="Times New Roman" w:hAnsi="Times New Roman"/>
          <w:sz w:val="18"/>
          <w:szCs w:val="18"/>
          <w:i w:val="1"/>
          <w:iCs w:val="1"/>
          <w:color w:val="auto"/>
        </w:rPr>
        <w:t>Note 9 - Stockholders' Equity</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2023, the Company executed a promissory note for an aggregate principal amount of $0.5 million from an existing investor. The Company did not use these funds and repaid the note four days later, recording a de minimis amount of interest expense based on the then Federal funds rate for short term loans of 4.5% per annum.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an operating lease and sublease for office space which serves as the Company's corporate headquarters. The Company's sublease and lease expire in November 2026 and December 2029, respectively. The Company's leases do not contain any material residual value guarantees or restrictive covenants. Operating leases are recognized on the consolidated balance sheets as right-of-use assets, operating leases, operating lease liabilities, current and operating lease liabilities, non-current. Operating lease expense is recognized on a straight-line basis over the lease term within the Company’s consolidated statements of operations and comprehensive loss.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the Company amended its lease for 7,566 square feet of office space used as its corporate headquarters, extending the lease term from November 30, 2026 to December 31, 2029. In connection with this amendment, the Company entered into a forward-starting lease for office space currently under sublease, which is expected to commence on December 1, 2026 and expire on December 31, 2029. The Company expects total undiscounted payments of $1.3 million over the lease term. As of December 31, 2025, the forward-starting lease is not recorded on the consolidated balance sheets and will be recognized upon lease commencement.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11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wp:posOffset>
            </wp:positionV>
            <wp:extent cx="340296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5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668</w:t>
            </w:r>
          </w:p>
        </w:tc>
        <w:tc>
          <w:tcPr>
            <w:tcW w:w="5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center"/>
              <w:ind w:left="795"/>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486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left="795"/>
              <w:spacing w:after="0"/>
              <w:rPr>
                <w:sz w:val="20"/>
                <w:szCs w:val="20"/>
                <w:color w:val="auto"/>
              </w:rPr>
            </w:pPr>
            <w:r>
              <w:rPr>
                <w:rFonts w:ascii="Times New Roman" w:cs="Times New Roman" w:eastAsia="Times New Roman" w:hAnsi="Times New Roman"/>
                <w:sz w:val="18"/>
                <w:szCs w:val="18"/>
                <w:color w:val="auto"/>
              </w:rPr>
              <w:t>159</w:t>
            </w:r>
          </w:p>
        </w:tc>
      </w:tr>
      <w:tr>
        <w:trPr>
          <w:trHeight w:val="25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1,154</w:t>
            </w:r>
          </w:p>
        </w:tc>
        <w:tc>
          <w:tcPr>
            <w:tcW w:w="5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center"/>
              <w:ind w:left="795"/>
              <w:spacing w:after="0"/>
              <w:rPr>
                <w:sz w:val="20"/>
                <w:szCs w:val="20"/>
                <w:color w:val="auto"/>
              </w:rPr>
            </w:pPr>
            <w:r>
              <w:rPr>
                <w:rFonts w:ascii="Times New Roman" w:cs="Times New Roman" w:eastAsia="Times New Roman" w:hAnsi="Times New Roman"/>
                <w:sz w:val="18"/>
                <w:szCs w:val="18"/>
                <w:color w:val="auto"/>
              </w:rPr>
              <w:t>581</w:t>
            </w:r>
          </w:p>
        </w:tc>
      </w:tr>
      <w:tr>
        <w:trPr>
          <w:trHeight w:val="305"/>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 were as follows:</w:t>
            </w:r>
          </w:p>
        </w:tc>
        <w:tc>
          <w:tcPr>
            <w:tcW w:w="6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310"/>
        </w:trPr>
        <w:tc>
          <w:tcPr>
            <w:tcW w:w="5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86"/>
        </w:trPr>
        <w:tc>
          <w:tcPr>
            <w:tcW w:w="5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8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3.2 years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3.5 years</w:t>
            </w: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center"/>
              <w:ind w:left="795"/>
              <w:spacing w:after="0"/>
              <w:rPr>
                <w:sz w:val="20"/>
                <w:szCs w:val="20"/>
                <w:color w:val="auto"/>
              </w:rPr>
            </w:pPr>
            <w:r>
              <w:rPr>
                <w:rFonts w:ascii="Times New Roman" w:cs="Times New Roman" w:eastAsia="Times New Roman" w:hAnsi="Times New Roman"/>
                <w:sz w:val="18"/>
                <w:szCs w:val="18"/>
                <w:color w:val="auto"/>
              </w:rPr>
              <w:t>10.3%</w:t>
            </w:r>
          </w:p>
        </w:tc>
      </w:tr>
      <w:tr>
        <w:trPr>
          <w:trHeight w:val="630"/>
        </w:trPr>
        <w:tc>
          <w:tcPr>
            <w:tcW w:w="582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763"/>
        </w:trPr>
        <w:tc>
          <w:tcPr>
            <w:tcW w:w="5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-1765300</wp:posOffset>
            </wp:positionV>
            <wp:extent cx="14605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-1748155</wp:posOffset>
            </wp:positionV>
            <wp:extent cx="14605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-1765300</wp:posOffset>
            </wp:positionV>
            <wp:extent cx="1371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-1748155</wp:posOffset>
            </wp:positionV>
            <wp:extent cx="13716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t>The following table presents the future minimum lease payments under the Company's lease liabilities as of December 31, 2025,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737</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8"/>
                <w:szCs w:val="18"/>
                <w:color w:val="auto"/>
              </w:rPr>
            </w:pP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1,812</w:t>
            </w:r>
          </w:p>
        </w:tc>
      </w:tr>
      <w:tr>
        <w:trPr>
          <w:trHeight w:val="21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0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1,518</w:t>
            </w:r>
          </w:p>
        </w:tc>
      </w:tr>
      <w:tr>
        <w:trPr>
          <w:trHeight w:val="20"/>
        </w:trPr>
        <w:tc>
          <w:tcPr>
            <w:tcW w:w="9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above does not include contractual rent payments under the forward-starting lease which are expected to total $1.3 million on an undiscounted basis. The Company has also recorded deferred lease incentives associated with the forward-starting lease of $0.3 million within operating lease liabilities, non-current on the consolidated balance sheets.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Milestone Payment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DISC-3405</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February 2026, the Company completed the first administration to a patient in the Phase 1b clinical trial of DISC-3405 in a second indication, sickle cell disease. Per the license agreement, a milestone payment of $5.0 million is payable to Mabwell. For additional details on the license agreement with Mabwell, refer to </w:t>
      </w:r>
      <w:r>
        <w:rPr>
          <w:rFonts w:ascii="Times New Roman" w:cs="Times New Roman" w:eastAsia="Times New Roman" w:hAnsi="Times New Roman"/>
          <w:sz w:val="18"/>
          <w:szCs w:val="18"/>
          <w:i w:val="1"/>
          <w:iCs w:val="1"/>
          <w:color w:val="auto"/>
        </w:rPr>
        <w:t>Note 7 - Licensing Activities and Business Development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7" w:name="page148"/>
    <w:bookmarkEnd w:id="147"/>
    <w:p>
      <w:pPr>
        <w:ind w:right="10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4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(our Chief Executive Officer) and Principal Financial Officer (our Chief Financial Officer), has evaluated the effectiveness of our disclosure controls and procedures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Principal Executive Officer and Principal Financial Officer have concluded that as of December 31, 2025, our disclosure controls and procedures were effective at the reasonable assurance level.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Previously Identified Material Weakness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December 31, 2024, we identified a material weakness in internal control related to a lack of design and maintenance of effective ITGC's over certain key financial IT systems. Consequently, our IT application controls and IT dependent manual controls that rely upon the ineffective ITGC's, or that use information from the systems impacted by the ineffective ITGC's were also deemed ineffective because they could have been adversely impacted. This material weakness did not result in any identified misstatements to our financial statements or disclosures and there were no changes to previously released financial results.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with the oversight of the audit committee of the board of directors, is committed to maintaining a strong internal control environment. In response to the material weakness identified above, we identified and implemented remediation measures which included: (i) developing and implementing additional training and awareness programs addressing ITGCs and policies, including educating control owners concerning the principles and requirements of each control, with a focus on understanding user access and program changes; (ii) engaging third-party consultants to assist with remediation efforts, including enhancing our risk assessment, evaluating gaps in our current processes and controls, and developing a remediation plan; (iii) expanding available resources through internal hiring and; (iv) enhancing quarterly reporting on the remediation measures to the Audit Committee of the Board of Directors.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management has concluded that the material weakness has been fully remediated. The enhanced controls have been in place for a sufficient period of time and, based on management’s testing, were operating effectively.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 13a-15(f) under the Exchange Act. We maintain a system of internal control that is designed to provide reasonable assurance regarding the reliability of our financial reporting and the preparation of consolidated financial statements for external purposes in accordance with generally accepted accounting principles.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2025. In making this assessment, it used the criteria established in Internal Control—Integrated Framework (2013) issued by the Committee of Sponsoring Organizations of the Treadway Commission (COSO). Based on such assessment, our Principal Executive Officer and Principal Financial Officer concluded that, as of December 31, 2025, our internal control over financial reporting was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as discussed above, there have not been any changes in our internal control over financial reporting (as defined in Rules 13a-15(f) and 15d-15(f) under the Exchange Act) occurred during the twelve months ended December 31, 2025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Disc Medicine,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Disc Medicine, Inc.’s internal control over financial reporting as of December 31, 2025, based on criteria established in Internal Control— Integrated Framework issued by the Committee of Sponsoring Organizations of the Treadway Commission (2013 framework) (the COSO criteria). In our opinion, Disc Medicine, Inc. (the Company) maintained, in all material respects, effective internal control over financial reporting as of December 31, 2025, based on the COSO criteria.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and comprehensive loss, stockholders’ equity and cash flows for each of the three years in the period ended December 31, 2025, and the related notes and our report dated February 26, 2026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9" w:name="page150"/>
    <w:bookmarkEnd w:id="149"/>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discloses any officer (as defined in Rule 16a-1(f) under the Exchange Act) or director who entered into, modified or terminated a Rule 10b5-1 trading arrangement or non-Rule 10b5-1 trading arrangement (as such terms are defined in Item 408 of Regulation S-K) during the three months ended December 31, 2025:</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w:t>
            </w:r>
          </w:p>
        </w:tc>
        <w:tc>
          <w:tcPr>
            <w:tcW w:w="0" w:type="dxa"/>
            <w:vAlign w:val="bottom"/>
          </w:tcPr>
          <w:p>
            <w:pPr>
              <w:spacing w:after="0"/>
              <w:rPr>
                <w:sz w:val="1"/>
                <w:szCs w:val="1"/>
                <w:color w:val="auto"/>
              </w:rPr>
            </w:pPr>
          </w:p>
        </w:tc>
      </w:tr>
      <w:tr>
        <w:trPr>
          <w:trHeight w:val="68"/>
        </w:trPr>
        <w:tc>
          <w:tcPr>
            <w:tcW w:w="3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4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Action Taken</w:t>
            </w:r>
          </w:p>
        </w:tc>
        <w:tc>
          <w:tcPr>
            <w:tcW w:w="120" w:type="dxa"/>
            <w:vAlign w:val="bottom"/>
          </w:tcPr>
          <w:p>
            <w:pPr>
              <w:spacing w:after="0"/>
              <w:rPr>
                <w:sz w:val="5"/>
                <w:szCs w:val="5"/>
                <w:color w:val="auto"/>
              </w:rPr>
            </w:pPr>
          </w:p>
        </w:tc>
        <w:tc>
          <w:tcPr>
            <w:tcW w:w="12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Duration or End</w:t>
            </w:r>
          </w:p>
        </w:tc>
        <w:tc>
          <w:tcPr>
            <w:tcW w:w="120" w:type="dxa"/>
            <w:vAlign w:val="bottom"/>
          </w:tcPr>
          <w:p>
            <w:pPr>
              <w:spacing w:after="0"/>
              <w:rPr>
                <w:sz w:val="5"/>
                <w:szCs w:val="5"/>
                <w:color w:val="auto"/>
              </w:rPr>
            </w:pPr>
          </w:p>
        </w:tc>
        <w:tc>
          <w:tcPr>
            <w:tcW w:w="10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6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and Title</w:t>
            </w:r>
          </w:p>
        </w:tc>
        <w:tc>
          <w:tcPr>
            <w:tcW w:w="316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Type of Trading Arrangement</w:t>
            </w:r>
          </w:p>
        </w:tc>
        <w:tc>
          <w:tcPr>
            <w:tcW w:w="1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0" w:type="dxa"/>
            <w:vAlign w:val="bottom"/>
          </w:tcPr>
          <w:p>
            <w:pPr>
              <w:spacing w:after="0"/>
              <w:rPr>
                <w:sz w:val="1"/>
                <w:szCs w:val="1"/>
                <w:color w:val="auto"/>
              </w:rPr>
            </w:pPr>
          </w:p>
        </w:tc>
      </w:tr>
      <w:tr>
        <w:trPr>
          <w:trHeight w:val="68"/>
        </w:trPr>
        <w:tc>
          <w:tcPr>
            <w:tcW w:w="3060" w:type="dxa"/>
            <w:vAlign w:val="bottom"/>
            <w:vMerge w:val="continue"/>
          </w:tcPr>
          <w:p>
            <w:pPr>
              <w:spacing w:after="0"/>
              <w:rPr>
                <w:sz w:val="5"/>
                <w:szCs w:val="5"/>
                <w:color w:val="auto"/>
              </w:rPr>
            </w:pPr>
          </w:p>
        </w:tc>
        <w:tc>
          <w:tcPr>
            <w:tcW w:w="3160" w:type="dxa"/>
            <w:vAlign w:val="bottom"/>
            <w:gridSpan w:val="2"/>
            <w:vMerge w:val="continue"/>
          </w:tcPr>
          <w:p>
            <w:pPr>
              <w:spacing w:after="0"/>
              <w:rPr>
                <w:sz w:val="5"/>
                <w:szCs w:val="5"/>
                <w:color w:val="auto"/>
              </w:rPr>
            </w:pPr>
          </w:p>
        </w:tc>
        <w:tc>
          <w:tcPr>
            <w:tcW w:w="14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(Date of Action)</w:t>
            </w:r>
          </w:p>
        </w:tc>
        <w:tc>
          <w:tcPr>
            <w:tcW w:w="120" w:type="dxa"/>
            <w:vAlign w:val="bottom"/>
          </w:tcPr>
          <w:p>
            <w:pPr>
              <w:spacing w:after="0"/>
              <w:rPr>
                <w:sz w:val="5"/>
                <w:szCs w:val="5"/>
                <w:color w:val="auto"/>
              </w:rPr>
            </w:pPr>
          </w:p>
        </w:tc>
        <w:tc>
          <w:tcPr>
            <w:tcW w:w="12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5"/>
                <w:szCs w:val="5"/>
                <w:color w:val="auto"/>
              </w:rPr>
            </w:pPr>
          </w:p>
        </w:tc>
        <w:tc>
          <w:tcPr>
            <w:tcW w:w="10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0" w:type="dxa"/>
            <w:vAlign w:val="bottom"/>
          </w:tcPr>
          <w:p>
            <w:pPr>
              <w:spacing w:after="0"/>
              <w:rPr>
                <w:sz w:val="1"/>
                <w:szCs w:val="1"/>
                <w:color w:val="auto"/>
              </w:rPr>
            </w:pPr>
          </w:p>
        </w:tc>
      </w:tr>
      <w:tr>
        <w:trPr>
          <w:trHeight w:val="109"/>
        </w:trPr>
        <w:tc>
          <w:tcPr>
            <w:tcW w:w="3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306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8"/>
                <w:szCs w:val="18"/>
                <w:color w:val="auto"/>
              </w:rPr>
              <w:t>William Savage, M.D., Ph.D.</w:t>
            </w:r>
          </w:p>
        </w:tc>
        <w:tc>
          <w:tcPr>
            <w:tcW w:w="3160" w:type="dxa"/>
            <w:vAlign w:val="bottom"/>
            <w:gridSpan w:val="2"/>
            <w:shd w:val="clear" w:color="auto" w:fill="CFF0FC"/>
          </w:tcPr>
          <w:p>
            <w:pPr>
              <w:ind w:left="120"/>
              <w:spacing w:after="0" w:line="171" w:lineRule="exact"/>
              <w:rPr>
                <w:sz w:val="20"/>
                <w:szCs w:val="20"/>
                <w:color w:val="auto"/>
              </w:rPr>
            </w:pPr>
            <w:r>
              <w:rPr>
                <w:rFonts w:ascii="Times New Roman" w:cs="Times New Roman" w:eastAsia="Times New Roman" w:hAnsi="Times New Roman"/>
                <w:sz w:val="18"/>
                <w:szCs w:val="18"/>
                <w:color w:val="auto"/>
              </w:rPr>
              <w:t>Trading plan intended to satisfy the</w:t>
            </w:r>
          </w:p>
        </w:tc>
        <w:tc>
          <w:tcPr>
            <w:tcW w:w="1420" w:type="dxa"/>
            <w:vAlign w:val="bottom"/>
            <w:gridSpan w:val="2"/>
            <w:shd w:val="clear" w:color="auto" w:fill="CFF0FC"/>
          </w:tcPr>
          <w:p>
            <w:pPr>
              <w:ind w:left="120"/>
              <w:spacing w:after="0" w:line="171" w:lineRule="exact"/>
              <w:rPr>
                <w:sz w:val="20"/>
                <w:szCs w:val="20"/>
                <w:color w:val="auto"/>
              </w:rPr>
            </w:pPr>
            <w:r>
              <w:rPr>
                <w:rFonts w:ascii="Times New Roman" w:cs="Times New Roman" w:eastAsia="Times New Roman" w:hAnsi="Times New Roman"/>
                <w:sz w:val="18"/>
                <w:szCs w:val="18"/>
                <w:color w:val="auto"/>
              </w:rPr>
              <w:t>Adoption</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8"/>
                <w:szCs w:val="18"/>
                <w:color w:val="auto"/>
              </w:rPr>
              <w:t>End Date</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center"/>
              <w:spacing w:after="0" w:line="171" w:lineRule="exact"/>
              <w:rPr>
                <w:sz w:val="20"/>
                <w:szCs w:val="20"/>
                <w:color w:val="auto"/>
              </w:rPr>
            </w:pPr>
            <w:r>
              <w:rPr>
                <w:rFonts w:ascii="Times New Roman" w:cs="Times New Roman" w:eastAsia="Times New Roman" w:hAnsi="Times New Roman"/>
                <w:sz w:val="18"/>
                <w:szCs w:val="18"/>
                <w:color w:val="auto"/>
              </w:rPr>
              <w:t>Up to</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center"/>
              <w:spacing w:after="0" w:line="171" w:lineRule="exact"/>
              <w:rPr>
                <w:sz w:val="20"/>
                <w:szCs w:val="20"/>
                <w:color w:val="auto"/>
              </w:rPr>
            </w:pPr>
            <w:r>
              <w:rPr>
                <w:rFonts w:ascii="Times New Roman" w:cs="Times New Roman" w:eastAsia="Times New Roman" w:hAnsi="Times New Roman"/>
                <w:sz w:val="18"/>
                <w:szCs w:val="18"/>
                <w:color w:val="auto"/>
                <w:w w:val="96"/>
              </w:rPr>
              <w:t>Sale</w:t>
            </w:r>
          </w:p>
        </w:tc>
        <w:tc>
          <w:tcPr>
            <w:tcW w:w="0" w:type="dxa"/>
            <w:vAlign w:val="bottom"/>
          </w:tcPr>
          <w:p>
            <w:pPr>
              <w:spacing w:after="0"/>
              <w:rPr>
                <w:sz w:val="1"/>
                <w:szCs w:val="1"/>
                <w:color w:val="auto"/>
              </w:rPr>
            </w:pPr>
          </w:p>
        </w:tc>
      </w:tr>
      <w:tr>
        <w:trPr>
          <w:trHeight w:val="23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Medical Officer</w:t>
            </w:r>
          </w:p>
        </w:tc>
        <w:tc>
          <w:tcPr>
            <w:tcW w:w="3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affirmative defense conditions of</w:t>
            </w:r>
          </w:p>
        </w:tc>
        <w:tc>
          <w:tcPr>
            <w:tcW w:w="1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(October 2,</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1, 2026)</w:t>
            </w:r>
          </w:p>
        </w:tc>
        <w:tc>
          <w:tcPr>
            <w:tcW w:w="1120" w:type="dxa"/>
            <w:vAlign w:val="bottom"/>
            <w:gridSpan w:val="2"/>
            <w:shd w:val="clear" w:color="auto" w:fill="CFF0FC"/>
          </w:tcPr>
          <w:p>
            <w:pPr>
              <w:jc w:val="center"/>
              <w:ind w:left="30"/>
              <w:spacing w:after="0" w:line="236" w:lineRule="exact"/>
              <w:rPr>
                <w:sz w:val="20"/>
                <w:szCs w:val="20"/>
                <w:color w:val="auto"/>
              </w:rPr>
            </w:pPr>
            <w:r>
              <w:rPr>
                <w:rFonts w:ascii="Times New Roman" w:cs="Times New Roman" w:eastAsia="Times New Roman" w:hAnsi="Times New Roman"/>
                <w:sz w:val="18"/>
                <w:szCs w:val="18"/>
                <w:color w:val="auto"/>
                <w:w w:val="97"/>
              </w:rPr>
              <w:t>16,365</w:t>
            </w:r>
            <w:r>
              <w:rPr>
                <w:rFonts w:ascii="Times New Roman" w:cs="Times New Roman" w:eastAsia="Times New Roman" w:hAnsi="Times New Roman"/>
                <w:sz w:val="24"/>
                <w:szCs w:val="24"/>
                <w:color w:val="auto"/>
                <w:w w:val="97"/>
                <w:vertAlign w:val="superscript"/>
              </w:rPr>
              <w:t>1</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FF0FC"/>
          </w:tcPr>
          <w:p>
            <w:pPr>
              <w:spacing w:after="0"/>
              <w:rPr>
                <w:sz w:val="20"/>
                <w:szCs w:val="20"/>
                <w:color w:val="auto"/>
              </w:rPr>
            </w:pPr>
          </w:p>
        </w:tc>
        <w:tc>
          <w:tcPr>
            <w:tcW w:w="3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Securities Exchange Act Rule 10b5-1(c)</w:t>
            </w:r>
          </w:p>
        </w:tc>
        <w:tc>
          <w:tcPr>
            <w:tcW w:w="1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8"/>
        <w:spacing w:after="0" w:line="266" w:lineRule="auto"/>
        <w:tabs>
          <w:tab w:leader="none" w:pos="25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available for sale cannot yet be determined, as it will be reduced by the number of shares sold to cover tax withholding obligations upon the vesting of Restricted Stock Units (RSUs). For disclosure purposes, the figures in this table reflect the maximum number of shares underlying the RSUs, without deducting shares that may be sold to cover taxes.</w:t>
      </w:r>
    </w:p>
    <w:p>
      <w:pPr>
        <w:spacing w:after="0" w:line="64" w:lineRule="exact"/>
        <w:rPr>
          <w:sz w:val="20"/>
          <w:szCs w:val="20"/>
          <w:color w:val="auto"/>
        </w:rPr>
      </w:pPr>
    </w:p>
    <w:p>
      <w:pPr>
        <w:ind w:right="27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0" w:name="page151"/>
    <w:bookmarkEnd w:id="15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pursuant to Regulation 14A, which proxy statement will be filed with the Securities and Exchange Commission, or SEC, not later than 120 days after the close of our fiscal year ended December 31, 2025.</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executive compensation will be included in our definitive proxy statement for our 2026 Annual Meeting of Stockholders, which we intend to file with the SEC within 120 days after December 31, 2025, and such information is incorporated herein by reference (excluding pay versus performance disclosure).</w:t>
      </w:r>
    </w:p>
    <w:p>
      <w:pPr>
        <w:spacing w:after="0" w:line="172" w:lineRule="exact"/>
        <w:rPr>
          <w:sz w:val="20"/>
          <w:szCs w:val="20"/>
          <w:color w:val="auto"/>
        </w:rPr>
      </w:pPr>
    </w:p>
    <w:p>
      <w:pPr>
        <w:jc w:val="both"/>
        <w:ind w:left="1120" w:hanging="1272"/>
        <w:spacing w:after="0" w:line="286" w:lineRule="auto"/>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security ownership of certain beneficial owners and management and related stockholder matters will be included in our definitive proxy statement for our 2026 Annual Meeting of Stockholders, which we intend to file with the SEC within 120 days after December 31, 2025, and such information is incorporated herein by reference.</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certain relationships and related transactions, and director independence will be included in our definitive proxy statement for our 2026 Annual Meeting of Stockholders, which we intend to file with the SEC within 120 days after December 31, 2025, and such information is incorporated herein by reference.</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ACCOUNTING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public accounting firm is Ernst &amp; Young, LLP, Boston, MA, PCAOB Auditor ID: 42.</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2026 Annual Meeting of Stockholders, which we intend to file with the SEC within 120 days after December 31, 2025, and such information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1" w:name="page152"/>
    <w:bookmarkEnd w:id="151"/>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 FINANCIAL STATEMENT SCHEDULES</w:t>
      </w:r>
    </w:p>
    <w:p>
      <w:pPr>
        <w:spacing w:after="0" w:line="119"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list of the financial statements included herein, see Index to the Consolidated Financial Statements on page 112 of this Annual Report on Form 10-K, incorporated into this Item by reference.</w:t>
      </w:r>
    </w:p>
    <w:p>
      <w:pPr>
        <w:spacing w:after="0" w:line="160"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 Schedules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160"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80" w:type="dxa"/>
            <w:vAlign w:val="bottom"/>
            <w:gridSpan w:val="10"/>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8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10000" w:type="dxa"/>
            <w:vAlign w:val="bottom"/>
            <w:gridSpan w:val="13"/>
          </w:tcPr>
          <w:p>
            <w:pPr>
              <w:ind w:left="20"/>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Agreement and Plan of Merger and reorganization, dated as of August 9, 2022, by and among Gemini Therapeutics, Inc. Gemstone</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tcBorders>
              <w:bottom w:val="single" w:sz="8" w:color="0000FF"/>
            </w:tcBorders>
            <w:gridSpan w:val="13"/>
          </w:tcPr>
          <w:p>
            <w:pPr>
              <w:ind w:left="20"/>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Merger Sub, Inc. and Disc Medicine, Inc. (incorporated by reference to Annex A to the Registrant’s Proxy Statement/Prospectus on Form</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S-4 filed on September 2,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10000" w:type="dxa"/>
            <w:vAlign w:val="bottom"/>
            <w:tcBorders>
              <w:bottom w:val="single" w:sz="8" w:color="0000FF"/>
            </w:tcBorders>
            <w:gridSpan w:val="13"/>
          </w:tcPr>
          <w:p>
            <w:pPr>
              <w:ind w:left="20"/>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Amended and Restated Certificate of Incorporation of Disc Medicine, Inc., dated February 5, 2021 (incorporated by reference to Exhibit</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Current Report on Form 8-K filed on February 11, 2021).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10000" w:type="dxa"/>
            <w:vAlign w:val="bottom"/>
            <w:tcBorders>
              <w:bottom w:val="single" w:sz="8" w:color="0000FF"/>
            </w:tcBorders>
            <w:gridSpan w:val="13"/>
          </w:tcPr>
          <w:p>
            <w:pPr>
              <w:ind w:left="20"/>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Certificate of Amendment to the Amended and Restated Certificate of Incorporation of Disc Medicine, Inc., dated December 28, 2022</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(incorporated by reference to Exhibit 3.1 to the Registrant’s Current Report on Form 8-K filed on December 29,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4"/>
                <w:szCs w:val="24"/>
                <w:color w:val="auto"/>
              </w:rPr>
            </w:pPr>
          </w:p>
        </w:tc>
        <w:tc>
          <w:tcPr>
            <w:tcW w:w="10000" w:type="dxa"/>
            <w:vAlign w:val="bottom"/>
            <w:tcBorders>
              <w:bottom w:val="single" w:sz="8" w:color="0000FF"/>
            </w:tcBorders>
            <w:gridSpan w:val="13"/>
          </w:tcPr>
          <w:p>
            <w:pPr>
              <w:ind w:left="20"/>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Certificate of Amendment to the Amended and Restated Certificate of Incorporation of Disc Medicine, Inc., dated December 29, 2022</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(incorporated by reference to Exhibit 3.2 to the Registrant’s Current Report on Form 8-K filed on December 29,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24"/>
                <w:szCs w:val="24"/>
                <w:color w:val="auto"/>
              </w:rPr>
            </w:pPr>
          </w:p>
        </w:tc>
        <w:tc>
          <w:tcPr>
            <w:tcW w:w="10000" w:type="dxa"/>
            <w:vAlign w:val="bottom"/>
            <w:tcBorders>
              <w:bottom w:val="single" w:sz="8" w:color="0000FF"/>
            </w:tcBorders>
            <w:gridSpan w:val="13"/>
          </w:tcPr>
          <w:p>
            <w:pPr>
              <w:ind w:left="20"/>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Amended  and  Restated  By-laws  of  Disc  Medicine,  Inc.  (incorporated  by  reference  to  Annex  C  to  the  Registrant's  Proxy</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Statement/Prospectus on Form S-4/A filed on January 19, 2021 (Registration No. 333-249785)).</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10000" w:type="dxa"/>
            <w:vAlign w:val="bottom"/>
            <w:tcBorders>
              <w:bottom w:val="single" w:sz="8" w:color="0000FF"/>
            </w:tcBorders>
            <w:gridSpan w:val="13"/>
          </w:tcPr>
          <w:p>
            <w:pPr>
              <w:ind w:left="20"/>
              <w:spacing w:after="0"/>
              <w:rPr>
                <w:rFonts w:ascii="Times New Roman" w:cs="Times New Roman" w:eastAsia="Times New Roman" w:hAnsi="Times New Roman"/>
                <w:sz w:val="18"/>
                <w:szCs w:val="18"/>
                <w:color w:val="0000FF"/>
                <w:w w:val="99"/>
              </w:rPr>
            </w:pPr>
            <w:hyperlink r:id="rId358">
              <w:r>
                <w:rPr>
                  <w:rFonts w:ascii="Times New Roman" w:cs="Times New Roman" w:eastAsia="Times New Roman" w:hAnsi="Times New Roman"/>
                  <w:sz w:val="18"/>
                  <w:szCs w:val="18"/>
                  <w:color w:val="0000FF"/>
                  <w:w w:val="99"/>
                </w:rPr>
                <w:t>Description of the Registrant’s Securities Registered Pursuant to Section 12 of the Exchange Act (incorporated by reference to Exhibit 4.4</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to Gemini Therapeutics, Inc.’s Annual Report on Form 10-K filed on March 10,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78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10000" w:type="dxa"/>
            <w:vAlign w:val="bottom"/>
            <w:tcBorders>
              <w:bottom w:val="single" w:sz="8" w:color="0000FF"/>
            </w:tcBorders>
            <w:gridSpan w:val="13"/>
          </w:tcPr>
          <w:p>
            <w:pPr>
              <w:ind w:left="20"/>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Registration Rights Agreement, among Disc Medicine, Inc. and certain of its stockholders, dated December 28, 2022 (incorporated by</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reference to Exhibit 10.1 to the Registrant’s Current Report on Form 8-K filed on December 29,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980" w:type="dxa"/>
            <w:vAlign w:val="bottom"/>
            <w:tcBorders>
              <w:right w:val="single" w:sz="8" w:color="0000FF"/>
            </w:tcBorders>
            <w:gridSpan w:val="3"/>
            <w:shd w:val="clear" w:color="auto" w:fill="0000FF"/>
          </w:tcPr>
          <w:p>
            <w:pPr>
              <w:spacing w:after="0" w:line="20" w:lineRule="exact"/>
              <w:rPr>
                <w:sz w:val="1"/>
                <w:szCs w:val="1"/>
                <w:color w:val="auto"/>
              </w:rPr>
            </w:pPr>
          </w:p>
        </w:tc>
        <w:tc>
          <w:tcPr>
            <w:tcW w:w="940" w:type="dxa"/>
            <w:vAlign w:val="bottom"/>
            <w:tcBorders>
              <w:right w:val="single" w:sz="8" w:color="0000EE"/>
            </w:tcBorders>
            <w:gridSpan w:val="2"/>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4"/>
                <w:szCs w:val="24"/>
                <w:color w:val="auto"/>
              </w:rPr>
            </w:pPr>
          </w:p>
        </w:tc>
        <w:tc>
          <w:tcPr>
            <w:tcW w:w="10000" w:type="dxa"/>
            <w:vAlign w:val="bottom"/>
            <w:tcBorders>
              <w:bottom w:val="single" w:sz="8" w:color="0000FF"/>
            </w:tcBorders>
            <w:gridSpan w:val="13"/>
          </w:tcPr>
          <w:p>
            <w:pPr>
              <w:ind w:left="20"/>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Registration Rights Agreement, dated February 5, 2021, by and among Gemini Therapeutics, Inc. and the stockholder parties thereto</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(incorporated by reference to Exhibit 10.1 on Form 8-A12B/A filed on February 5, 2021).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980" w:type="dxa"/>
            <w:vAlign w:val="bottom"/>
            <w:tcBorders>
              <w:right w:val="single" w:sz="8" w:color="0000EE"/>
            </w:tcBorders>
            <w:gridSpan w:val="3"/>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4"/>
                <w:szCs w:val="24"/>
                <w:color w:val="auto"/>
              </w:rPr>
            </w:pPr>
          </w:p>
        </w:tc>
        <w:tc>
          <w:tcPr>
            <w:tcW w:w="10000" w:type="dxa"/>
            <w:vAlign w:val="bottom"/>
            <w:tcBorders>
              <w:bottom w:val="single" w:sz="8" w:color="0000FF"/>
            </w:tcBorders>
            <w:gridSpan w:val="13"/>
          </w:tcPr>
          <w:p>
            <w:pPr>
              <w:ind w:left="20"/>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Form of Pre-Funded Warrant (incorporated by reference to Exhibit 4.1 to the Registrant’s Current Report on Form 8-K (File No. 001-</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39438) filed February 14, 2023).</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4"/>
                <w:szCs w:val="24"/>
                <w:color w:val="auto"/>
              </w:rPr>
            </w:pPr>
          </w:p>
        </w:tc>
        <w:tc>
          <w:tcPr>
            <w:tcW w:w="10000" w:type="dxa"/>
            <w:vAlign w:val="bottom"/>
            <w:tcBorders>
              <w:bottom w:val="single" w:sz="8" w:color="0000FF"/>
            </w:tcBorders>
            <w:gridSpan w:val="13"/>
          </w:tcPr>
          <w:p>
            <w:pPr>
              <w:ind w:left="20"/>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Form of Pre-Funded Warrant (incorporated by reference to Exhibit 4.1 to the Registrant's Current Report on Form 8-K (File No. 001-</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39438) filed on January 24, 2025).</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gridSpan w:val="2"/>
            <w:shd w:val="clear" w:color="auto" w:fill="0000FF"/>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10000" w:type="dxa"/>
            <w:vAlign w:val="bottom"/>
            <w:tcBorders>
              <w:bottom w:val="single" w:sz="8" w:color="0000FF"/>
            </w:tcBorders>
            <w:gridSpan w:val="13"/>
          </w:tcPr>
          <w:p>
            <w:pPr>
              <w:ind w:left="20"/>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License Agreement by and among Disc Medicine, Inc., F. Hoffmann-La Roche Ltd and Hoffmann-La Roche Inc., dated May 7, 2021</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(incorporated by reference to Exhibit 10.2 to the Registrant’s Proxy Statement/Prospectus on Form S-4 filed on September 2,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980" w:type="dxa"/>
            <w:vAlign w:val="bottom"/>
            <w:tcBorders>
              <w:right w:val="single" w:sz="8" w:color="0000FF"/>
            </w:tcBorders>
            <w:gridSpan w:val="7"/>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10000" w:type="dxa"/>
            <w:vAlign w:val="bottom"/>
            <w:tcBorders>
              <w:bottom w:val="single" w:sz="8" w:color="0000FF"/>
            </w:tcBorders>
            <w:gridSpan w:val="13"/>
          </w:tcPr>
          <w:p>
            <w:pPr>
              <w:ind w:left="20"/>
              <w:spacing w:after="0"/>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License Agreement by and between Disc Medicine, Inc. and AbbVie Deutschland GmbH &amp; Co, KG, dated September 13, 2019</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(incorporated by reference to Exhibit 10.3 to the Registrant’s Proxy Statement/Prospectus on Form S-4 filed on November 23,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980" w:type="dxa"/>
            <w:vAlign w:val="bottom"/>
            <w:tcBorders>
              <w:right w:val="single" w:sz="8" w:color="0000FF"/>
            </w:tcBorders>
            <w:gridSpan w:val="7"/>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10000" w:type="dxa"/>
            <w:vAlign w:val="bottom"/>
            <w:tcBorders>
              <w:bottom w:val="single" w:sz="8" w:color="0000FF"/>
            </w:tcBorders>
            <w:gridSpan w:val="13"/>
          </w:tcPr>
          <w:p>
            <w:pPr>
              <w:ind w:left="20"/>
              <w:spacing w:after="0"/>
              <w:rPr>
                <w:rFonts w:ascii="Times New Roman" w:cs="Times New Roman" w:eastAsia="Times New Roman" w:hAnsi="Times New Roman"/>
                <w:sz w:val="18"/>
                <w:szCs w:val="18"/>
                <w:color w:val="0000FF"/>
                <w:w w:val="99"/>
              </w:rPr>
            </w:pPr>
            <w:hyperlink r:id="rId365">
              <w:r>
                <w:rPr>
                  <w:rFonts w:ascii="Times New Roman" w:cs="Times New Roman" w:eastAsia="Times New Roman" w:hAnsi="Times New Roman"/>
                  <w:sz w:val="18"/>
                  <w:szCs w:val="18"/>
                  <w:color w:val="0000FF"/>
                  <w:w w:val="99"/>
                </w:rPr>
                <w:t>Exclusive License Agreement, dated January 19, 2023, by and between Disc Medicine, Inc. and Mabwell Therapeutics, Inc. (incorporated</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by reference to Exhibit 10.1 to the Registrant’s Quarterly Report on Form 10-Q (File No. 001-39438) filed on May 15, 2023).</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980" w:type="dxa"/>
            <w:vAlign w:val="bottom"/>
            <w:tcBorders>
              <w:right w:val="single" w:sz="8" w:color="0000FF"/>
            </w:tcBorders>
            <w:gridSpan w:val="7"/>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10000" w:type="dxa"/>
            <w:vAlign w:val="bottom"/>
            <w:tcBorders>
              <w:bottom w:val="single" w:sz="8" w:color="0000FF"/>
            </w:tcBorders>
            <w:gridSpan w:val="13"/>
          </w:tcPr>
          <w:p>
            <w:pPr>
              <w:ind w:left="20"/>
              <w:spacing w:after="0"/>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Lease by and between Disc Medicine, Inc. and ARE-MA Region No. 75, LLC, dated October 29, 2021 (incorporated by reference to</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tcBorders>
              <w:bottom w:val="single" w:sz="8" w:color="0000FF"/>
            </w:tcBorders>
            <w:gridSpan w:val="8"/>
          </w:tcPr>
          <w:p>
            <w:pPr>
              <w:ind w:left="20"/>
              <w:spacing w:after="0" w:line="196" w:lineRule="exact"/>
              <w:rPr>
                <w:rFonts w:ascii="Times New Roman" w:cs="Times New Roman" w:eastAsia="Times New Roman" w:hAnsi="Times New Roman"/>
                <w:sz w:val="18"/>
                <w:szCs w:val="18"/>
                <w:color w:val="0000FF"/>
                <w:w w:val="99"/>
              </w:rPr>
            </w:pPr>
            <w:hyperlink r:id="rId366">
              <w:r>
                <w:rPr>
                  <w:rFonts w:ascii="Times New Roman" w:cs="Times New Roman" w:eastAsia="Times New Roman" w:hAnsi="Times New Roman"/>
                  <w:sz w:val="18"/>
                  <w:szCs w:val="18"/>
                  <w:color w:val="0000FF"/>
                  <w:w w:val="99"/>
                </w:rPr>
                <w:t>Exhibit 10.4 to the Registrant’s Proxy Statement/Prospectus on Form S-4 filed on September 2, 2022).</w:t>
              </w:r>
            </w:hyperlink>
          </w:p>
        </w:tc>
        <w:tc>
          <w:tcPr>
            <w:tcW w:w="25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10000" w:type="dxa"/>
            <w:vAlign w:val="bottom"/>
            <w:tcBorders>
              <w:bottom w:val="single" w:sz="8" w:color="0000FF"/>
            </w:tcBorders>
            <w:gridSpan w:val="13"/>
          </w:tcPr>
          <w:p>
            <w:pPr>
              <w:ind w:left="20"/>
              <w:spacing w:after="0"/>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Addendum to License Agreement by and among Disc Medicine, Inc., F. Hoffmann-La Roche Ltd and Hoffmann-La Roche Inc., dated</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December 7, 2021 (incorporated by reference to Exhibit 10.5 to the Registrant’s Proxy Statement/Prospectus on Form S-4 filed on</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tcBorders>
              <w:top w:val="single" w:sz="8" w:color="0000FF"/>
            </w:tcBorders>
            <w:gridSpan w:val="13"/>
          </w:tcPr>
          <w:p>
            <w:pPr>
              <w:ind w:left="20"/>
              <w:spacing w:after="0" w:line="196"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September 2, 2022).</w:t>
              </w:r>
            </w:hyperlink>
          </w:p>
        </w:tc>
        <w:tc>
          <w:tcPr>
            <w:tcW w:w="0" w:type="dxa"/>
            <w:vAlign w:val="bottom"/>
          </w:tcPr>
          <w:p>
            <w:pPr>
              <w:spacing w:after="0"/>
              <w:rPr>
                <w:sz w:val="1"/>
                <w:szCs w:val="1"/>
                <w:color w:val="auto"/>
              </w:rPr>
            </w:pPr>
          </w:p>
        </w:tc>
      </w:tr>
      <w:tr>
        <w:trPr>
          <w:trHeight w:val="668"/>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Borders>
              <w:top w:val="single" w:sz="8" w:color="0000FF"/>
            </w:tcBorders>
          </w:tcPr>
          <w:p>
            <w:pPr>
              <w:spacing w:after="0"/>
              <w:rPr>
                <w:sz w:val="24"/>
                <w:szCs w:val="24"/>
                <w:color w:val="auto"/>
              </w:rPr>
            </w:pPr>
          </w:p>
        </w:tc>
        <w:tc>
          <w:tcPr>
            <w:tcW w:w="4340" w:type="dxa"/>
            <w:vAlign w:val="bottom"/>
            <w:gridSpan w:val="3"/>
          </w:tcPr>
          <w:p>
            <w:pPr>
              <w:jc w:val="right"/>
              <w:ind w:right="1208"/>
              <w:spacing w:after="0"/>
              <w:rPr>
                <w:sz w:val="20"/>
                <w:szCs w:val="20"/>
                <w:color w:val="auto"/>
              </w:rPr>
            </w:pPr>
            <w:r>
              <w:rPr>
                <w:rFonts w:ascii="Times New Roman" w:cs="Times New Roman" w:eastAsia="Times New Roman" w:hAnsi="Times New Roman"/>
                <w:sz w:val="18"/>
                <w:szCs w:val="18"/>
                <w:color w:val="auto"/>
              </w:rPr>
              <w:t>147</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61"/>
        </w:trPr>
        <w:tc>
          <w:tcPr>
            <w:tcW w:w="10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780" w:type="dxa"/>
            <w:vAlign w:val="bottom"/>
            <w:gridSpan w:val="7"/>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78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80" w:type="dxa"/>
            <w:vAlign w:val="bottom"/>
            <w:tcBorders>
              <w:top w:val="single" w:sz="8" w:color="auto"/>
            </w:tcBorders>
          </w:tcPr>
          <w:p>
            <w:pPr>
              <w:ind w:left="140"/>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4"/>
                <w:szCs w:val="14"/>
                <w:color w:val="auto"/>
              </w:rPr>
            </w:pPr>
          </w:p>
        </w:tc>
        <w:tc>
          <w:tcPr>
            <w:tcW w:w="10020" w:type="dxa"/>
            <w:vAlign w:val="bottom"/>
            <w:tcBorders>
              <w:top w:val="single" w:sz="8" w:color="auto"/>
              <w:bottom w:val="single" w:sz="8" w:color="0000FF"/>
            </w:tcBorders>
            <w:gridSpan w:val="17"/>
          </w:tcPr>
          <w:p>
            <w:pPr>
              <w:ind w:left="20"/>
              <w:spacing w:after="0" w:line="169"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Amendment to Addendum to License Agreement by and among Disc Medicine, Inc., F. Hoffmann-La Roche Ltd and Hoffmann-La</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tcBorders>
              <w:bottom w:val="single" w:sz="8" w:color="0000FF"/>
            </w:tcBorders>
            <w:gridSpan w:val="17"/>
          </w:tcPr>
          <w:p>
            <w:pPr>
              <w:ind w:left="20"/>
              <w:spacing w:after="0" w:line="196"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Roche Inc., dated February 28, 2022 (incorporated by reference to Exhibit 10.6 to the Registrant’s Proxy Statement/Prospectus on Form</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tcBorders>
              <w:bottom w:val="single" w:sz="8" w:color="0000FF"/>
            </w:tcBorders>
            <w:gridSpan w:val="9"/>
          </w:tcPr>
          <w:p>
            <w:pPr>
              <w:ind w:left="20"/>
              <w:spacing w:after="0" w:line="196"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S-4 filed on September 2, 2022).</w:t>
              </w:r>
            </w:hyperlink>
          </w:p>
        </w:tc>
        <w:tc>
          <w:tcPr>
            <w:tcW w:w="76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4"/>
                <w:szCs w:val="24"/>
                <w:color w:val="auto"/>
              </w:rPr>
            </w:pPr>
          </w:p>
        </w:tc>
        <w:tc>
          <w:tcPr>
            <w:tcW w:w="10020" w:type="dxa"/>
            <w:vAlign w:val="bottom"/>
            <w:gridSpan w:val="17"/>
          </w:tcPr>
          <w:p>
            <w:pPr>
              <w:ind w:left="20"/>
              <w:spacing w:after="0"/>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Second Amendment to Addendum to License Agreement by and among Disc Medicine, Inc., F. Hoffmann-La Roche Ltd and Hoffmann-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tcBorders>
              <w:bottom w:val="single" w:sz="8" w:color="0000FF"/>
            </w:tcBorders>
            <w:gridSpan w:val="17"/>
          </w:tcPr>
          <w:p>
            <w:pPr>
              <w:ind w:left="20"/>
              <w:spacing w:after="0" w:line="196"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La Roche Inc., dated May 31, 2022 (incorporated by reference to Exhibit 10.7 to the Registrant’s Proxy Statement/Prospectus on Form S-</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17"/>
          </w:tcPr>
          <w:p>
            <w:pPr>
              <w:ind w:left="20"/>
              <w:spacing w:after="0" w:line="196"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4 filed on September 2,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4"/>
                <w:szCs w:val="24"/>
                <w:color w:val="auto"/>
              </w:rPr>
            </w:pPr>
          </w:p>
        </w:tc>
        <w:tc>
          <w:tcPr>
            <w:tcW w:w="10020" w:type="dxa"/>
            <w:vAlign w:val="bottom"/>
            <w:gridSpan w:val="17"/>
          </w:tcPr>
          <w:p>
            <w:pPr>
              <w:ind w:left="20"/>
              <w:spacing w:after="0"/>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Third Amendment to Addendum to License Agreement by and among Disc Medicine, Inc., F. Hoffmann-La Roche Ltd and Hoffmann-La</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tcBorders>
              <w:bottom w:val="single" w:sz="8" w:color="0000FF"/>
            </w:tcBorders>
            <w:gridSpan w:val="17"/>
          </w:tcPr>
          <w:p>
            <w:pPr>
              <w:ind w:left="20"/>
              <w:spacing w:after="0" w:line="19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Roche Inc., dated October 19, 2022 (incorporated by reference to Exhibit 10.21 to the Registrant’s Proxy Statement/Prospectus on Form</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Borders>
              <w:bottom w:val="single" w:sz="8" w:color="0000FF"/>
            </w:tcBorders>
            <w:gridSpan w:val="7"/>
          </w:tcPr>
          <w:p>
            <w:pPr>
              <w:ind w:left="20"/>
              <w:spacing w:after="0" w:line="196" w:lineRule="exact"/>
              <w:rPr>
                <w:rFonts w:ascii="Times New Roman" w:cs="Times New Roman" w:eastAsia="Times New Roman" w:hAnsi="Times New Roman"/>
                <w:sz w:val="18"/>
                <w:szCs w:val="18"/>
                <w:color w:val="0000FF"/>
                <w:w w:val="98"/>
              </w:rPr>
            </w:pPr>
            <w:hyperlink r:id="rId372">
              <w:r>
                <w:rPr>
                  <w:rFonts w:ascii="Times New Roman" w:cs="Times New Roman" w:eastAsia="Times New Roman" w:hAnsi="Times New Roman"/>
                  <w:sz w:val="18"/>
                  <w:szCs w:val="18"/>
                  <w:color w:val="0000FF"/>
                  <w:w w:val="98"/>
                </w:rPr>
                <w:t>S-4 filed on November 3, 2022).</w:t>
              </w:r>
            </w:hyperlink>
          </w:p>
        </w:tc>
        <w:tc>
          <w:tcPr>
            <w:tcW w:w="20" w:type="dxa"/>
            <w:vAlign w:val="bottom"/>
            <w:tcBorders>
              <w:bottom w:val="single" w:sz="8" w:color="0000EE"/>
            </w:tcBorders>
          </w:tcPr>
          <w:p>
            <w:pPr>
              <w:spacing w:after="0"/>
              <w:rPr>
                <w:sz w:val="17"/>
                <w:szCs w:val="17"/>
                <w:color w:val="auto"/>
              </w:rPr>
            </w:pPr>
          </w:p>
        </w:tc>
        <w:tc>
          <w:tcPr>
            <w:tcW w:w="76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24"/>
                <w:szCs w:val="24"/>
                <w:color w:val="auto"/>
              </w:rPr>
            </w:pPr>
          </w:p>
        </w:tc>
        <w:tc>
          <w:tcPr>
            <w:tcW w:w="10020" w:type="dxa"/>
            <w:vAlign w:val="bottom"/>
            <w:tcBorders>
              <w:bottom w:val="single" w:sz="8" w:color="0000FF"/>
            </w:tcBorders>
            <w:gridSpan w:val="17"/>
          </w:tcPr>
          <w:p>
            <w:pPr>
              <w:ind w:left="20"/>
              <w:spacing w:after="0"/>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Common Stock Issuance Agreement, dated as of December 29, 2022, by and between Disc Medicine Opco, Inc., F. Hoffmann-La Roche</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tcBorders>
              <w:bottom w:val="single" w:sz="8" w:color="0000FF"/>
            </w:tcBorders>
            <w:gridSpan w:val="17"/>
          </w:tcPr>
          <w:p>
            <w:pPr>
              <w:ind w:left="20"/>
              <w:spacing w:after="0" w:line="196"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Ltd. and Hoffmann-La Roche Inc. (incorporated by reference to Exhibit 10.5 to the Registrant’s Current Report on Form 8-K filed on</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17"/>
          </w:tcPr>
          <w:p>
            <w:pPr>
              <w:ind w:left="20"/>
              <w:spacing w:after="0" w:line="196"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December 29,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24"/>
                <w:szCs w:val="24"/>
                <w:color w:val="auto"/>
              </w:rPr>
            </w:pPr>
          </w:p>
        </w:tc>
        <w:tc>
          <w:tcPr>
            <w:tcW w:w="10020" w:type="dxa"/>
            <w:vAlign w:val="bottom"/>
            <w:gridSpan w:val="17"/>
          </w:tcPr>
          <w:p>
            <w:pPr>
              <w:ind w:left="20"/>
              <w:spacing w:after="0"/>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Stock Purchase and Restriction Agreement, dated September 13, 2019, by and between Disc Medicine, Inc. and AbbVie Deutschland</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tcBorders>
              <w:bottom w:val="single" w:sz="8" w:color="0000FF"/>
            </w:tcBorders>
            <w:gridSpan w:val="17"/>
          </w:tcPr>
          <w:p>
            <w:pPr>
              <w:ind w:left="20"/>
              <w:spacing w:after="0" w:line="196" w:lineRule="exact"/>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GmbH &amp; Co. KG (incorporated by reference to Exhibit 10.22 to the Registrant’s Proxy Statement/Prospectus on Form S-4 filed on</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17"/>
          </w:tcPr>
          <w:p>
            <w:pPr>
              <w:ind w:left="20"/>
              <w:spacing w:after="0" w:line="196" w:lineRule="exact"/>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November 23,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24"/>
                <w:szCs w:val="24"/>
                <w:color w:val="auto"/>
              </w:rPr>
            </w:pPr>
          </w:p>
        </w:tc>
        <w:tc>
          <w:tcPr>
            <w:tcW w:w="10020" w:type="dxa"/>
            <w:vAlign w:val="bottom"/>
            <w:tcBorders>
              <w:bottom w:val="single" w:sz="8" w:color="0000FF"/>
            </w:tcBorders>
            <w:gridSpan w:val="17"/>
          </w:tcPr>
          <w:p>
            <w:pPr>
              <w:ind w:left="20"/>
              <w:spacing w:after="0"/>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Disc Medicine, Inc. Amended and Restated 2021 Stock Option and Incentive Plan (incorporated by reference to Exhibit 99.1 of Disc</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17"/>
          </w:tcPr>
          <w:p>
            <w:pPr>
              <w:ind w:left="20"/>
              <w:spacing w:after="0" w:line="196"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Medicine, Inc.’s Form S-8 filed on January 18, 2023 (Registration No. 333-269271)).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24"/>
                <w:szCs w:val="24"/>
                <w:color w:val="auto"/>
              </w:rPr>
            </w:pPr>
          </w:p>
        </w:tc>
        <w:tc>
          <w:tcPr>
            <w:tcW w:w="10020" w:type="dxa"/>
            <w:vAlign w:val="bottom"/>
            <w:gridSpan w:val="17"/>
          </w:tcPr>
          <w:p>
            <w:pPr>
              <w:ind w:left="20"/>
              <w:spacing w:after="0"/>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Forms of Award Agreements under the Disc Medicine, Inc. Amended and Restated 2021 Stock Option and Incentive Plan (incorporated</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0" w:type="dxa"/>
            <w:vAlign w:val="bottom"/>
            <w:tcBorders>
              <w:top w:val="single" w:sz="8" w:color="0000FF"/>
              <w:bottom w:val="single" w:sz="8" w:color="0000FF"/>
            </w:tcBorders>
            <w:gridSpan w:val="14"/>
          </w:tcPr>
          <w:p>
            <w:pPr>
              <w:ind w:left="20"/>
              <w:spacing w:after="0" w:line="196" w:lineRule="exact"/>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by reference to Exhibit 99.2 of Disc Medicine, Inc.’s Form S-8 filed on January 18, 2023 (Registration No. 333-269271)).</w:t>
              </w:r>
            </w:hyperlink>
          </w:p>
        </w:tc>
        <w:tc>
          <w:tcPr>
            <w:tcW w:w="20" w:type="dxa"/>
            <w:vAlign w:val="bottom"/>
            <w:tcBorders>
              <w:top w:val="single" w:sz="8" w:color="0000FF"/>
              <w:bottom w:val="single" w:sz="8" w:color="0000EE"/>
            </w:tcBorders>
          </w:tcPr>
          <w:p>
            <w:pPr>
              <w:spacing w:after="0"/>
              <w:rPr>
                <w:sz w:val="17"/>
                <w:szCs w:val="17"/>
                <w:color w:val="auto"/>
              </w:rPr>
            </w:pPr>
          </w:p>
        </w:tc>
        <w:tc>
          <w:tcPr>
            <w:tcW w:w="1200" w:type="dxa"/>
            <w:vAlign w:val="bottom"/>
            <w:tcBorders>
              <w:top w:val="single" w:sz="8" w:color="0000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24"/>
                <w:szCs w:val="24"/>
                <w:color w:val="auto"/>
              </w:rPr>
            </w:pPr>
          </w:p>
        </w:tc>
        <w:tc>
          <w:tcPr>
            <w:tcW w:w="10020" w:type="dxa"/>
            <w:vAlign w:val="bottom"/>
            <w:tcBorders>
              <w:bottom w:val="single" w:sz="8" w:color="0000FF"/>
            </w:tcBorders>
            <w:gridSpan w:val="17"/>
          </w:tcPr>
          <w:p>
            <w:pPr>
              <w:ind w:left="20"/>
              <w:spacing w:after="0"/>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Disc Medicine, Inc. Amended and Restated 2021 Employee Stock Purchase Plan (incorporated by reference to Exhibit 99.3 of Disc</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17"/>
          </w:tcPr>
          <w:p>
            <w:pPr>
              <w:ind w:left="20"/>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Medicine, Inc.’s Form S-8 filed on January 18, 2023 (Registration No. 333-269271)).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left w:val="single" w:sz="8" w:color="0000EE"/>
            </w:tcBorders>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24"/>
                <w:szCs w:val="24"/>
                <w:color w:val="auto"/>
              </w:rPr>
            </w:pPr>
          </w:p>
        </w:tc>
        <w:tc>
          <w:tcPr>
            <w:tcW w:w="10020" w:type="dxa"/>
            <w:vAlign w:val="bottom"/>
            <w:tcBorders>
              <w:bottom w:val="single" w:sz="8" w:color="0000FF"/>
            </w:tcBorders>
            <w:gridSpan w:val="17"/>
          </w:tcPr>
          <w:p>
            <w:pPr>
              <w:ind w:left="20"/>
              <w:spacing w:after="0"/>
              <w:rPr>
                <w:rFonts w:ascii="Times New Roman" w:cs="Times New Roman" w:eastAsia="Times New Roman" w:hAnsi="Times New Roman"/>
                <w:sz w:val="18"/>
                <w:szCs w:val="18"/>
                <w:color w:val="0000FF"/>
                <w:w w:val="99"/>
              </w:rPr>
            </w:pPr>
            <w:hyperlink r:id="rId378">
              <w:r>
                <w:rPr>
                  <w:rFonts w:ascii="Times New Roman" w:cs="Times New Roman" w:eastAsia="Times New Roman" w:hAnsi="Times New Roman"/>
                  <w:sz w:val="18"/>
                  <w:szCs w:val="18"/>
                  <w:color w:val="0000FF"/>
                  <w:w w:val="99"/>
                </w:rPr>
                <w:t>2017 Stock Option and Grant Plan of Disc Medicine, Inc., and form of award agreements thereunder (incorporated by reference to Exhibit</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17"/>
          </w:tcPr>
          <w:p>
            <w:pPr>
              <w:ind w:left="20"/>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color w:val="0000FF"/>
                </w:rPr>
                <w:t xml:space="preserve"> to the Registrant’s Current Report on Form 8-K filed on December 29,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24"/>
                <w:szCs w:val="24"/>
                <w:color w:val="auto"/>
              </w:rPr>
            </w:pPr>
          </w:p>
        </w:tc>
        <w:tc>
          <w:tcPr>
            <w:tcW w:w="10020" w:type="dxa"/>
            <w:vAlign w:val="bottom"/>
            <w:tcBorders>
              <w:bottom w:val="single" w:sz="8" w:color="0000FF"/>
            </w:tcBorders>
            <w:gridSpan w:val="17"/>
          </w:tcPr>
          <w:p>
            <w:pPr>
              <w:ind w:left="20"/>
              <w:spacing w:after="0"/>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2021 Inducement Plan (incorporated by reference to Exhibit 99.3 of Gemini Therapeutics, Inc.’s Form S-8 filed on April 13, 2021</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tcBorders>
              <w:bottom w:val="single" w:sz="8" w:color="0000FF"/>
            </w:tcBorders>
            <w:gridSpan w:val="6"/>
          </w:tcPr>
          <w:p>
            <w:pPr>
              <w:ind w:left="20"/>
              <w:spacing w:after="0" w:line="196" w:lineRule="exact"/>
              <w:rPr>
                <w:rFonts w:ascii="Times New Roman" w:cs="Times New Roman" w:eastAsia="Times New Roman" w:hAnsi="Times New Roman"/>
                <w:sz w:val="18"/>
                <w:szCs w:val="18"/>
                <w:color w:val="0000FF"/>
                <w:w w:val="98"/>
              </w:rPr>
            </w:pPr>
            <w:hyperlink r:id="rId379">
              <w:r>
                <w:rPr>
                  <w:rFonts w:ascii="Times New Roman" w:cs="Times New Roman" w:eastAsia="Times New Roman" w:hAnsi="Times New Roman"/>
                  <w:sz w:val="18"/>
                  <w:szCs w:val="18"/>
                  <w:color w:val="0000FF"/>
                  <w:w w:val="98"/>
                </w:rPr>
                <w:t>(Registration No. 333-255194)).</w:t>
              </w:r>
            </w:hyperlink>
          </w:p>
        </w:tc>
        <w:tc>
          <w:tcPr>
            <w:tcW w:w="20" w:type="dxa"/>
            <w:vAlign w:val="bottom"/>
            <w:tcBorders>
              <w:bottom w:val="single" w:sz="8" w:color="0000EE"/>
            </w:tcBorders>
          </w:tcPr>
          <w:p>
            <w:pPr>
              <w:spacing w:after="0"/>
              <w:rPr>
                <w:sz w:val="17"/>
                <w:szCs w:val="17"/>
                <w:color w:val="auto"/>
              </w:rPr>
            </w:pPr>
          </w:p>
        </w:tc>
        <w:tc>
          <w:tcPr>
            <w:tcW w:w="76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24"/>
                <w:szCs w:val="24"/>
                <w:color w:val="auto"/>
              </w:rPr>
            </w:pPr>
          </w:p>
        </w:tc>
        <w:tc>
          <w:tcPr>
            <w:tcW w:w="10020" w:type="dxa"/>
            <w:vAlign w:val="bottom"/>
            <w:tcBorders>
              <w:bottom w:val="single" w:sz="8" w:color="0000FF"/>
            </w:tcBorders>
            <w:gridSpan w:val="17"/>
          </w:tcPr>
          <w:p>
            <w:pPr>
              <w:ind w:left="20"/>
              <w:spacing w:after="0"/>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Form of Indemnification Agreement for Directors of Disc Medicine, Inc. (incorporated by reference to Exhibit 10.3 to the Registrant’s</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17"/>
          </w:tcPr>
          <w:p>
            <w:pPr>
              <w:ind w:left="20"/>
              <w:spacing w:after="0" w:line="196"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Current Report on Form 8-K filed on December 29,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40" w:type="dxa"/>
            <w:vAlign w:val="bottom"/>
            <w:gridSpan w:val="8"/>
            <w:shd w:val="clear" w:color="auto" w:fill="0000FF"/>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24"/>
                <w:szCs w:val="24"/>
                <w:color w:val="auto"/>
              </w:rPr>
            </w:pPr>
          </w:p>
        </w:tc>
        <w:tc>
          <w:tcPr>
            <w:tcW w:w="10020" w:type="dxa"/>
            <w:vAlign w:val="bottom"/>
            <w:tcBorders>
              <w:bottom w:val="single" w:sz="8" w:color="0000FF"/>
            </w:tcBorders>
            <w:gridSpan w:val="17"/>
          </w:tcPr>
          <w:p>
            <w:pPr>
              <w:ind w:left="20"/>
              <w:spacing w:after="0"/>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Form of Indemnification Agreement for Officers of Disc Medicine, Inc. (incorporated by reference to Exhibit 10.4 to the Registrant’s</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17"/>
          </w:tcPr>
          <w:p>
            <w:pPr>
              <w:ind w:left="20"/>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Current Report on Form 8-K filed on December 29,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40" w:type="dxa"/>
            <w:vAlign w:val="bottom"/>
            <w:gridSpan w:val="8"/>
            <w:shd w:val="clear" w:color="auto" w:fill="0000FF"/>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24"/>
                <w:szCs w:val="24"/>
                <w:color w:val="auto"/>
              </w:rPr>
            </w:pPr>
          </w:p>
        </w:tc>
        <w:tc>
          <w:tcPr>
            <w:tcW w:w="10020" w:type="dxa"/>
            <w:vAlign w:val="bottom"/>
            <w:tcBorders>
              <w:bottom w:val="single" w:sz="8" w:color="0000FF"/>
            </w:tcBorders>
            <w:gridSpan w:val="17"/>
          </w:tcPr>
          <w:p>
            <w:pPr>
              <w:ind w:left="20"/>
              <w:spacing w:after="0"/>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Employment Agreement, dated as of December 29, 2022, by and between Disc Medicine, Inc. and John Quisel, J.D. Ph.D. (incorporated</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17"/>
          </w:tcPr>
          <w:p>
            <w:pPr>
              <w:ind w:left="20"/>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by reference to Exhibit 10.6 to the Registrant’s Current Report on Form 8-K filed on December 29,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180" w:type="dxa"/>
            <w:vAlign w:val="bottom"/>
            <w:tcBorders>
              <w:right w:val="single" w:sz="8" w:color="0000EE"/>
            </w:tcBorders>
            <w:gridSpan w:val="11"/>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10.18#</w:t>
            </w:r>
          </w:p>
        </w:tc>
        <w:tc>
          <w:tcPr>
            <w:tcW w:w="160" w:type="dxa"/>
            <w:vAlign w:val="bottom"/>
          </w:tcPr>
          <w:p>
            <w:pPr>
              <w:spacing w:after="0"/>
              <w:rPr>
                <w:sz w:val="24"/>
                <w:szCs w:val="24"/>
                <w:color w:val="auto"/>
              </w:rPr>
            </w:pPr>
          </w:p>
        </w:tc>
        <w:tc>
          <w:tcPr>
            <w:tcW w:w="10020" w:type="dxa"/>
            <w:vAlign w:val="bottom"/>
            <w:tcBorders>
              <w:bottom w:val="single" w:sz="8" w:color="0000FF"/>
            </w:tcBorders>
            <w:gridSpan w:val="17"/>
          </w:tcPr>
          <w:p>
            <w:pPr>
              <w:ind w:left="20"/>
              <w:spacing w:after="0"/>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Employment Agreement, dated as of December 29, 2022, by and between Disc Medicine, Inc. and William Savage, M.D., Ph.D.</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tcBorders>
              <w:bottom w:val="single" w:sz="8" w:color="0000FF"/>
            </w:tcBorders>
            <w:gridSpan w:val="17"/>
          </w:tcPr>
          <w:p>
            <w:pPr>
              <w:ind w:left="20"/>
              <w:spacing w:after="0" w:line="19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(incorporated by reference to Exhibit 10.19 to the Registrant’s Annual Report on Form 10-K (File No. 001-39438) filed on March 31,</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Borders>
              <w:bottom w:val="single" w:sz="8" w:color="0000FF"/>
            </w:tcBorders>
          </w:tcPr>
          <w:p>
            <w:pPr>
              <w:ind w:left="20"/>
              <w:spacing w:after="0" w:line="196" w:lineRule="exact"/>
              <w:rPr>
                <w:rFonts w:ascii="Times New Roman" w:cs="Times New Roman" w:eastAsia="Times New Roman" w:hAnsi="Times New Roman"/>
                <w:sz w:val="18"/>
                <w:szCs w:val="18"/>
                <w:color w:val="0000FF"/>
                <w:w w:val="94"/>
              </w:rPr>
            </w:pPr>
            <w:hyperlink r:id="rId383">
              <w:r>
                <w:rPr>
                  <w:rFonts w:ascii="Times New Roman" w:cs="Times New Roman" w:eastAsia="Times New Roman" w:hAnsi="Times New Roman"/>
                  <w:sz w:val="18"/>
                  <w:szCs w:val="18"/>
                  <w:color w:val="0000FF"/>
                  <w:w w:val="94"/>
                </w:rPr>
                <w:t>2023).</w:t>
              </w:r>
            </w:hyperlink>
          </w:p>
        </w:tc>
        <w:tc>
          <w:tcPr>
            <w:tcW w:w="20" w:type="dxa"/>
            <w:vAlign w:val="bottom"/>
            <w:tcBorders>
              <w:bottom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10.19#</w:t>
            </w:r>
          </w:p>
        </w:tc>
        <w:tc>
          <w:tcPr>
            <w:tcW w:w="160" w:type="dxa"/>
            <w:vAlign w:val="bottom"/>
          </w:tcPr>
          <w:p>
            <w:pPr>
              <w:spacing w:after="0"/>
              <w:rPr>
                <w:sz w:val="24"/>
                <w:szCs w:val="24"/>
                <w:color w:val="auto"/>
              </w:rPr>
            </w:pPr>
          </w:p>
        </w:tc>
        <w:tc>
          <w:tcPr>
            <w:tcW w:w="10020" w:type="dxa"/>
            <w:vAlign w:val="bottom"/>
            <w:tcBorders>
              <w:bottom w:val="single" w:sz="8" w:color="0000FF"/>
            </w:tcBorders>
            <w:gridSpan w:val="17"/>
          </w:tcPr>
          <w:p>
            <w:pPr>
              <w:ind w:left="20"/>
              <w:spacing w:after="0"/>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Employment Agreement, dated as of December 29, 2022, by and between Disc Medicine, Inc. and Jonathan Yu (incorporated by</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17"/>
          </w:tcPr>
          <w:p>
            <w:pPr>
              <w:ind w:left="20"/>
              <w:spacing w:after="0" w:line="196"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reference to Exhibit 10.20 to the Registrant’s Annual Report on Form 10-K (File No. 001-39438) filed on March 31, 2023).</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920" w:type="dxa"/>
            <w:vAlign w:val="bottom"/>
            <w:tcBorders>
              <w:right w:val="single" w:sz="8" w:color="0000EE"/>
            </w:tcBorders>
            <w:gridSpan w:val="16"/>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10.20#</w:t>
            </w:r>
          </w:p>
        </w:tc>
        <w:tc>
          <w:tcPr>
            <w:tcW w:w="160" w:type="dxa"/>
            <w:vAlign w:val="bottom"/>
          </w:tcPr>
          <w:p>
            <w:pPr>
              <w:spacing w:after="0"/>
              <w:rPr>
                <w:sz w:val="24"/>
                <w:szCs w:val="24"/>
                <w:color w:val="auto"/>
              </w:rPr>
            </w:pPr>
          </w:p>
        </w:tc>
        <w:tc>
          <w:tcPr>
            <w:tcW w:w="10020" w:type="dxa"/>
            <w:vAlign w:val="bottom"/>
            <w:gridSpan w:val="17"/>
          </w:tcPr>
          <w:p>
            <w:pPr>
              <w:ind w:left="20"/>
              <w:spacing w:after="0"/>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Employment Agreement, dated as of February 7, 2024, by and between Disc Medicine, Inc. and Jean M. Franchi (incorporated by</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20" w:type="dxa"/>
            <w:vAlign w:val="bottom"/>
            <w:tcBorders>
              <w:top w:val="single" w:sz="8" w:color="0000FF"/>
              <w:bottom w:val="single" w:sz="8" w:color="0000FF"/>
            </w:tcBorders>
            <w:gridSpan w:val="16"/>
          </w:tcPr>
          <w:p>
            <w:pPr>
              <w:ind w:left="20"/>
              <w:spacing w:after="0" w:line="19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reference to Exhibit 10.1 to the Registrant’s Current Report on Form 8-K (File No. 001-39438) filed on February 7, 2024).</w:t>
              </w:r>
            </w:hyperlink>
          </w:p>
        </w:tc>
        <w:tc>
          <w:tcPr>
            <w:tcW w:w="110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1080" w:type="dxa"/>
            <w:vAlign w:val="bottom"/>
          </w:tcPr>
          <w:p>
            <w:pPr>
              <w:spacing w:after="0"/>
              <w:rPr>
                <w:sz w:val="24"/>
                <w:szCs w:val="24"/>
                <w:color w:val="auto"/>
              </w:rPr>
            </w:pPr>
          </w:p>
        </w:tc>
        <w:tc>
          <w:tcPr>
            <w:tcW w:w="6120" w:type="dxa"/>
            <w:vAlign w:val="bottom"/>
            <w:gridSpan w:val="12"/>
          </w:tcPr>
          <w:p>
            <w:pPr>
              <w:jc w:val="right"/>
              <w:ind w:right="1368"/>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61"/>
        </w:trPr>
        <w:tc>
          <w:tcPr>
            <w:tcW w:w="10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600" w:type="dxa"/>
            <w:vAlign w:val="bottom"/>
            <w:gridSpan w:val="10"/>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10.21#</w:t>
            </w:r>
          </w:p>
        </w:tc>
        <w:tc>
          <w:tcPr>
            <w:tcW w:w="160" w:type="dxa"/>
            <w:vAlign w:val="bottom"/>
          </w:tcPr>
          <w:p>
            <w:pPr>
              <w:spacing w:after="0"/>
              <w:rPr>
                <w:sz w:val="24"/>
                <w:szCs w:val="24"/>
                <w:color w:val="auto"/>
              </w:rPr>
            </w:pPr>
          </w:p>
        </w:tc>
        <w:tc>
          <w:tcPr>
            <w:tcW w:w="10000" w:type="dxa"/>
            <w:vAlign w:val="bottom"/>
            <w:gridSpan w:val="21"/>
          </w:tcPr>
          <w:p>
            <w:pPr>
              <w:ind w:left="20"/>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Form of Non-Qualified Stock Option Agreement Non-Plan Inducement Grant Restricted Stock Unit Award Agreement Non-Plan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tcBorders>
              <w:bottom w:val="single" w:sz="8" w:color="0000FF"/>
            </w:tcBorders>
            <w:gridSpan w:val="21"/>
          </w:tcPr>
          <w:p>
            <w:pPr>
              <w:ind w:left="20"/>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Inducement Grant (incorporated by reference to Exhibit 99.5 to the Registrant’s Registration Statement on Form S-8 (File No 333-</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21"/>
          </w:tcPr>
          <w:p>
            <w:pPr>
              <w:ind w:left="20"/>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278129) filed on March 21, 2024).</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tcPr>
          <w:p>
            <w:pPr>
              <w:spacing w:after="0"/>
              <w:rPr>
                <w:sz w:val="24"/>
                <w:szCs w:val="24"/>
                <w:color w:val="auto"/>
              </w:rPr>
            </w:pPr>
          </w:p>
        </w:tc>
        <w:tc>
          <w:tcPr>
            <w:tcW w:w="10000" w:type="dxa"/>
            <w:vAlign w:val="bottom"/>
            <w:tcBorders>
              <w:bottom w:val="single" w:sz="8" w:color="0000FF"/>
            </w:tcBorders>
            <w:gridSpan w:val="21"/>
          </w:tcPr>
          <w:p>
            <w:pPr>
              <w:ind w:left="20"/>
              <w:spacing w:after="0"/>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Form of Restricted Stock Unit Award Agreement Non-Plan Inducement Grant (incorporated by reference to Exhibit 99.6 to the</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21"/>
          </w:tcPr>
          <w:p>
            <w:pPr>
              <w:ind w:left="20"/>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Registrant’s Registration Statement on Form S-8 (File No 333-278129) filed on March 21, 2024).</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10.23</w:t>
            </w:r>
          </w:p>
        </w:tc>
        <w:tc>
          <w:tcPr>
            <w:tcW w:w="160" w:type="dxa"/>
            <w:vAlign w:val="bottom"/>
          </w:tcPr>
          <w:p>
            <w:pPr>
              <w:spacing w:after="0"/>
              <w:rPr>
                <w:sz w:val="24"/>
                <w:szCs w:val="24"/>
                <w:color w:val="auto"/>
              </w:rPr>
            </w:pPr>
          </w:p>
        </w:tc>
        <w:tc>
          <w:tcPr>
            <w:tcW w:w="10000" w:type="dxa"/>
            <w:vAlign w:val="bottom"/>
            <w:tcBorders>
              <w:bottom w:val="single" w:sz="8" w:color="0000FF"/>
            </w:tcBorders>
            <w:gridSpan w:val="21"/>
          </w:tcPr>
          <w:p>
            <w:pPr>
              <w:ind w:left="20"/>
              <w:spacing w:after="0"/>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Second Amendment to Lease, dated August 29, 2024, by and between Disc Medicine, Inc. and ARE-MA Region No. 75. LLC</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21"/>
          </w:tcPr>
          <w:p>
            <w:pPr>
              <w:ind w:left="20"/>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(incorporated by reference to Exhibit 10.1 to the Registrant’s Quarterly Report on Form 10-Q filed on November 12, 2024).</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tcPr>
          <w:p>
            <w:pPr>
              <w:spacing w:after="0"/>
              <w:rPr>
                <w:sz w:val="24"/>
                <w:szCs w:val="24"/>
                <w:color w:val="auto"/>
              </w:rPr>
            </w:pPr>
          </w:p>
        </w:tc>
        <w:tc>
          <w:tcPr>
            <w:tcW w:w="10000" w:type="dxa"/>
            <w:vAlign w:val="bottom"/>
            <w:gridSpan w:val="21"/>
          </w:tcPr>
          <w:p>
            <w:pPr>
              <w:ind w:left="20"/>
              <w:spacing w:after="0"/>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Loan and Security Agreement, dated as of November 6, 2024, by and among Disc Medicine, Inc., the other Borrower party thereto, the</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tcBorders>
              <w:bottom w:val="single" w:sz="8" w:color="0000FF"/>
            </w:tcBorders>
            <w:gridSpan w:val="21"/>
          </w:tcPr>
          <w:p>
            <w:pPr>
              <w:ind w:left="20"/>
              <w:spacing w:after="0" w:line="196" w:lineRule="exact"/>
              <w:rPr>
                <w:rFonts w:ascii="Times New Roman" w:cs="Times New Roman" w:eastAsia="Times New Roman" w:hAnsi="Times New Roman"/>
                <w:sz w:val="18"/>
                <w:szCs w:val="18"/>
                <w:color w:val="0000FF"/>
                <w:w w:val="99"/>
              </w:rPr>
            </w:pPr>
            <w:hyperlink r:id="rId391">
              <w:r>
                <w:rPr>
                  <w:rFonts w:ascii="Times New Roman" w:cs="Times New Roman" w:eastAsia="Times New Roman" w:hAnsi="Times New Roman"/>
                  <w:sz w:val="18"/>
                  <w:szCs w:val="18"/>
                  <w:color w:val="0000FF"/>
                  <w:w w:val="99"/>
                </w:rPr>
                <w:t>Lenders party thereto, and Hercules Capital, Inc., as Agent (incorporated by reference to Exhibit 10.1 to the Registrant's Current Report on</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21"/>
          </w:tcPr>
          <w:p>
            <w:pPr>
              <w:ind w:left="20"/>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Form 8-K (File No. 001-39438) filed on November 8, 2024).</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tcPr>
          <w:p>
            <w:pPr>
              <w:spacing w:after="0"/>
              <w:rPr>
                <w:sz w:val="24"/>
                <w:szCs w:val="24"/>
                <w:color w:val="auto"/>
              </w:rPr>
            </w:pPr>
          </w:p>
        </w:tc>
        <w:tc>
          <w:tcPr>
            <w:tcW w:w="2000" w:type="dxa"/>
            <w:vAlign w:val="bottom"/>
            <w:gridSpan w:val="7"/>
            <w:vMerge w:val="restart"/>
          </w:tcPr>
          <w:p>
            <w:pPr>
              <w:ind w:left="20"/>
              <w:spacing w:after="0"/>
              <w:rPr>
                <w:rFonts w:ascii="Times New Roman" w:cs="Times New Roman" w:eastAsia="Times New Roman" w:hAnsi="Times New Roman"/>
                <w:sz w:val="18"/>
                <w:szCs w:val="18"/>
                <w:color w:val="0000FF"/>
                <w:w w:val="98"/>
              </w:rPr>
            </w:pPr>
            <w:hyperlink r:id="rId392">
              <w:r>
                <w:rPr>
                  <w:rFonts w:ascii="Times New Roman" w:cs="Times New Roman" w:eastAsia="Times New Roman" w:hAnsi="Times New Roman"/>
                  <w:sz w:val="18"/>
                  <w:szCs w:val="18"/>
                  <w:color w:val="0000FF"/>
                  <w:w w:val="98"/>
                </w:rPr>
                <w:t>Controlled Equity Offering</w:t>
              </w:r>
            </w:hyperlink>
          </w:p>
        </w:tc>
        <w:tc>
          <w:tcPr>
            <w:tcW w:w="160" w:type="dxa"/>
            <w:vAlign w:val="bottom"/>
            <w:tcBorders>
              <w:bottom w:val="single" w:sz="8" w:color="0000FF"/>
            </w:tcBorders>
          </w:tcPr>
          <w:p>
            <w:pPr>
              <w:spacing w:after="0"/>
              <w:rPr>
                <w:rFonts w:ascii="Times New Roman" w:cs="Times New Roman" w:eastAsia="Times New Roman" w:hAnsi="Times New Roman"/>
                <w:sz w:val="12"/>
                <w:szCs w:val="12"/>
                <w:color w:val="0000FF"/>
                <w:w w:val="80"/>
              </w:rPr>
            </w:pPr>
            <w:hyperlink r:id="rId392">
              <w:r>
                <w:rPr>
                  <w:rFonts w:ascii="Times New Roman" w:cs="Times New Roman" w:eastAsia="Times New Roman" w:hAnsi="Times New Roman"/>
                  <w:sz w:val="12"/>
                  <w:szCs w:val="12"/>
                  <w:color w:val="0000FF"/>
                  <w:w w:val="80"/>
                </w:rPr>
                <w:t>SM</w:t>
              </w:r>
            </w:hyperlink>
          </w:p>
        </w:tc>
        <w:tc>
          <w:tcPr>
            <w:tcW w:w="7840" w:type="dxa"/>
            <w:vAlign w:val="bottom"/>
            <w:gridSpan w:val="13"/>
            <w:vMerge w:val="restart"/>
          </w:tcPr>
          <w:p>
            <w:pPr>
              <w:ind w:left="40"/>
              <w:spacing w:after="0"/>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Sales Agreement, dated November 15, 2024, by and between Disc Medicine, Inc. and Cantor Fitzgerald &amp;</w:t>
              </w:r>
            </w:hyperlink>
          </w:p>
        </w:tc>
        <w:tc>
          <w:tcPr>
            <w:tcW w:w="0" w:type="dxa"/>
            <w:vAlign w:val="bottom"/>
          </w:tcPr>
          <w:p>
            <w:pPr>
              <w:spacing w:after="0"/>
              <w:rPr>
                <w:sz w:val="1"/>
                <w:szCs w:val="1"/>
                <w:color w:val="auto"/>
              </w:rPr>
            </w:pPr>
          </w:p>
        </w:tc>
      </w:tr>
      <w:tr>
        <w:trPr>
          <w:trHeight w:val="61"/>
        </w:trPr>
        <w:tc>
          <w:tcPr>
            <w:tcW w:w="10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gridSpan w:val="7"/>
            <w:vMerge w:val="continue"/>
          </w:tcPr>
          <w:p>
            <w:pPr>
              <w:spacing w:after="0"/>
              <w:rPr>
                <w:sz w:val="5"/>
                <w:szCs w:val="5"/>
                <w:color w:val="auto"/>
              </w:rPr>
            </w:pPr>
          </w:p>
        </w:tc>
        <w:tc>
          <w:tcPr>
            <w:tcW w:w="160" w:type="dxa"/>
            <w:vAlign w:val="bottom"/>
          </w:tcPr>
          <w:p>
            <w:pPr>
              <w:spacing w:after="0"/>
              <w:rPr>
                <w:sz w:val="5"/>
                <w:szCs w:val="5"/>
                <w:color w:val="auto"/>
              </w:rPr>
            </w:pPr>
          </w:p>
        </w:tc>
        <w:tc>
          <w:tcPr>
            <w:tcW w:w="784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tcBorders>
              <w:bottom w:val="single" w:sz="8" w:color="0000FF"/>
            </w:tcBorders>
            <w:gridSpan w:val="21"/>
          </w:tcPr>
          <w:p>
            <w:pPr>
              <w:ind w:left="20"/>
              <w:spacing w:after="0" w:line="196"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Co. (incorporated by reference to Exhibit 1.1 to the Registrant's Current Report on Form 8-K (File No. 001-39438) filed on November 15,</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Borders>
              <w:bottom w:val="single" w:sz="8" w:color="0000FF"/>
            </w:tcBorders>
          </w:tcPr>
          <w:p>
            <w:pPr>
              <w:ind w:left="20"/>
              <w:spacing w:after="0" w:line="196" w:lineRule="exact"/>
              <w:rPr>
                <w:rFonts w:ascii="Times New Roman" w:cs="Times New Roman" w:eastAsia="Times New Roman" w:hAnsi="Times New Roman"/>
                <w:sz w:val="18"/>
                <w:szCs w:val="18"/>
                <w:color w:val="0000FF"/>
                <w:w w:val="94"/>
              </w:rPr>
            </w:pPr>
            <w:hyperlink r:id="rId392">
              <w:r>
                <w:rPr>
                  <w:rFonts w:ascii="Times New Roman" w:cs="Times New Roman" w:eastAsia="Times New Roman" w:hAnsi="Times New Roman"/>
                  <w:sz w:val="18"/>
                  <w:szCs w:val="18"/>
                  <w:color w:val="0000FF"/>
                  <w:w w:val="94"/>
                </w:rPr>
                <w:t>2024).</w:t>
              </w:r>
            </w:hyperlink>
          </w:p>
        </w:tc>
        <w:tc>
          <w:tcPr>
            <w:tcW w:w="20" w:type="dxa"/>
            <w:vAlign w:val="bottom"/>
            <w:tcBorders>
              <w:bottom w:val="single" w:sz="8" w:color="0000EE"/>
            </w:tcBorders>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10.26††</w:t>
            </w:r>
          </w:p>
        </w:tc>
        <w:tc>
          <w:tcPr>
            <w:tcW w:w="160" w:type="dxa"/>
            <w:vAlign w:val="bottom"/>
          </w:tcPr>
          <w:p>
            <w:pPr>
              <w:spacing w:after="0"/>
              <w:rPr>
                <w:sz w:val="24"/>
                <w:szCs w:val="24"/>
                <w:color w:val="auto"/>
              </w:rPr>
            </w:pPr>
          </w:p>
        </w:tc>
        <w:tc>
          <w:tcPr>
            <w:tcW w:w="10000" w:type="dxa"/>
            <w:vAlign w:val="bottom"/>
            <w:tcBorders>
              <w:bottom w:val="single" w:sz="8" w:color="0000FF"/>
            </w:tcBorders>
            <w:gridSpan w:val="21"/>
          </w:tcPr>
          <w:p>
            <w:pPr>
              <w:ind w:left="20"/>
              <w:spacing w:after="0"/>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Side Letter Agreement dated December 24, 2024 by and among Disc Medicine, Inc., Mabwell Therapeutics, Inc. and Mabwell (Shanghai)</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21"/>
          </w:tcPr>
          <w:p>
            <w:pPr>
              <w:ind w:left="20"/>
              <w:spacing w:after="0" w:line="19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Bioscience, Inc. (incorporated by reference to Exhibit 10.27 to the Registrant’s Annual Report on Form 10-K filed on February 27, 2025).</w:t>
              </w:r>
            </w:hyperlink>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24"/>
                <w:szCs w:val="24"/>
                <w:color w:val="auto"/>
              </w:rPr>
            </w:pPr>
          </w:p>
        </w:tc>
        <w:tc>
          <w:tcPr>
            <w:tcW w:w="9980" w:type="dxa"/>
            <w:vAlign w:val="bottom"/>
            <w:tcBorders>
              <w:top w:val="single" w:sz="8" w:color="0000FF"/>
            </w:tcBorders>
            <w:gridSpan w:val="20"/>
          </w:tcPr>
          <w:p>
            <w:pPr>
              <w:ind w:left="20"/>
              <w:spacing w:after="0"/>
              <w:rPr>
                <w:sz w:val="20"/>
                <w:szCs w:val="20"/>
                <w:color w:val="auto"/>
              </w:rPr>
            </w:pPr>
            <w:r>
              <w:rPr>
                <w:rFonts w:ascii="Times New Roman" w:cs="Times New Roman" w:eastAsia="Times New Roman" w:hAnsi="Times New Roman"/>
                <w:sz w:val="18"/>
                <w:szCs w:val="18"/>
                <w:color w:val="0000FF"/>
              </w:rPr>
              <w:t>Code of Business Conduct and Ethics of Disc Medicine, Inc.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24"/>
                <w:szCs w:val="24"/>
                <w:color w:val="auto"/>
              </w:rPr>
            </w:pPr>
          </w:p>
        </w:tc>
        <w:tc>
          <w:tcPr>
            <w:tcW w:w="1680" w:type="dxa"/>
            <w:vAlign w:val="bottom"/>
            <w:tcBorders>
              <w:top w:val="single" w:sz="8" w:color="0000FF"/>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8"/>
              </w:rPr>
              <w:t>Insider Trading Policy.</w:t>
            </w:r>
          </w:p>
        </w:tc>
        <w:tc>
          <w:tcPr>
            <w:tcW w:w="20" w:type="dxa"/>
            <w:vAlign w:val="bottom"/>
            <w:tcBorders>
              <w:top w:val="single" w:sz="8" w:color="0000FF"/>
              <w:bottom w:val="single" w:sz="8" w:color="0000EE"/>
            </w:tcBorders>
          </w:tcPr>
          <w:p>
            <w:pPr>
              <w:spacing w:after="0"/>
              <w:rPr>
                <w:sz w:val="24"/>
                <w:szCs w:val="24"/>
                <w:color w:val="auto"/>
              </w:rPr>
            </w:pPr>
          </w:p>
        </w:tc>
        <w:tc>
          <w:tcPr>
            <w:tcW w:w="2700" w:type="dxa"/>
            <w:vAlign w:val="bottom"/>
            <w:tcBorders>
              <w:top w:val="single" w:sz="8" w:color="0000FF"/>
            </w:tcBorders>
            <w:gridSpan w:val="5"/>
          </w:tcPr>
          <w:p>
            <w:pPr>
              <w:spacing w:after="0"/>
              <w:rPr>
                <w:sz w:val="24"/>
                <w:szCs w:val="24"/>
                <w:color w:val="auto"/>
              </w:rPr>
            </w:pPr>
          </w:p>
        </w:tc>
        <w:tc>
          <w:tcPr>
            <w:tcW w:w="56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24"/>
                <w:szCs w:val="24"/>
                <w:color w:val="auto"/>
              </w:rPr>
            </w:pPr>
          </w:p>
        </w:tc>
        <w:tc>
          <w:tcPr>
            <w:tcW w:w="1000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List of Subsidiaries of Disc Medicine, Inc.</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right w:val="single" w:sz="8" w:color="0000EE"/>
            </w:tcBorders>
            <w:gridSpan w:val="6"/>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24"/>
                <w:szCs w:val="24"/>
                <w:color w:val="auto"/>
              </w:rPr>
            </w:pPr>
          </w:p>
        </w:tc>
        <w:tc>
          <w:tcPr>
            <w:tcW w:w="1000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accounting firm.</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20" w:type="dxa"/>
            <w:vAlign w:val="bottom"/>
            <w:tcBorders>
              <w:right w:val="single" w:sz="8" w:color="0000EE"/>
            </w:tcBorders>
            <w:gridSpan w:val="8"/>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1000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4"/>
                <w:szCs w:val="24"/>
                <w:color w:val="auto"/>
              </w:rPr>
            </w:pPr>
          </w:p>
        </w:tc>
        <w:tc>
          <w:tcPr>
            <w:tcW w:w="7400" w:type="dxa"/>
            <w:vAlign w:val="bottom"/>
            <w:tcBorders>
              <w:top w:val="single" w:sz="8" w:color="0000FF"/>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Sarbanes-Oxley Act of 2002</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5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4"/>
                <w:szCs w:val="24"/>
                <w:color w:val="auto"/>
              </w:rPr>
            </w:pPr>
          </w:p>
        </w:tc>
        <w:tc>
          <w:tcPr>
            <w:tcW w:w="8680" w:type="dxa"/>
            <w:vAlign w:val="bottom"/>
            <w:tcBorders>
              <w:bottom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Sarbanes-Oxley Act of 2002</w:t>
            </w:r>
          </w:p>
        </w:tc>
        <w:tc>
          <w:tcPr>
            <w:tcW w:w="20" w:type="dxa"/>
            <w:vAlign w:val="bottom"/>
            <w:tcBorders>
              <w:bottom w:val="single" w:sz="8" w:color="0000EE"/>
            </w:tcBorders>
          </w:tcPr>
          <w:p>
            <w:pPr>
              <w:spacing w:after="0"/>
              <w:rPr>
                <w:sz w:val="24"/>
                <w:szCs w:val="24"/>
                <w:color w:val="auto"/>
              </w:rPr>
            </w:pPr>
          </w:p>
        </w:tc>
        <w:tc>
          <w:tcPr>
            <w:tcW w:w="1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97.1</w:t>
            </w:r>
          </w:p>
        </w:tc>
        <w:tc>
          <w:tcPr>
            <w:tcW w:w="160" w:type="dxa"/>
            <w:vAlign w:val="bottom"/>
          </w:tcPr>
          <w:p>
            <w:pPr>
              <w:spacing w:after="0"/>
              <w:rPr>
                <w:sz w:val="24"/>
                <w:szCs w:val="24"/>
                <w:color w:val="auto"/>
              </w:rPr>
            </w:pPr>
          </w:p>
        </w:tc>
        <w:tc>
          <w:tcPr>
            <w:tcW w:w="10000" w:type="dxa"/>
            <w:vAlign w:val="bottom"/>
            <w:tcBorders>
              <w:bottom w:val="single" w:sz="8" w:color="0000FF"/>
            </w:tcBorders>
            <w:gridSpan w:val="21"/>
          </w:tcPr>
          <w:p>
            <w:pPr>
              <w:ind w:left="20"/>
              <w:spacing w:after="0"/>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Compensation Recovery Policy (incorporated by reference to Exhibit 97.1 to the Registrant’s Annual Report on Form 10-K filed on</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Borders>
              <w:bottom w:val="single" w:sz="8" w:color="0000FF"/>
            </w:tcBorders>
            <w:gridSpan w:val="3"/>
          </w:tcPr>
          <w:p>
            <w:pPr>
              <w:ind w:left="20"/>
              <w:spacing w:after="0" w:line="196" w:lineRule="exact"/>
              <w:rPr>
                <w:rFonts w:ascii="Times New Roman" w:cs="Times New Roman" w:eastAsia="Times New Roman" w:hAnsi="Times New Roman"/>
                <w:sz w:val="18"/>
                <w:szCs w:val="18"/>
                <w:color w:val="0000FF"/>
                <w:w w:val="97"/>
              </w:rPr>
            </w:pPr>
            <w:hyperlink r:id="rId394">
              <w:r>
                <w:rPr>
                  <w:rFonts w:ascii="Times New Roman" w:cs="Times New Roman" w:eastAsia="Times New Roman" w:hAnsi="Times New Roman"/>
                  <w:sz w:val="18"/>
                  <w:szCs w:val="18"/>
                  <w:color w:val="0000FF"/>
                  <w:w w:val="97"/>
                </w:rPr>
                <w:t>February 27, 2025).</w:t>
              </w:r>
            </w:hyperlink>
          </w:p>
        </w:tc>
        <w:tc>
          <w:tcPr>
            <w:tcW w:w="20" w:type="dxa"/>
            <w:vAlign w:val="bottom"/>
            <w:tcBorders>
              <w:bottom w:val="single" w:sz="8" w:color="0000EE"/>
            </w:tcBorders>
          </w:tcPr>
          <w:p>
            <w:pPr>
              <w:spacing w:after="0"/>
              <w:rPr>
                <w:sz w:val="17"/>
                <w:szCs w:val="17"/>
                <w:color w:val="auto"/>
              </w:rPr>
            </w:pPr>
          </w:p>
        </w:tc>
        <w:tc>
          <w:tcPr>
            <w:tcW w:w="85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1000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43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1000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60" w:hanging="1122"/>
        <w:spacing w:after="0"/>
        <w:tabs>
          <w:tab w:leader="none" w:pos="12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9" w:lineRule="exact"/>
        <w:rPr>
          <w:sz w:val="20"/>
          <w:szCs w:val="20"/>
          <w:color w:val="auto"/>
        </w:rPr>
      </w:pPr>
    </w:p>
    <w:p>
      <w:pPr>
        <w:ind w:firstLine="8"/>
        <w:spacing w:after="0" w:line="250" w:lineRule="auto"/>
        <w:tabs>
          <w:tab w:leader="none" w:pos="15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annexes, schedules, and certain exhibits to the Merger Agreement have been omitted pursuant to Item 601(b)(2) of Regulation S-K. Gemini hereby agrees to furnish supplementally a copy of any omitted annex, schedule or exhibit to the Commission upon request.</w:t>
      </w:r>
    </w:p>
    <w:p>
      <w:pPr>
        <w:ind w:right="9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(indicated by asterisks) have been omitted in accordance with the rules of the Securities and Exchange Commission. + Portions of this exhibit are redacted in accordance with Item 601(b)(10)(iv) of Regulation S-K.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55" w:name="page156"/>
    <w:bookmarkEnd w:id="155"/>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7" w:right="1440" w:bottom="1440" w:gutter="0" w:footer="0" w:header="0"/>
        </w:sectPr>
      </w:pPr>
    </w:p>
    <w:bookmarkStart w:id="156" w:name="page157"/>
    <w:bookmarkEnd w:id="15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p>
      <w:pPr>
        <w:ind w:left="5440"/>
        <w:spacing w:after="0"/>
        <w:tabs>
          <w:tab w:leader="none" w:pos="5900" w:val="left"/>
        </w:tabs>
        <w:rPr>
          <w:sz w:val="20"/>
          <w:szCs w:val="20"/>
          <w:color w:val="auto"/>
        </w:rPr>
      </w:pPr>
      <w:r>
        <w:rPr>
          <w:rFonts w:ascii="Times New Roman" w:cs="Times New Roman" w:eastAsia="Times New Roman" w:hAnsi="Times New Roman"/>
          <w:sz w:val="18"/>
          <w:szCs w:val="18"/>
          <w:color w:val="auto"/>
        </w:rPr>
        <w:t>By:</w:t>
        <w:tab/>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26035</wp:posOffset>
            </wp:positionV>
            <wp:extent cx="337756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7">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Jean Franchi</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7" w:name="page158"/>
    <w:bookmarkEnd w:id="15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John Quisel, J.D., Ph.D., Jean Franchi and Rahul Khara, Pharm.D., J.D., acting alone or together with another attorney-in-fact, as his or her true and lawful attorney-in-fact and agent, with full power of substitution and resubstitution, for such person and in his or her name, place and stead, in any and all capacities, to sign any or all further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6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6"/>
                <w:szCs w:val="16"/>
                <w:color w:val="auto"/>
              </w:rPr>
            </w:pPr>
          </w:p>
        </w:tc>
        <w:tc>
          <w:tcPr>
            <w:tcW w:w="468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0" w:type="dxa"/>
            <w:vAlign w:val="bottom"/>
          </w:tcPr>
          <w:p>
            <w:pPr>
              <w:spacing w:after="0"/>
              <w:rPr>
                <w:sz w:val="16"/>
                <w:szCs w:val="16"/>
                <w:color w:val="auto"/>
              </w:rPr>
            </w:pPr>
          </w:p>
        </w:tc>
        <w:tc>
          <w:tcPr>
            <w:tcW w:w="19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75"/>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 John Quisel</w:t>
            </w:r>
          </w:p>
        </w:tc>
        <w:tc>
          <w:tcPr>
            <w:tcW w:w="4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40" w:type="dxa"/>
            <w:vAlign w:val="bottom"/>
          </w:tcPr>
          <w:p>
            <w:pPr>
              <w:spacing w:after="0"/>
              <w:rPr>
                <w:sz w:val="24"/>
                <w:szCs w:val="24"/>
                <w:color w:val="auto"/>
              </w:rPr>
            </w:pPr>
          </w:p>
        </w:tc>
        <w:tc>
          <w:tcPr>
            <w:tcW w:w="1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32"/>
        </w:trPr>
        <w:tc>
          <w:tcPr>
            <w:tcW w:w="4360" w:type="dxa"/>
            <w:vAlign w:val="bottom"/>
            <w:tcBorders>
              <w:bottom w:val="single" w:sz="8" w:color="auto"/>
            </w:tcBorders>
          </w:tcPr>
          <w:p>
            <w:pPr>
              <w:spacing w:after="0"/>
              <w:rPr>
                <w:sz w:val="2"/>
                <w:szCs w:val="2"/>
                <w:color w:val="auto"/>
              </w:rPr>
            </w:pPr>
          </w:p>
        </w:tc>
        <w:tc>
          <w:tcPr>
            <w:tcW w:w="4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John Quisel, J.D., Ph.D.</w:t>
            </w:r>
          </w:p>
        </w:tc>
        <w:tc>
          <w:tcPr>
            <w:tcW w:w="4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36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 Jean Franchi</w:t>
            </w:r>
          </w:p>
        </w:tc>
        <w:tc>
          <w:tcPr>
            <w:tcW w:w="4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0" w:type="dxa"/>
            <w:vAlign w:val="bottom"/>
          </w:tcPr>
          <w:p>
            <w:pPr>
              <w:spacing w:after="0"/>
              <w:rPr>
                <w:sz w:val="24"/>
                <w:szCs w:val="24"/>
                <w:color w:val="auto"/>
              </w:rPr>
            </w:pPr>
          </w:p>
        </w:tc>
        <w:tc>
          <w:tcPr>
            <w:tcW w:w="1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32"/>
        </w:trPr>
        <w:tc>
          <w:tcPr>
            <w:tcW w:w="4360" w:type="dxa"/>
            <w:vAlign w:val="bottom"/>
            <w:tcBorders>
              <w:bottom w:val="single" w:sz="8" w:color="auto"/>
            </w:tcBorders>
          </w:tcPr>
          <w:p>
            <w:pPr>
              <w:spacing w:after="0"/>
              <w:rPr>
                <w:sz w:val="2"/>
                <w:szCs w:val="2"/>
                <w:color w:val="auto"/>
              </w:rPr>
            </w:pPr>
          </w:p>
        </w:tc>
        <w:tc>
          <w:tcPr>
            <w:tcW w:w="4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Jean Franchi</w:t>
            </w:r>
          </w:p>
        </w:tc>
        <w:tc>
          <w:tcPr>
            <w:tcW w:w="4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36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Donald Nicholson</w:t>
            </w:r>
          </w:p>
        </w:tc>
        <w:tc>
          <w:tcPr>
            <w:tcW w:w="4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45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Donald Nicholson, Ph.D.</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Bitterman</w:t>
            </w:r>
          </w:p>
        </w:tc>
        <w:tc>
          <w:tcPr>
            <w:tcW w:w="4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45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Kevin Bitterman, Ph.D.</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Liam Ratcliffe</w:t>
            </w:r>
          </w:p>
        </w:tc>
        <w:tc>
          <w:tcPr>
            <w:tcW w:w="4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45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Liam Ratcliffe, M.D., Ph.D.</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White</w:t>
            </w:r>
          </w:p>
        </w:tc>
        <w:tc>
          <w:tcPr>
            <w:tcW w:w="4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45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William White MPP, J.D.</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Chin</w:t>
            </w:r>
          </w:p>
        </w:tc>
        <w:tc>
          <w:tcPr>
            <w:tcW w:w="4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45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Mark Chin, MS, MBA</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Georges Gemayel</w:t>
            </w:r>
          </w:p>
        </w:tc>
        <w:tc>
          <w:tcPr>
            <w:tcW w:w="4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45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Georges Gemayel, Ph.D.</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Nadim Ahmed</w:t>
            </w:r>
          </w:p>
        </w:tc>
        <w:tc>
          <w:tcPr>
            <w:tcW w:w="4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45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Nadim Ahmed</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360" w:type="dxa"/>
            <w:vAlign w:val="bottom"/>
          </w:tcPr>
          <w:p>
            <w:pPr>
              <w:spacing w:after="0"/>
              <w:rPr>
                <w:sz w:val="24"/>
                <w:szCs w:val="24"/>
                <w:color w:val="auto"/>
              </w:rPr>
            </w:pPr>
          </w:p>
        </w:tc>
        <w:tc>
          <w:tcPr>
            <w:tcW w:w="4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2"/>
          <w:szCs w:val="22"/>
          <w:b w:val="1"/>
          <w:bCs w:val="1"/>
          <w:color w:val="auto"/>
        </w:rPr>
        <w:t>Exhibit 14.1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Code of Business Conduct and Ethics</w:t>
      </w:r>
    </w:p>
    <w:p>
      <w:pPr>
        <w:spacing w:after="0" w:line="200" w:lineRule="exact"/>
        <w:rPr>
          <w:sz w:val="20"/>
          <w:szCs w:val="20"/>
          <w:color w:val="auto"/>
        </w:rPr>
      </w:pPr>
    </w:p>
    <w:p>
      <w:pPr>
        <w:spacing w:after="0" w:line="249" w:lineRule="exact"/>
        <w:rPr>
          <w:sz w:val="20"/>
          <w:szCs w:val="20"/>
          <w:color w:val="auto"/>
        </w:rPr>
      </w:pPr>
    </w:p>
    <w:p>
      <w:pPr>
        <w:ind w:left="760" w:hanging="752"/>
        <w:spacing w:after="0"/>
        <w:tabs>
          <w:tab w:leader="none" w:pos="76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 and Scope</w:t>
      </w:r>
    </w:p>
    <w:p>
      <w:pPr>
        <w:spacing w:after="0" w:line="210" w:lineRule="exact"/>
        <w:rPr>
          <w:sz w:val="20"/>
          <w:szCs w:val="20"/>
          <w:color w:val="auto"/>
        </w:rPr>
      </w:pPr>
    </w:p>
    <w:p>
      <w:pPr>
        <w:jc w:val="both"/>
        <w:ind w:left="160"/>
        <w:spacing w:after="0" w:line="244" w:lineRule="auto"/>
        <w:rPr>
          <w:sz w:val="20"/>
          <w:szCs w:val="20"/>
          <w:color w:val="auto"/>
        </w:rPr>
      </w:pPr>
      <w:r>
        <w:rPr>
          <w:rFonts w:ascii="Times New Roman" w:cs="Times New Roman" w:eastAsia="Times New Roman" w:hAnsi="Times New Roman"/>
          <w:sz w:val="22"/>
          <w:szCs w:val="22"/>
          <w:color w:val="auto"/>
        </w:rPr>
        <w:t>The Board of Directors of Disc Medicine, Inc. (together with its subsidiaries, the “Company”) has adopted this Code of Business Conduct and Ethics (this “Code”) to aid the Company’s directors, officers, employees and designated agents in making ethical and legal decisions when conducting the Company’s business and performing their day-to-day duties.</w:t>
      </w:r>
    </w:p>
    <w:p>
      <w:pPr>
        <w:spacing w:after="0" w:line="173"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22"/>
          <w:szCs w:val="22"/>
          <w:color w:val="auto"/>
        </w:rPr>
        <w:t>The Company’s Board of Directors (the “Board”) or a committee of the Board is responsible for administering the Code. The Board has delegated day-to-day responsibility for administering and interpreting the Code to a Chief Compliance Officer.</w:t>
      </w:r>
    </w:p>
    <w:p>
      <w:pPr>
        <w:spacing w:after="0" w:line="158" w:lineRule="exact"/>
        <w:rPr>
          <w:sz w:val="20"/>
          <w:szCs w:val="20"/>
          <w:color w:val="auto"/>
        </w:rPr>
      </w:pPr>
    </w:p>
    <w:p>
      <w:pPr>
        <w:jc w:val="both"/>
        <w:ind w:left="160"/>
        <w:spacing w:after="0" w:line="236" w:lineRule="auto"/>
        <w:rPr>
          <w:sz w:val="20"/>
          <w:szCs w:val="20"/>
          <w:color w:val="auto"/>
        </w:rPr>
      </w:pPr>
      <w:r>
        <w:rPr>
          <w:rFonts w:ascii="Times New Roman" w:cs="Times New Roman" w:eastAsia="Times New Roman" w:hAnsi="Times New Roman"/>
          <w:sz w:val="22"/>
          <w:szCs w:val="22"/>
          <w:color w:val="auto"/>
        </w:rPr>
        <w:t>The Company expects its directors, officers, employees and designated agents to exercise reasonable judgment when conducting the Company’s business. The Company encourages its directors, officers, employees and designated agents to refer to this Code frequently to ensure that they are acting within both the letter and spirit of this Code. The Company also understands that this Code will not answer every problem you may encounter or address every concern you may have about conducting the Company’s business ethically and legally. In these situations, or if you otherwise have questions or concerns about this Code, the Company encourages you to speak with your supervisor or the Compliance Department.</w:t>
      </w:r>
    </w:p>
    <w:p>
      <w:pPr>
        <w:spacing w:after="0" w:line="181" w:lineRule="exact"/>
        <w:rPr>
          <w:sz w:val="20"/>
          <w:szCs w:val="20"/>
          <w:color w:val="auto"/>
        </w:rPr>
      </w:pPr>
    </w:p>
    <w:p>
      <w:pPr>
        <w:jc w:val="both"/>
        <w:ind w:left="160"/>
        <w:spacing w:after="0" w:line="239" w:lineRule="auto"/>
        <w:rPr>
          <w:sz w:val="20"/>
          <w:szCs w:val="20"/>
          <w:color w:val="auto"/>
        </w:rPr>
      </w:pPr>
      <w:r>
        <w:rPr>
          <w:rFonts w:ascii="Times New Roman" w:cs="Times New Roman" w:eastAsia="Times New Roman" w:hAnsi="Times New Roman"/>
          <w:sz w:val="22"/>
          <w:szCs w:val="22"/>
          <w:color w:val="auto"/>
        </w:rPr>
        <w:t xml:space="preserve">The Company’s directors, officers, employees and designated agents generally have other legal and contractual obligations to the Company. This Code is not intended to reduce or limit the other obligations you may have to the Company. Instead, this Code should be viewed as imposing the </w:t>
      </w:r>
      <w:r>
        <w:rPr>
          <w:rFonts w:ascii="Times New Roman" w:cs="Times New Roman" w:eastAsia="Times New Roman" w:hAnsi="Times New Roman"/>
          <w:sz w:val="22"/>
          <w:szCs w:val="22"/>
          <w:i w:val="1"/>
          <w:iCs w:val="1"/>
          <w:color w:val="auto"/>
        </w:rPr>
        <w:t>minimum standards</w:t>
      </w:r>
      <w:r>
        <w:rPr>
          <w:rFonts w:ascii="Times New Roman" w:cs="Times New Roman" w:eastAsia="Times New Roman" w:hAnsi="Times New Roman"/>
          <w:sz w:val="22"/>
          <w:szCs w:val="22"/>
          <w:color w:val="auto"/>
        </w:rPr>
        <w:t xml:space="preserve"> the Company expects from its directors, officers and employees in the conduct of the Company’s business.</w:t>
      </w:r>
    </w:p>
    <w:p>
      <w:pPr>
        <w:spacing w:after="0" w:line="176" w:lineRule="exact"/>
        <w:rPr>
          <w:sz w:val="20"/>
          <w:szCs w:val="20"/>
          <w:color w:val="auto"/>
        </w:rPr>
      </w:pPr>
    </w:p>
    <w:p>
      <w:pPr>
        <w:ind w:left="760" w:hanging="752"/>
        <w:spacing w:after="0"/>
        <w:tabs>
          <w:tab w:leader="none" w:pos="76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Standards of Conduct</w:t>
      </w:r>
    </w:p>
    <w:p>
      <w:pPr>
        <w:spacing w:after="0" w:line="206"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1"/>
          <w:szCs w:val="21"/>
          <w:b w:val="1"/>
          <w:bCs w:val="1"/>
          <w:color w:val="auto"/>
        </w:rPr>
        <w:t>Compliance with Laws, Rules and Regulations; Whistleblower Protection</w:t>
      </w:r>
    </w:p>
    <w:p>
      <w:pPr>
        <w:spacing w:after="0" w:line="210"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The Company requires that all employees, officers, directors and designated agents comply with all laws, rules and regulations applicable to the Company wherever it does business. You are expected to use good judgment and common sense in seeking to comply with all applicable laws, rules and regulations and to ask for advice when you are uncertain about them.</w:t>
      </w:r>
    </w:p>
    <w:p>
      <w:pPr>
        <w:spacing w:after="0" w:line="180"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If you become aware of the violation of any law, rule or regulation by the Company, whether by its officers, employees, directors, or any third party doing business on behalf of the Company, subject to the provisions of the following paragraph, it is your responsibility to promptly report the matter to your supervisor or to the Legal or Compliance Departments.</w:t>
      </w:r>
    </w:p>
    <w:p>
      <w:pPr>
        <w:spacing w:after="0" w:line="180" w:lineRule="exact"/>
        <w:rPr>
          <w:sz w:val="20"/>
          <w:szCs w:val="20"/>
          <w:color w:val="auto"/>
        </w:rPr>
      </w:pPr>
    </w:p>
    <w:p>
      <w:pPr>
        <w:jc w:val="both"/>
        <w:ind w:left="760"/>
        <w:spacing w:after="0" w:line="248" w:lineRule="auto"/>
        <w:rPr>
          <w:sz w:val="20"/>
          <w:szCs w:val="20"/>
          <w:color w:val="auto"/>
        </w:rPr>
      </w:pPr>
      <w:r>
        <w:rPr>
          <w:rFonts w:ascii="Times New Roman" w:cs="Times New Roman" w:eastAsia="Times New Roman" w:hAnsi="Times New Roman"/>
          <w:sz w:val="21"/>
          <w:szCs w:val="21"/>
          <w:color w:val="auto"/>
        </w:rPr>
        <w:t>Whistleblower Protection: Nothing contained in this Code, any agreement you have entered into with the Company, or any other Company policy limits your ability, with or without notice to the Company, to: (i) file a charge or complaint with any federal, state or local governmental agency or commission (a “Government Agency”) such as the Equal Employment Opportunity Commission, the National Labor Relations Board or the Securities and Exchange Commission (the “SEC”); (ii) communicate with any Government Agency or otherwise participate in any investigation or proceeding that may be conducted by any Government Agency, including by providing information or documents not subject to attorney-client privilege; (iii) exercise any rights under Section 7 of the National Labor Relations Act, which are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9" w:name="page160"/>
    <w:bookmarkEnd w:id="159"/>
    <w:p>
      <w:pPr>
        <w:jc w:val="both"/>
        <w:ind w:left="3"/>
        <w:spacing w:after="0" w:line="233" w:lineRule="auto"/>
        <w:rPr>
          <w:sz w:val="20"/>
          <w:szCs w:val="20"/>
          <w:color w:val="auto"/>
        </w:rPr>
      </w:pPr>
      <w:r>
        <w:rPr>
          <w:rFonts w:ascii="Times New Roman" w:cs="Times New Roman" w:eastAsia="Times New Roman" w:hAnsi="Times New Roman"/>
          <w:sz w:val="22"/>
          <w:szCs w:val="22"/>
          <w:color w:val="auto"/>
        </w:rPr>
        <w:t>available to non-supervisory employees, including assisting co-workers with or discussing any employment issue as part of engaging in concerted activities for the purpose of mutual aid or protection; (iv) share compensation information concerning you or others (provided that this does not permit you to disclose compensation information concerning others that you obtain because your job responsibilities require or allow access to such information); (v) discuss or disclose information about unlawful acts in the workplace, such as harassment or discrimination or any other conduct that you have reason to believe is unlawful; or (vi) testify truthfully in a legal proceeding. Any communications and disclosures related to these matters must be consistent with applicable law and the information disclosed must not have been obtained through a communication that was subject to the attorney-client privilege (unless disclosure of that information would otherwise be permitted consistent with such privilege or applicable law). The Company will not limit any right you may have to receive an award pursuant to the whistleblower provisions of any applicable law or regulation for providing information to the SEC or any other Government Agency. Any provisions of any agreement between the Company and any current or former employee that is inconsistent with the above language or that may limit or interfere with the ability of any person to receive an award under the whistleblower provisions of applicable law will not be enforced by the Company.</w:t>
      </w:r>
    </w:p>
    <w:p>
      <w:pPr>
        <w:spacing w:after="0" w:line="176" w:lineRule="exact"/>
        <w:rPr>
          <w:sz w:val="20"/>
          <w:szCs w:val="20"/>
          <w:color w:val="auto"/>
        </w:rPr>
      </w:pPr>
    </w:p>
    <w:p>
      <w:pPr>
        <w:ind w:left="743" w:hanging="743"/>
        <w:spacing w:after="0"/>
        <w:tabs>
          <w:tab w:leader="none" w:pos="743"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Conflicts of Interest</w:t>
      </w:r>
    </w:p>
    <w:p>
      <w:pPr>
        <w:spacing w:after="0" w:line="210" w:lineRule="exact"/>
        <w:rPr>
          <w:sz w:val="20"/>
          <w:szCs w:val="20"/>
          <w:color w:val="auto"/>
        </w:rPr>
      </w:pPr>
    </w:p>
    <w:p>
      <w:pPr>
        <w:jc w:val="both"/>
        <w:ind w:left="3"/>
        <w:spacing w:after="0" w:line="238" w:lineRule="auto"/>
        <w:rPr>
          <w:sz w:val="20"/>
          <w:szCs w:val="20"/>
          <w:color w:val="auto"/>
        </w:rPr>
      </w:pPr>
      <w:r>
        <w:rPr>
          <w:rFonts w:ascii="Times New Roman" w:cs="Times New Roman" w:eastAsia="Times New Roman" w:hAnsi="Times New Roman"/>
          <w:sz w:val="22"/>
          <w:szCs w:val="22"/>
          <w:color w:val="auto"/>
        </w:rPr>
        <w:t>The Company recognizes and respects the right of its directors, officers, employees and designated agents to engage in outside activities that they may deem proper and desirable, provided that these activities do not impair or interfere with the performance of their duties to the Company or their ability to act in the Company’s best interests. Our directors, officers and employees must avoid situations that present a potential or actual conflict between their personal interests or outside professional interests and the Company’s interests.</w:t>
      </w:r>
    </w:p>
    <w:p>
      <w:pPr>
        <w:spacing w:after="0" w:line="177" w:lineRule="exact"/>
        <w:rPr>
          <w:sz w:val="20"/>
          <w:szCs w:val="20"/>
          <w:color w:val="auto"/>
        </w:rPr>
      </w:pPr>
    </w:p>
    <w:p>
      <w:pPr>
        <w:jc w:val="both"/>
        <w:ind w:left="3"/>
        <w:spacing w:after="0" w:line="247" w:lineRule="auto"/>
        <w:rPr>
          <w:sz w:val="20"/>
          <w:szCs w:val="20"/>
          <w:color w:val="auto"/>
        </w:rPr>
      </w:pPr>
      <w:r>
        <w:rPr>
          <w:rFonts w:ascii="Times New Roman" w:cs="Times New Roman" w:eastAsia="Times New Roman" w:hAnsi="Times New Roman"/>
          <w:sz w:val="21"/>
          <w:szCs w:val="21"/>
          <w:color w:val="auto"/>
        </w:rPr>
        <w:t>A “conflict of interest” occurs when a director’s, officer’s, employee’s or designated agent’s personal interest interferes with the Company’s interests. Conflicts of interest can arise in many situations. For example, conflicts of interest can arise when a director, officer or employee takes an action or has an outside interest, responsibility or obligation that can make it difficult for him or her to perform the responsibilities of his or her position objectively or effectively in the Company’s best interests. Conflicts of interest can also occur when a director, officer, employee or designated agent or his or her immediate family member receives some personal benefit (whether improper or not) as a result of the director’s, officer’s, employee’s or designated agent’s position with the Company. Each individual’s situation is different and in evaluating his or her own situation, a director, officer or employee will have to consider many factors.</w:t>
      </w:r>
    </w:p>
    <w:p>
      <w:pPr>
        <w:spacing w:after="0" w:line="172" w:lineRule="exact"/>
        <w:rPr>
          <w:sz w:val="20"/>
          <w:szCs w:val="20"/>
          <w:color w:val="auto"/>
        </w:rPr>
      </w:pPr>
    </w:p>
    <w:p>
      <w:pPr>
        <w:jc w:val="both"/>
        <w:ind w:left="3"/>
        <w:spacing w:after="0" w:line="236" w:lineRule="auto"/>
        <w:rPr>
          <w:sz w:val="20"/>
          <w:szCs w:val="20"/>
          <w:color w:val="auto"/>
        </w:rPr>
      </w:pPr>
      <w:r>
        <w:rPr>
          <w:rFonts w:ascii="Times New Roman" w:cs="Times New Roman" w:eastAsia="Times New Roman" w:hAnsi="Times New Roman"/>
          <w:sz w:val="22"/>
          <w:szCs w:val="22"/>
          <w:color w:val="auto"/>
        </w:rPr>
        <w:t>Any material transaction, responsibility, obligation, or relationship that reasonably could be expected to give rise to a conflict of interest should be reported promptly to the Compliance Department, who may notify the Board or a committee of the Board as they deem appropriate. Actual or potential conflicts of interest involving a director or executive officer or employee other than the Chief Compliance Officer should be disclosed directly to the Chief Compliance Officer. Actual or potential conflicts of interest involving the Chief Compliance Officer should be disclosed directly to the Chief Executive Officer.</w:t>
      </w:r>
    </w:p>
    <w:p>
      <w:pPr>
        <w:spacing w:after="0" w:line="177" w:lineRule="exact"/>
        <w:rPr>
          <w:sz w:val="20"/>
          <w:szCs w:val="20"/>
          <w:color w:val="auto"/>
        </w:rPr>
      </w:pPr>
    </w:p>
    <w:p>
      <w:pPr>
        <w:ind w:left="743" w:hanging="743"/>
        <w:spacing w:after="0"/>
        <w:tabs>
          <w:tab w:leader="none" w:pos="743"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Insider Trading</w:t>
      </w:r>
    </w:p>
    <w:p>
      <w:pPr>
        <w:spacing w:after="0" w:line="210" w:lineRule="exact"/>
        <w:rPr>
          <w:sz w:val="20"/>
          <w:szCs w:val="20"/>
          <w:color w:val="auto"/>
        </w:rPr>
      </w:pPr>
    </w:p>
    <w:p>
      <w:pPr>
        <w:jc w:val="both"/>
        <w:ind w:left="3"/>
        <w:spacing w:after="0" w:line="239" w:lineRule="auto"/>
        <w:rPr>
          <w:sz w:val="20"/>
          <w:szCs w:val="20"/>
          <w:color w:val="auto"/>
        </w:rPr>
      </w:pPr>
      <w:r>
        <w:rPr>
          <w:rFonts w:ascii="Times New Roman" w:cs="Times New Roman" w:eastAsia="Times New Roman" w:hAnsi="Times New Roman"/>
          <w:sz w:val="22"/>
          <w:szCs w:val="22"/>
          <w:color w:val="auto"/>
        </w:rPr>
        <w:t>Employees, officers, directors and designated agents who have material non-public information about the Company or other companies, including our suppliers and customers, as a result of their relationship with the Company are prohibited by law and Company policy from trading in securities of the Company or such other companies, as well as from communicating such information to others who might trade on the</w:t>
      </w:r>
    </w:p>
    <w:p>
      <w:pPr>
        <w:spacing w:after="0" w:line="329"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229870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60" w:name="page161"/>
    <w:bookmarkEnd w:id="160"/>
    <w:p>
      <w:pPr>
        <w:jc w:val="both"/>
        <w:ind w:left="3"/>
        <w:spacing w:after="0" w:line="244" w:lineRule="auto"/>
        <w:rPr>
          <w:sz w:val="20"/>
          <w:szCs w:val="20"/>
          <w:color w:val="auto"/>
        </w:rPr>
      </w:pPr>
      <w:r>
        <w:rPr>
          <w:rFonts w:ascii="Times New Roman" w:cs="Times New Roman" w:eastAsia="Times New Roman" w:hAnsi="Times New Roman"/>
          <w:sz w:val="22"/>
          <w:szCs w:val="22"/>
          <w:color w:val="auto"/>
        </w:rPr>
        <w:t>basis of that information. To help ensure that you do not engage in prohibited insider trading and avoid even the appearance of an improper transaction, the Company has adopted an Insider Trading Policy, which is distributed to directors, officers and employees and is also available from the Legal Department.</w:t>
      </w:r>
    </w:p>
    <w:p>
      <w:pPr>
        <w:spacing w:after="0" w:line="173" w:lineRule="exact"/>
        <w:rPr>
          <w:sz w:val="20"/>
          <w:szCs w:val="20"/>
          <w:color w:val="auto"/>
        </w:rPr>
      </w:pPr>
    </w:p>
    <w:p>
      <w:pPr>
        <w:jc w:val="both"/>
        <w:ind w:left="3"/>
        <w:spacing w:after="0" w:line="244" w:lineRule="auto"/>
        <w:rPr>
          <w:sz w:val="20"/>
          <w:szCs w:val="20"/>
          <w:color w:val="auto"/>
        </w:rPr>
      </w:pPr>
      <w:r>
        <w:rPr>
          <w:rFonts w:ascii="Times New Roman" w:cs="Times New Roman" w:eastAsia="Times New Roman" w:hAnsi="Times New Roman"/>
          <w:sz w:val="22"/>
          <w:szCs w:val="22"/>
          <w:color w:val="auto"/>
        </w:rPr>
        <w:t>If you are uncertain about the constraints on your purchase or sale of any Company securities or the securities of any other company that you are familiar with by virtue of your relationship with the Company, you should consult with the Chief Legal Officer before making any such purchase or sale.</w:t>
      </w:r>
    </w:p>
    <w:p>
      <w:pPr>
        <w:spacing w:after="0" w:line="169" w:lineRule="exact"/>
        <w:rPr>
          <w:sz w:val="20"/>
          <w:szCs w:val="20"/>
          <w:color w:val="auto"/>
        </w:rPr>
      </w:pPr>
    </w:p>
    <w:p>
      <w:pPr>
        <w:ind w:left="743" w:hanging="743"/>
        <w:spacing w:after="0"/>
        <w:tabs>
          <w:tab w:leader="none" w:pos="743"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10" w:lineRule="exact"/>
        <w:rPr>
          <w:sz w:val="20"/>
          <w:szCs w:val="20"/>
          <w:color w:val="auto"/>
        </w:rPr>
      </w:pPr>
    </w:p>
    <w:p>
      <w:pPr>
        <w:jc w:val="both"/>
        <w:ind w:left="3"/>
        <w:spacing w:after="0" w:line="233" w:lineRule="auto"/>
        <w:rPr>
          <w:sz w:val="20"/>
          <w:szCs w:val="20"/>
          <w:color w:val="auto"/>
        </w:rPr>
      </w:pPr>
      <w:r>
        <w:rPr>
          <w:rFonts w:ascii="Times New Roman" w:cs="Times New Roman" w:eastAsia="Times New Roman" w:hAnsi="Times New Roman"/>
          <w:sz w:val="22"/>
          <w:szCs w:val="22"/>
          <w:color w:val="auto"/>
        </w:rPr>
        <w:t>Subject to the whistleblower protections set forth in Section II.A., employees, officers, directors and designated agents must maintain the confidentiality of confidential information entrusted to them by the Company or other companies, including our suppliers and customers, except when disclosure is authorized by a supervisor or legally mandated. Unauthorized disclosure of any confidential information is prohibited. Additionally, directors, officers, employees and designated agents should take appropriate precautions to ensure that confidential or sensitive business information, whether it is proprietary to the Company or another company, is not communicated within the Company except to directors, officers, employees and designated agents who have a need to know such information to perform their responsibilities for the Company. Directors that are affiliated with our current stockholders may disclose information to such stockholders, subject in all respects to those directors’ duties to the Company and all stockholders under Delaware law as well as those directors’ and affiliates stockholders’ compliance with applicable securities laws and our Insider Trading Policy.</w:t>
      </w:r>
    </w:p>
    <w:p>
      <w:pPr>
        <w:spacing w:after="0" w:line="187" w:lineRule="exact"/>
        <w:rPr>
          <w:sz w:val="20"/>
          <w:szCs w:val="20"/>
          <w:color w:val="auto"/>
        </w:rPr>
      </w:pPr>
    </w:p>
    <w:p>
      <w:pPr>
        <w:jc w:val="both"/>
        <w:ind w:left="3"/>
        <w:spacing w:after="0" w:line="233" w:lineRule="auto"/>
        <w:rPr>
          <w:sz w:val="20"/>
          <w:szCs w:val="20"/>
          <w:color w:val="auto"/>
        </w:rPr>
      </w:pPr>
      <w:r>
        <w:rPr>
          <w:rFonts w:ascii="Times New Roman" w:cs="Times New Roman" w:eastAsia="Times New Roman" w:hAnsi="Times New Roman"/>
          <w:sz w:val="22"/>
          <w:szCs w:val="22"/>
          <w:color w:val="auto"/>
        </w:rPr>
        <w:t>Third parties may ask you for information concerning the Company. Subject to the exceptions noted in the preceding paragraph, and the whistleblower protections set forth in Section II.A., employees, officers, directors and designated agents (other than the Company’s authorized spokespersons) must not discuss internal Company matters with, or disseminate internal Company information to, anyone outside the Company, except as required in the performance of their Company duties and, if appropriate, after a confidentiality agreement is in place. This prohibition applies particularly to inquiries concerning the Company from the media, market professionals (such as securities analysts, institutional investors, investment advisers, brokers and dealers) and security holders. All responses to inquiries on behalf of the Company must be made only by the Company’s authorized spokespersons. If you receive any inquiries of this nature, you must decline to comment and refer the inquirer to your supervisor or one of the Company’s authorized spokespersons. The Company’s policies with respect to public disclosure of internal matters are described more fully in the Company’s Disclosure Policy, which is available on the Company’s Intranet.</w:t>
      </w:r>
    </w:p>
    <w:p>
      <w:pPr>
        <w:spacing w:after="0" w:line="187" w:lineRule="exact"/>
        <w:rPr>
          <w:sz w:val="20"/>
          <w:szCs w:val="20"/>
          <w:color w:val="auto"/>
        </w:rPr>
      </w:pPr>
    </w:p>
    <w:p>
      <w:pPr>
        <w:jc w:val="both"/>
        <w:ind w:left="3"/>
        <w:spacing w:after="0" w:line="244" w:lineRule="auto"/>
        <w:rPr>
          <w:sz w:val="20"/>
          <w:szCs w:val="20"/>
          <w:color w:val="auto"/>
        </w:rPr>
      </w:pPr>
      <w:r>
        <w:rPr>
          <w:rFonts w:ascii="Times New Roman" w:cs="Times New Roman" w:eastAsia="Times New Roman" w:hAnsi="Times New Roman"/>
          <w:sz w:val="22"/>
          <w:szCs w:val="22"/>
          <w:color w:val="auto"/>
        </w:rPr>
        <w:t>You also must abide by any lawful obligations that you have to your former employer. These obligations may include restrictions on the use and disclosure of confidential information, restrictions on the solicitation of former colleagues to work at the Company and non-competition obligations.</w:t>
      </w:r>
    </w:p>
    <w:p>
      <w:pPr>
        <w:spacing w:after="0" w:line="169" w:lineRule="exact"/>
        <w:rPr>
          <w:sz w:val="20"/>
          <w:szCs w:val="20"/>
          <w:color w:val="auto"/>
        </w:rPr>
      </w:pPr>
    </w:p>
    <w:p>
      <w:pPr>
        <w:ind w:left="743" w:hanging="743"/>
        <w:spacing w:after="0"/>
        <w:tabs>
          <w:tab w:leader="none" w:pos="743"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Honest and Ethical Conduct and Fair Dealing</w:t>
      </w:r>
    </w:p>
    <w:p>
      <w:pPr>
        <w:spacing w:after="0" w:line="210" w:lineRule="exact"/>
        <w:rPr>
          <w:sz w:val="20"/>
          <w:szCs w:val="20"/>
          <w:color w:val="auto"/>
        </w:rPr>
      </w:pPr>
    </w:p>
    <w:p>
      <w:pPr>
        <w:jc w:val="both"/>
        <w:ind w:left="3"/>
        <w:spacing w:after="0" w:line="238" w:lineRule="auto"/>
        <w:rPr>
          <w:sz w:val="20"/>
          <w:szCs w:val="20"/>
          <w:color w:val="auto"/>
        </w:rPr>
      </w:pPr>
      <w:r>
        <w:rPr>
          <w:rFonts w:ascii="Times New Roman" w:cs="Times New Roman" w:eastAsia="Times New Roman" w:hAnsi="Times New Roman"/>
          <w:sz w:val="22"/>
          <w:szCs w:val="22"/>
          <w:color w:val="auto"/>
        </w:rPr>
        <w:t>Employees, officers, directors and designated agents should endeavor to deal honestly, ethically and fairly with the Company’s suppliers, customers, competitors and employees. Statements regarding the Company’s products and services must not be untrue, misleading, deceptive or fraudulent. You must not take unfair advantage of anyone through manipulation, concealment, abuse of privileged information, misrepresentation of material facts or any other unfair-dealing practice.</w:t>
      </w:r>
    </w:p>
    <w:p>
      <w:pPr>
        <w:spacing w:after="0" w:line="325"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229870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61" w:name="page162"/>
    <w:bookmarkEnd w:id="161"/>
    <w:p>
      <w:pPr>
        <w:ind w:left="743" w:hanging="743"/>
        <w:spacing w:after="0"/>
        <w:tabs>
          <w:tab w:leader="none" w:pos="743"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Protection and Proper Use of Corporate Assets</w:t>
      </w:r>
    </w:p>
    <w:p>
      <w:pPr>
        <w:spacing w:after="0" w:line="210" w:lineRule="exact"/>
        <w:rPr>
          <w:sz w:val="20"/>
          <w:szCs w:val="20"/>
          <w:color w:val="auto"/>
        </w:rPr>
      </w:pPr>
    </w:p>
    <w:p>
      <w:pPr>
        <w:jc w:val="both"/>
        <w:ind w:left="3"/>
        <w:spacing w:after="0" w:line="239" w:lineRule="auto"/>
        <w:rPr>
          <w:sz w:val="20"/>
          <w:szCs w:val="20"/>
          <w:color w:val="auto"/>
        </w:rPr>
      </w:pPr>
      <w:r>
        <w:rPr>
          <w:rFonts w:ascii="Times New Roman" w:cs="Times New Roman" w:eastAsia="Times New Roman" w:hAnsi="Times New Roman"/>
          <w:sz w:val="22"/>
          <w:szCs w:val="22"/>
          <w:color w:val="auto"/>
        </w:rPr>
        <w:t>Employees, officers, directors and designated agents should seek to protect the Company’s assets. Theft, carelessness and waste have a direct impact on the Company’s financial performance. Employees, officers and directors must use the Company’s assets and services solely for legitimate business purposes of the Company and not for any personal benefit or the personal benefit of anyone else.</w:t>
      </w:r>
    </w:p>
    <w:p>
      <w:pPr>
        <w:spacing w:after="0" w:line="176" w:lineRule="exact"/>
        <w:rPr>
          <w:sz w:val="20"/>
          <w:szCs w:val="20"/>
          <w:color w:val="auto"/>
        </w:rPr>
      </w:pPr>
    </w:p>
    <w:p>
      <w:pPr>
        <w:ind w:left="743" w:hanging="743"/>
        <w:spacing w:after="0"/>
        <w:tabs>
          <w:tab w:leader="none" w:pos="743"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Corporate Opportunities</w:t>
      </w:r>
    </w:p>
    <w:p>
      <w:pPr>
        <w:spacing w:after="0" w:line="210" w:lineRule="exact"/>
        <w:rPr>
          <w:sz w:val="20"/>
          <w:szCs w:val="20"/>
          <w:color w:val="auto"/>
        </w:rPr>
      </w:pPr>
    </w:p>
    <w:p>
      <w:pPr>
        <w:ind w:left="3"/>
        <w:spacing w:after="0" w:line="258" w:lineRule="auto"/>
        <w:rPr>
          <w:sz w:val="20"/>
          <w:szCs w:val="20"/>
          <w:color w:val="auto"/>
        </w:rPr>
      </w:pPr>
      <w:r>
        <w:rPr>
          <w:rFonts w:ascii="Times New Roman" w:cs="Times New Roman" w:eastAsia="Times New Roman" w:hAnsi="Times New Roman"/>
          <w:sz w:val="22"/>
          <w:szCs w:val="22"/>
          <w:color w:val="auto"/>
        </w:rPr>
        <w:t>Directors, officers, employees and designated agents owe a duty to the Company to advance its legitimate business interests when the opportunity to do so arises. Each employee, officer and director is prohibited from:</w:t>
      </w:r>
    </w:p>
    <w:p>
      <w:pPr>
        <w:spacing w:after="0" w:line="158" w:lineRule="exact"/>
        <w:rPr>
          <w:sz w:val="20"/>
          <w:szCs w:val="20"/>
          <w:color w:val="auto"/>
        </w:rPr>
      </w:pPr>
    </w:p>
    <w:p>
      <w:pPr>
        <w:jc w:val="both"/>
        <w:ind w:left="743" w:hanging="369"/>
        <w:spacing w:after="0" w:line="244" w:lineRule="auto"/>
        <w:tabs>
          <w:tab w:leader="none" w:pos="74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diverting to himself or herself or to others any opportunities that are discovered through the use of the Company’s property or information or as a result of his or her position with the Company unless that opportunity has first been presented to, and rejected by, the Company;</w:t>
      </w:r>
    </w:p>
    <w:p>
      <w:pPr>
        <w:spacing w:after="0" w:line="173" w:lineRule="exact"/>
        <w:rPr>
          <w:rFonts w:ascii="Times New Roman" w:cs="Times New Roman" w:eastAsia="Times New Roman" w:hAnsi="Times New Roman"/>
          <w:sz w:val="22"/>
          <w:szCs w:val="22"/>
          <w:color w:val="auto"/>
        </w:rPr>
      </w:pPr>
    </w:p>
    <w:p>
      <w:pPr>
        <w:ind w:left="743" w:hanging="369"/>
        <w:spacing w:after="0"/>
        <w:tabs>
          <w:tab w:leader="none" w:pos="74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the Company’s property or information or his or her position for improper personal gain; or</w:t>
      </w:r>
    </w:p>
    <w:p>
      <w:pPr>
        <w:spacing w:after="0" w:line="206" w:lineRule="exact"/>
        <w:rPr>
          <w:rFonts w:ascii="Times New Roman" w:cs="Times New Roman" w:eastAsia="Times New Roman" w:hAnsi="Times New Roman"/>
          <w:sz w:val="22"/>
          <w:szCs w:val="22"/>
          <w:color w:val="auto"/>
        </w:rPr>
      </w:pPr>
    </w:p>
    <w:p>
      <w:pPr>
        <w:ind w:left="743" w:hanging="369"/>
        <w:spacing w:after="0"/>
        <w:tabs>
          <w:tab w:leader="none" w:pos="74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competing with the Company.</w:t>
      </w:r>
    </w:p>
    <w:p>
      <w:pPr>
        <w:spacing w:after="0" w:line="206" w:lineRule="exact"/>
        <w:rPr>
          <w:sz w:val="20"/>
          <w:szCs w:val="20"/>
          <w:color w:val="auto"/>
        </w:rPr>
      </w:pPr>
    </w:p>
    <w:p>
      <w:pPr>
        <w:jc w:val="both"/>
        <w:ind w:left="3"/>
        <w:spacing w:after="0" w:line="238" w:lineRule="auto"/>
        <w:rPr>
          <w:sz w:val="20"/>
          <w:szCs w:val="20"/>
          <w:color w:val="auto"/>
        </w:rPr>
      </w:pPr>
      <w:r>
        <w:rPr>
          <w:rFonts w:ascii="Times New Roman" w:cs="Times New Roman" w:eastAsia="Times New Roman" w:hAnsi="Times New Roman"/>
          <w:sz w:val="22"/>
          <w:szCs w:val="22"/>
          <w:color w:val="auto"/>
        </w:rPr>
        <w:t>Notwithstanding the foregoing, nothing in this Code will preclude or in any way restrict a member of the Board who is serving as a member of the Board at the request or direction of a venture capital fund or other entity and/or certain of its affiliates from conducting the business of venture capital investing (including, but not limited to, reviewing business plans and other materials containing proprietary information of many enterprises, including enterprises which may have products or services that compete directly or indirectly with those of the Company).</w:t>
      </w:r>
    </w:p>
    <w:p>
      <w:pPr>
        <w:spacing w:after="0" w:line="173" w:lineRule="exact"/>
        <w:rPr>
          <w:sz w:val="20"/>
          <w:szCs w:val="20"/>
          <w:color w:val="auto"/>
        </w:rPr>
      </w:pPr>
    </w:p>
    <w:p>
      <w:pPr>
        <w:ind w:left="743" w:hanging="743"/>
        <w:spacing w:after="0"/>
        <w:tabs>
          <w:tab w:leader="none" w:pos="743"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Political Contributions</w:t>
      </w:r>
    </w:p>
    <w:p>
      <w:pPr>
        <w:spacing w:after="0" w:line="210" w:lineRule="exact"/>
        <w:rPr>
          <w:sz w:val="20"/>
          <w:szCs w:val="20"/>
          <w:color w:val="auto"/>
        </w:rPr>
      </w:pPr>
    </w:p>
    <w:p>
      <w:pPr>
        <w:jc w:val="both"/>
        <w:ind w:left="3"/>
        <w:spacing w:after="0" w:line="248" w:lineRule="auto"/>
        <w:rPr>
          <w:sz w:val="20"/>
          <w:szCs w:val="20"/>
          <w:color w:val="auto"/>
        </w:rPr>
      </w:pPr>
      <w:r>
        <w:rPr>
          <w:rFonts w:ascii="Times New Roman" w:cs="Times New Roman" w:eastAsia="Times New Roman" w:hAnsi="Times New Roman"/>
          <w:sz w:val="21"/>
          <w:szCs w:val="21"/>
          <w:color w:val="auto"/>
        </w:rPr>
        <w:t>Business contributions to political campaigns are strictly regulated by federal, state, provincial and local law in the U.S. and many other jurisdictions. Accordingly, all political contributions proposed to be made with the Company’s funds must be coordinated through and approved by the Chief Compliance Officer. Directors, officers, employees and designated agents may not, without the approval of the Chief Compliance Officer, use any Company funds for political contributions of any kind to any political candidate or holder of any national, state or local government office. Directors, officers, employees and designated agents may make personal contributions, but should not represent that they are making contributions on the Company’s behalf. Specific questions should be directed to the Chief Compliance Officer.</w:t>
      </w:r>
    </w:p>
    <w:p>
      <w:pPr>
        <w:spacing w:after="0" w:line="166" w:lineRule="exact"/>
        <w:rPr>
          <w:sz w:val="20"/>
          <w:szCs w:val="20"/>
          <w:color w:val="auto"/>
        </w:rPr>
      </w:pPr>
    </w:p>
    <w:p>
      <w:pPr>
        <w:ind w:left="743" w:hanging="743"/>
        <w:spacing w:after="0"/>
        <w:tabs>
          <w:tab w:leader="none" w:pos="743"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Gifts</w:t>
      </w:r>
    </w:p>
    <w:p>
      <w:pPr>
        <w:spacing w:after="0" w:line="210" w:lineRule="exact"/>
        <w:rPr>
          <w:sz w:val="20"/>
          <w:szCs w:val="20"/>
          <w:color w:val="auto"/>
        </w:rPr>
      </w:pPr>
    </w:p>
    <w:p>
      <w:pPr>
        <w:jc w:val="both"/>
        <w:ind w:left="3"/>
        <w:spacing w:after="0" w:line="244" w:lineRule="auto"/>
        <w:rPr>
          <w:sz w:val="20"/>
          <w:szCs w:val="20"/>
          <w:color w:val="auto"/>
        </w:rPr>
      </w:pPr>
      <w:r>
        <w:rPr>
          <w:rFonts w:ascii="Times New Roman" w:cs="Times New Roman" w:eastAsia="Times New Roman" w:hAnsi="Times New Roman"/>
          <w:sz w:val="22"/>
          <w:szCs w:val="22"/>
          <w:color w:val="auto"/>
        </w:rPr>
        <w:t>Generally, giving or receiving gifts (including discounts, coupons, and other offers not available to the public in general), meals, travel, lodging, or entertainment involving the Company’s external business relationships should meet all of the following criteria:</w:t>
      </w:r>
    </w:p>
    <w:p>
      <w:pPr>
        <w:spacing w:after="0" w:line="173" w:lineRule="exact"/>
        <w:rPr>
          <w:sz w:val="20"/>
          <w:szCs w:val="20"/>
          <w:color w:val="auto"/>
        </w:rPr>
      </w:pPr>
    </w:p>
    <w:p>
      <w:pPr>
        <w:ind w:left="743" w:hanging="369"/>
        <w:spacing w:after="0"/>
        <w:tabs>
          <w:tab w:leader="none" w:pos="74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do not violate applicable law or the Company’s policies;</w:t>
      </w:r>
    </w:p>
    <w:p>
      <w:pPr>
        <w:spacing w:after="0" w:line="206" w:lineRule="exact"/>
        <w:rPr>
          <w:rFonts w:ascii="Times New Roman" w:cs="Times New Roman" w:eastAsia="Times New Roman" w:hAnsi="Times New Roman"/>
          <w:sz w:val="22"/>
          <w:szCs w:val="22"/>
          <w:color w:val="auto"/>
        </w:rPr>
      </w:pPr>
    </w:p>
    <w:p>
      <w:pPr>
        <w:ind w:left="743" w:hanging="369"/>
        <w:spacing w:after="0"/>
        <w:tabs>
          <w:tab w:leader="none" w:pos="74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do not constitute a bribe, kickback, or other improper payment;</w:t>
      </w:r>
    </w:p>
    <w:p>
      <w:pPr>
        <w:spacing w:after="0" w:line="206" w:lineRule="exact"/>
        <w:rPr>
          <w:rFonts w:ascii="Times New Roman" w:cs="Times New Roman" w:eastAsia="Times New Roman" w:hAnsi="Times New Roman"/>
          <w:sz w:val="22"/>
          <w:szCs w:val="22"/>
          <w:color w:val="auto"/>
        </w:rPr>
      </w:pPr>
    </w:p>
    <w:p>
      <w:pPr>
        <w:ind w:left="743" w:hanging="369"/>
        <w:spacing w:after="0"/>
        <w:tabs>
          <w:tab w:leader="none" w:pos="74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have a valid business purpose;</w:t>
      </w:r>
    </w:p>
    <w:p>
      <w:pPr>
        <w:spacing w:after="0" w:line="355"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229870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4" w:right="339" w:bottom="1440" w:gutter="0" w:footer="0" w:header="0"/>
        </w:sectPr>
      </w:pPr>
    </w:p>
    <w:bookmarkStart w:id="162" w:name="page163"/>
    <w:bookmarkEnd w:id="162"/>
    <w:p>
      <w:pPr>
        <w:ind w:left="1500" w:hanging="369"/>
        <w:spacing w:after="0"/>
        <w:tabs>
          <w:tab w:leader="none" w:pos="150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are appropriate as to time, place, value (modest; not lavish or extravagant);</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are infrequent; and</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do not influence or appear to influence the behavior of the recipient.</w:t>
      </w:r>
    </w:p>
    <w:p>
      <w:pPr>
        <w:spacing w:after="0" w:line="202"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Bribes, Kickbacks and Other Improper Payments</w:t>
      </w:r>
    </w:p>
    <w:p>
      <w:pPr>
        <w:spacing w:after="0" w:line="210" w:lineRule="exact"/>
        <w:rPr>
          <w:sz w:val="20"/>
          <w:szCs w:val="20"/>
          <w:color w:val="auto"/>
        </w:rPr>
      </w:pPr>
    </w:p>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The Company does not permit or condone bribes, kickbacks or other improper payments, transfers or receipts. No director, officer, employee or designated agent should offer, give, solicit or receive any money or other item of value for the purpose of obtaining, retaining or directing business or bestowing or receiving any kind of favored treatment. The Company’s Foreign Corrupt Practices Act and Anti-Corruption Policy further establishes the Company’s policies and guidelines to facilitate compliance with the FCPA and similar anti-corruption laws of other nations by all Company personnel, contractors and agents.</w:t>
      </w:r>
    </w:p>
    <w:p>
      <w:pPr>
        <w:spacing w:after="0" w:line="177" w:lineRule="exact"/>
        <w:rPr>
          <w:sz w:val="20"/>
          <w:szCs w:val="20"/>
          <w:color w:val="auto"/>
        </w:rPr>
      </w:pPr>
    </w:p>
    <w:p>
      <w:pPr>
        <w:ind w:left="1500" w:hanging="743"/>
        <w:spacing w:after="0"/>
        <w:tabs>
          <w:tab w:leader="none" w:pos="150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International Trade Controls</w:t>
      </w:r>
    </w:p>
    <w:p>
      <w:pPr>
        <w:spacing w:after="0" w:line="210"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Many countries regulate international trade transactions, such as imports, exports and international financial transactions and prohibit boycotts against countries or firms that may be “blacklisted” by certain groups or countries. The Company’s policy is to comply with these regulations and prohibitions even if compliance may result in the loss of some business opportunities. Employees should learn and understand the extent to which international trade controls apply to transactions conducted by the Company.</w:t>
      </w:r>
    </w:p>
    <w:p>
      <w:pPr>
        <w:spacing w:after="0" w:line="173" w:lineRule="exact"/>
        <w:rPr>
          <w:sz w:val="20"/>
          <w:szCs w:val="20"/>
          <w:color w:val="auto"/>
        </w:rPr>
      </w:pPr>
    </w:p>
    <w:p>
      <w:pPr>
        <w:ind w:left="1500" w:hanging="743"/>
        <w:spacing w:after="0"/>
        <w:tabs>
          <w:tab w:leader="none" w:pos="150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Accuracy of Records</w:t>
      </w:r>
    </w:p>
    <w:p>
      <w:pPr>
        <w:spacing w:after="0" w:line="210"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Employees, officers, directors and designated agents must honestly and accurately report all business transactions. You are responsible for the accuracy of your records and reports. Accurate information is essential to the Company’s ability to meet legal and regulatory obligations.</w:t>
      </w:r>
    </w:p>
    <w:p>
      <w:pPr>
        <w:spacing w:after="0" w:line="173" w:lineRule="exact"/>
        <w:rPr>
          <w:sz w:val="20"/>
          <w:szCs w:val="20"/>
          <w:color w:val="auto"/>
        </w:rPr>
      </w:pPr>
    </w:p>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All Company books, records and accounts shall be maintained in accordance with all applicable regulations and standards and accurately reflect the true nature of the transactions they record. The financial statements of the Company shall conform to generally accepted accounting rules and the Company’s accounting policies. No undisclosed or unrecorded account or fund shall be established for any purpose. No false or misleading entries shall be made in the Company’s books or records for any reason, and no disbursement of corporate funds or other corporate property shall be made without adequate supporting documentation.</w:t>
      </w:r>
    </w:p>
    <w:p>
      <w:pPr>
        <w:spacing w:after="0" w:line="177" w:lineRule="exact"/>
        <w:rPr>
          <w:sz w:val="20"/>
          <w:szCs w:val="20"/>
          <w:color w:val="auto"/>
        </w:rPr>
      </w:pPr>
    </w:p>
    <w:p>
      <w:pPr>
        <w:ind w:left="1500" w:hanging="743"/>
        <w:spacing w:after="0"/>
        <w:tabs>
          <w:tab w:leader="none" w:pos="150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Quality of Public Disclosures</w:t>
      </w:r>
    </w:p>
    <w:p>
      <w:pPr>
        <w:spacing w:after="0" w:line="210"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It is the policy of the Company to provide full, fair, accurate, timely and understandable disclosure in reports and documents filed with, or submitted to, the Securities and Exchange Commission and in other public communications.</w:t>
      </w:r>
    </w:p>
    <w:p>
      <w:pPr>
        <w:spacing w:after="0" w:line="154" w:lineRule="exact"/>
        <w:rPr>
          <w:sz w:val="20"/>
          <w:szCs w:val="20"/>
          <w:color w:val="auto"/>
        </w:rPr>
      </w:pPr>
    </w:p>
    <w:p>
      <w:pPr>
        <w:ind w:left="760" w:hanging="752"/>
        <w:spacing w:after="0"/>
        <w:tabs>
          <w:tab w:leader="none" w:pos="76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Procedures</w:t>
      </w:r>
    </w:p>
    <w:p>
      <w:pPr>
        <w:spacing w:after="0" w:line="206"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1"/>
          <w:szCs w:val="21"/>
          <w:b w:val="1"/>
          <w:bCs w:val="1"/>
          <w:color w:val="auto"/>
        </w:rPr>
        <w:t>Communication of Code</w:t>
      </w:r>
    </w:p>
    <w:p>
      <w:pPr>
        <w:spacing w:after="0" w:line="210"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All current directors, officers, employees and designated agents are being supplied a copy of the Code. Future directors, officers and employees will be supplied a copy of the Code when beginning service at the Company. All directors, officers and employees will be expected to review and complete an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3" w:name="page164"/>
    <w:bookmarkEnd w:id="163"/>
    <w:p>
      <w:pPr>
        <w:jc w:val="both"/>
        <w:ind w:left="3"/>
        <w:spacing w:after="0" w:line="261" w:lineRule="auto"/>
        <w:rPr>
          <w:sz w:val="20"/>
          <w:szCs w:val="20"/>
          <w:color w:val="auto"/>
        </w:rPr>
      </w:pPr>
      <w:r>
        <w:rPr>
          <w:rFonts w:ascii="Times New Roman" w:cs="Times New Roman" w:eastAsia="Times New Roman" w:hAnsi="Times New Roman"/>
          <w:sz w:val="21"/>
          <w:szCs w:val="21"/>
          <w:color w:val="auto"/>
        </w:rPr>
        <w:t>acknowledgment regarding the Code on a periodic basis. Updates of the Code, when adopted, will be promptly supplied to directors, officers and employees. Directors, officers and employees also can obtain a copy of the Code by requesting one from the Compliance Department or by accessing the Company’s website at https://www.discmedicine.com/.</w:t>
      </w:r>
    </w:p>
    <w:p>
      <w:pPr>
        <w:spacing w:after="0" w:line="153" w:lineRule="exact"/>
        <w:rPr>
          <w:sz w:val="20"/>
          <w:szCs w:val="20"/>
          <w:color w:val="auto"/>
        </w:rPr>
      </w:pPr>
    </w:p>
    <w:p>
      <w:pPr>
        <w:ind w:left="743" w:hanging="743"/>
        <w:spacing w:after="0"/>
        <w:tabs>
          <w:tab w:leader="none" w:pos="743"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Monitoring Compliance and Disciplinary Action</w:t>
      </w:r>
    </w:p>
    <w:p>
      <w:pPr>
        <w:spacing w:after="0" w:line="210" w:lineRule="exact"/>
        <w:rPr>
          <w:sz w:val="20"/>
          <w:szCs w:val="20"/>
          <w:color w:val="auto"/>
        </w:rPr>
      </w:pPr>
    </w:p>
    <w:p>
      <w:pPr>
        <w:jc w:val="both"/>
        <w:ind w:left="3"/>
        <w:spacing w:after="0" w:line="239" w:lineRule="auto"/>
        <w:rPr>
          <w:sz w:val="20"/>
          <w:szCs w:val="20"/>
          <w:color w:val="auto"/>
        </w:rPr>
      </w:pPr>
      <w:r>
        <w:rPr>
          <w:rFonts w:ascii="Times New Roman" w:cs="Times New Roman" w:eastAsia="Times New Roman" w:hAnsi="Times New Roman"/>
          <w:sz w:val="22"/>
          <w:szCs w:val="22"/>
          <w:color w:val="auto"/>
        </w:rPr>
        <w:t>The Company’s management, under the supervision of its Board or a committee of the Board or, in the case of accounting, internal accounting controls, auditing or securities law matters, the Audit Committee, shall take reasonable steps to (i) monitor compliance with the Code, and (ii) when appropriate, impose and enforce appropriate disciplinary measures for violations of the Code.</w:t>
      </w:r>
    </w:p>
    <w:p>
      <w:pPr>
        <w:spacing w:after="0" w:line="180" w:lineRule="exact"/>
        <w:rPr>
          <w:sz w:val="20"/>
          <w:szCs w:val="20"/>
          <w:color w:val="auto"/>
        </w:rPr>
      </w:pPr>
    </w:p>
    <w:p>
      <w:pPr>
        <w:jc w:val="both"/>
        <w:ind w:left="3"/>
        <w:spacing w:after="0" w:line="244" w:lineRule="auto"/>
        <w:rPr>
          <w:sz w:val="20"/>
          <w:szCs w:val="20"/>
          <w:color w:val="auto"/>
        </w:rPr>
      </w:pPr>
      <w:r>
        <w:rPr>
          <w:rFonts w:ascii="Times New Roman" w:cs="Times New Roman" w:eastAsia="Times New Roman" w:hAnsi="Times New Roman"/>
          <w:sz w:val="22"/>
          <w:szCs w:val="22"/>
          <w:color w:val="auto"/>
        </w:rPr>
        <w:t>Disciplinary measures for violations of the Code will be determined in the Company’s sole discretion and may include, but are not limited to, counseling, oral or written reprimands, warnings, probation or suspension with or without pay, demotions, reductions in salary, termination of employment or service, and restitution.</w:t>
      </w:r>
    </w:p>
    <w:p>
      <w:pPr>
        <w:spacing w:after="0" w:line="173" w:lineRule="exact"/>
        <w:rPr>
          <w:sz w:val="20"/>
          <w:szCs w:val="20"/>
          <w:color w:val="auto"/>
        </w:rPr>
      </w:pPr>
    </w:p>
    <w:p>
      <w:pPr>
        <w:jc w:val="both"/>
        <w:ind w:left="3"/>
        <w:spacing w:after="0" w:line="258" w:lineRule="auto"/>
        <w:rPr>
          <w:sz w:val="20"/>
          <w:szCs w:val="20"/>
          <w:color w:val="auto"/>
        </w:rPr>
      </w:pPr>
      <w:r>
        <w:rPr>
          <w:rFonts w:ascii="Times New Roman" w:cs="Times New Roman" w:eastAsia="Times New Roman" w:hAnsi="Times New Roman"/>
          <w:sz w:val="22"/>
          <w:szCs w:val="22"/>
          <w:color w:val="auto"/>
        </w:rPr>
        <w:t>The Company’s management shall periodically report to the Board or a committee of the Board on these compliance efforts including, without limitation, alleged violations of the Code and the actions taken with respect to violations.</w:t>
      </w:r>
    </w:p>
    <w:p>
      <w:pPr>
        <w:spacing w:after="0" w:line="154" w:lineRule="exact"/>
        <w:rPr>
          <w:sz w:val="20"/>
          <w:szCs w:val="20"/>
          <w:color w:val="auto"/>
        </w:rPr>
      </w:pPr>
    </w:p>
    <w:p>
      <w:pPr>
        <w:ind w:left="743" w:hanging="743"/>
        <w:spacing w:after="0"/>
        <w:tabs>
          <w:tab w:leader="none" w:pos="743"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Communication Channels</w:t>
      </w:r>
    </w:p>
    <w:p>
      <w:pPr>
        <w:spacing w:after="0" w:line="206" w:lineRule="exact"/>
        <w:rPr>
          <w:sz w:val="20"/>
          <w:szCs w:val="20"/>
          <w:color w:val="auto"/>
        </w:rPr>
      </w:pPr>
    </w:p>
    <w:p>
      <w:pPr>
        <w:jc w:val="both"/>
        <w:ind w:left="3"/>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Be Proactive. </w:t>
      </w:r>
      <w:r>
        <w:rPr>
          <w:rFonts w:ascii="Times New Roman" w:cs="Times New Roman" w:eastAsia="Times New Roman" w:hAnsi="Times New Roman"/>
          <w:sz w:val="22"/>
          <w:szCs w:val="22"/>
          <w:color w:val="auto"/>
        </w:rPr>
        <w:t>Every director, officer, employee and designated agent is encouraged to act proactively by asking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questions, seeking guidance and reporting suspected violations of the Code and other policies and procedures of the Company, as well as any violation or suspected violation of law, rule or regulation resulting from the conduct of the Company’s business or occurring on the Company’s property. </w:t>
      </w:r>
      <w:r>
        <w:rPr>
          <w:rFonts w:ascii="Times New Roman" w:cs="Times New Roman" w:eastAsia="Times New Roman" w:hAnsi="Times New Roman"/>
          <w:sz w:val="22"/>
          <w:szCs w:val="22"/>
          <w:b w:val="1"/>
          <w:bCs w:val="1"/>
          <w:color w:val="auto"/>
        </w:rPr>
        <w:t>If any director, officer, employee or designated agent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believes that actions have taken place, may be taking place, or may be about to take place that violate or would violate the Code or any law, rule or regulation applicable to the Company, he or she is obligated (subject to the whistleblower protections set forth in Section II.A. above) to bring the matter to the attention of the Company. </w:t>
      </w:r>
      <w:r>
        <w:rPr>
          <w:rFonts w:ascii="Times New Roman" w:cs="Times New Roman" w:eastAsia="Times New Roman" w:hAnsi="Times New Roman"/>
          <w:sz w:val="22"/>
          <w:szCs w:val="22"/>
          <w:color w:val="auto"/>
        </w:rPr>
        <w:t>Our Compliance Hotline number is (833) 869-0478. An online reporting option is: https://www.whistleblowerservices.com/DiscMedicine.</w:t>
      </w:r>
    </w:p>
    <w:p>
      <w:pPr>
        <w:spacing w:after="0" w:line="143" w:lineRule="exact"/>
        <w:rPr>
          <w:sz w:val="20"/>
          <w:szCs w:val="20"/>
          <w:color w:val="auto"/>
        </w:rPr>
      </w:pPr>
    </w:p>
    <w:p>
      <w:pPr>
        <w:jc w:val="both"/>
        <w:ind w:left="3"/>
        <w:spacing w:after="0" w:line="258" w:lineRule="exact"/>
        <w:rPr>
          <w:sz w:val="20"/>
          <w:szCs w:val="20"/>
          <w:color w:val="auto"/>
        </w:rPr>
      </w:pPr>
      <w:r>
        <w:rPr>
          <w:rFonts w:ascii="Times New Roman" w:cs="Times New Roman" w:eastAsia="Times New Roman" w:hAnsi="Times New Roman"/>
          <w:sz w:val="22"/>
          <w:szCs w:val="22"/>
          <w:i w:val="1"/>
          <w:iCs w:val="1"/>
          <w:color w:val="auto"/>
        </w:rPr>
        <w:t xml:space="preserve">Seeking Guidance. </w:t>
      </w:r>
      <w:r>
        <w:rPr>
          <w:rFonts w:ascii="Times New Roman" w:cs="Times New Roman" w:eastAsia="Times New Roman" w:hAnsi="Times New Roman"/>
          <w:sz w:val="22"/>
          <w:szCs w:val="22"/>
          <w:color w:val="auto"/>
        </w:rPr>
        <w:t>The best starting point for officers or employees seeking advice on ethics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issues or wishing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report potential violations of the Code will usually be their supervisor. However, if the conduct in question involves an officer’s or employee’s supervisor, if the officer or employee has reported the conduct in question to the supervisor and does not believe that the supervisor has dealt with it properly, or if the officer or employee does not feel comfortable discussing the matter with the supervisor, the officer or employee may raise the matter with the Chief Compliance Officer.</w:t>
      </w:r>
    </w:p>
    <w:p>
      <w:pPr>
        <w:spacing w:after="0" w:line="175" w:lineRule="exact"/>
        <w:rPr>
          <w:sz w:val="20"/>
          <w:szCs w:val="20"/>
          <w:color w:val="auto"/>
        </w:rPr>
      </w:pPr>
    </w:p>
    <w:p>
      <w:pPr>
        <w:jc w:val="both"/>
        <w:ind w:left="3" w:right="2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Communication Alternatives. </w:t>
      </w:r>
      <w:r>
        <w:rPr>
          <w:rFonts w:ascii="Times New Roman" w:cs="Times New Roman" w:eastAsia="Times New Roman" w:hAnsi="Times New Roman"/>
          <w:sz w:val="22"/>
          <w:szCs w:val="22"/>
          <w:color w:val="auto"/>
        </w:rPr>
        <w:t>Any officer or employee may communicate with the Chief Compliance Officer, or report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potential violations of the Code, by any of the following methods:</w:t>
      </w:r>
    </w:p>
    <w:p>
      <w:pPr>
        <w:spacing w:after="0" w:line="154" w:lineRule="exact"/>
        <w:rPr>
          <w:sz w:val="20"/>
          <w:szCs w:val="20"/>
          <w:color w:val="auto"/>
        </w:rPr>
      </w:pPr>
    </w:p>
    <w:p>
      <w:pPr>
        <w:ind w:left="743" w:firstLine="754"/>
        <w:spacing w:after="0" w:line="258" w:lineRule="auto"/>
        <w:tabs>
          <w:tab w:leader="none" w:pos="179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writing (which can be done anonymously as set forth below under “Anonymity”), addressed to the Compliance Officer, by mail to 321 Arsenal Street, Suite 101, Watertown, MA 02472;</w:t>
      </w:r>
    </w:p>
    <w:p>
      <w:pPr>
        <w:spacing w:after="0" w:line="158" w:lineRule="exact"/>
        <w:rPr>
          <w:rFonts w:ascii="Times New Roman" w:cs="Times New Roman" w:eastAsia="Times New Roman" w:hAnsi="Times New Roman"/>
          <w:sz w:val="22"/>
          <w:szCs w:val="22"/>
          <w:color w:val="auto"/>
        </w:rPr>
      </w:pPr>
    </w:p>
    <w:p>
      <w:pPr>
        <w:ind w:left="743" w:right="20" w:firstLine="754"/>
        <w:spacing w:after="0" w:line="258" w:lineRule="auto"/>
        <w:tabs>
          <w:tab w:leader="none" w:pos="179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Online at https://www.whistleblowerservices.com/DiscMedicine(which may be done anonymously as set forth below under “Anonymity”); or</w:t>
      </w:r>
    </w:p>
    <w:p>
      <w:pPr>
        <w:spacing w:after="0" w:line="307"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229870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64" w:name="page165"/>
    <w:bookmarkEnd w:id="164"/>
    <w:p>
      <w:pPr>
        <w:ind w:left="743" w:right="20" w:firstLine="754"/>
        <w:spacing w:after="0" w:line="258" w:lineRule="auto"/>
        <w:tabs>
          <w:tab w:leader="none" w:pos="179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phoning and leaving a voicemail. The voicemail can be reached at (833) 869-0478 and messages can be left anonymously as set forth below under “Anonymity.”</w:t>
      </w:r>
    </w:p>
    <w:p>
      <w:pPr>
        <w:spacing w:after="0" w:line="154" w:lineRule="exact"/>
        <w:rPr>
          <w:sz w:val="20"/>
          <w:szCs w:val="20"/>
          <w:color w:val="auto"/>
        </w:rPr>
      </w:pPr>
    </w:p>
    <w:p>
      <w:pPr>
        <w:jc w:val="both"/>
        <w:ind w:left="3"/>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Reporting Accounting and Similar Concerns. </w:t>
      </w:r>
      <w:r>
        <w:rPr>
          <w:rFonts w:ascii="Times New Roman" w:cs="Times New Roman" w:eastAsia="Times New Roman" w:hAnsi="Times New Roman"/>
          <w:sz w:val="22"/>
          <w:szCs w:val="22"/>
          <w:color w:val="auto"/>
        </w:rPr>
        <w:t>Concerns or questions regarding potential violations of the Code,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policy or procedure or laws, rules or regulations relating to accounting, internal accounting controls, or auditing or securities law matters will be directed to the Audit Committee of the Board (the “Audit Committee”) or a designee of the Audit Committee in accordance with the procedures established by the Audit Committee for receiving, retaining and treating complaints regarding accounting, internal accounting controls or auditing matters. Officers and employees can also communicate directly with the Audit Committee or its designee regarding such matters by the following methods (which can be done anonymously as set forth below under “Anonymity”):</w:t>
      </w:r>
    </w:p>
    <w:p>
      <w:pPr>
        <w:spacing w:after="0" w:line="180" w:lineRule="exact"/>
        <w:rPr>
          <w:sz w:val="20"/>
          <w:szCs w:val="20"/>
          <w:color w:val="auto"/>
        </w:rPr>
      </w:pPr>
    </w:p>
    <w:p>
      <w:pPr>
        <w:ind w:left="743" w:firstLine="754"/>
        <w:spacing w:after="0" w:line="258" w:lineRule="auto"/>
        <w:tabs>
          <w:tab w:leader="none" w:pos="179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writing (which can be done anonymously as set forth below under “Anonymity”), addressed to the Compliance Officer, by mail to 321 Arsenal Street, Suite 101, Watertown, MA 02472;</w:t>
      </w:r>
    </w:p>
    <w:p>
      <w:pPr>
        <w:spacing w:after="0" w:line="158" w:lineRule="exact"/>
        <w:rPr>
          <w:rFonts w:ascii="Times New Roman" w:cs="Times New Roman" w:eastAsia="Times New Roman" w:hAnsi="Times New Roman"/>
          <w:sz w:val="22"/>
          <w:szCs w:val="22"/>
          <w:color w:val="auto"/>
        </w:rPr>
      </w:pPr>
    </w:p>
    <w:p>
      <w:pPr>
        <w:ind w:left="743" w:right="20" w:firstLine="754"/>
        <w:spacing w:after="0" w:line="258" w:lineRule="auto"/>
        <w:tabs>
          <w:tab w:leader="none" w:pos="179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Online at https://www.whistleblowerservices.com/DiscMedicine(which may be done anonymously as set forth below under “Anonymity”); or</w:t>
      </w:r>
    </w:p>
    <w:p>
      <w:pPr>
        <w:spacing w:after="0" w:line="158" w:lineRule="exact"/>
        <w:rPr>
          <w:rFonts w:ascii="Times New Roman" w:cs="Times New Roman" w:eastAsia="Times New Roman" w:hAnsi="Times New Roman"/>
          <w:sz w:val="22"/>
          <w:szCs w:val="22"/>
          <w:color w:val="auto"/>
        </w:rPr>
      </w:pPr>
    </w:p>
    <w:p>
      <w:pPr>
        <w:ind w:left="743" w:right="20" w:firstLine="754"/>
        <w:spacing w:after="0" w:line="258" w:lineRule="auto"/>
        <w:tabs>
          <w:tab w:leader="none" w:pos="179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phoning and leaving a voicemail. The voicemail can be reached at (833) 869-0478 and messages can be left anonymously as set forth below under “Anonymity.”</w:t>
      </w:r>
    </w:p>
    <w:p>
      <w:pPr>
        <w:spacing w:after="0" w:line="154" w:lineRule="exact"/>
        <w:rPr>
          <w:sz w:val="20"/>
          <w:szCs w:val="20"/>
          <w:color w:val="auto"/>
        </w:rPr>
      </w:pPr>
    </w:p>
    <w:p>
      <w:pPr>
        <w:jc w:val="both"/>
        <w:ind w:left="3"/>
        <w:spacing w:after="0" w:line="286" w:lineRule="auto"/>
        <w:rPr>
          <w:sz w:val="20"/>
          <w:szCs w:val="20"/>
          <w:color w:val="auto"/>
        </w:rPr>
      </w:pPr>
      <w:r>
        <w:rPr>
          <w:rFonts w:ascii="Times New Roman" w:cs="Times New Roman" w:eastAsia="Times New Roman" w:hAnsi="Times New Roman"/>
          <w:sz w:val="21"/>
          <w:szCs w:val="21"/>
          <w:i w:val="1"/>
          <w:iCs w:val="1"/>
          <w:color w:val="auto"/>
        </w:rPr>
        <w:t>Cooperation</w:t>
      </w:r>
      <w:r>
        <w:rPr>
          <w:rFonts w:ascii="Times New Roman" w:cs="Times New Roman" w:eastAsia="Times New Roman" w:hAnsi="Times New Roman"/>
          <w:sz w:val="21"/>
          <w:szCs w:val="21"/>
          <w:color w:val="auto"/>
        </w:rPr>
        <w:t>. Employees, officers, directors and designated agents are expected to cooperate with the Company in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investigation of a potential violation of the Code, any other Company policy or procedure, or any law, rule or regulation.</w:t>
      </w:r>
    </w:p>
    <w:p>
      <w:pPr>
        <w:spacing w:after="0" w:line="126" w:lineRule="exact"/>
        <w:rPr>
          <w:sz w:val="20"/>
          <w:szCs w:val="20"/>
          <w:color w:val="auto"/>
        </w:rPr>
      </w:pPr>
    </w:p>
    <w:p>
      <w:pPr>
        <w:jc w:val="both"/>
        <w:ind w:left="3"/>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Misuse of Reporting Channels. </w:t>
      </w:r>
      <w:r>
        <w:rPr>
          <w:rFonts w:ascii="Times New Roman" w:cs="Times New Roman" w:eastAsia="Times New Roman" w:hAnsi="Times New Roman"/>
          <w:sz w:val="22"/>
          <w:szCs w:val="22"/>
          <w:color w:val="auto"/>
        </w:rPr>
        <w:t>Employees, officers, directors and designated agents should not use these reporting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channels in bad faith or in a false or frivolous manner or to report grievances that do not involve the Code or other ethics-related issues.</w:t>
      </w:r>
    </w:p>
    <w:p>
      <w:pPr>
        <w:spacing w:after="0" w:line="167" w:lineRule="exact"/>
        <w:rPr>
          <w:sz w:val="20"/>
          <w:szCs w:val="20"/>
          <w:color w:val="auto"/>
        </w:rPr>
      </w:pPr>
    </w:p>
    <w:p>
      <w:pPr>
        <w:jc w:val="both"/>
        <w:ind w:left="3"/>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Director Communications. </w:t>
      </w:r>
      <w:r>
        <w:rPr>
          <w:rFonts w:ascii="Times New Roman" w:cs="Times New Roman" w:eastAsia="Times New Roman" w:hAnsi="Times New Roman"/>
          <w:sz w:val="22"/>
          <w:szCs w:val="22"/>
          <w:color w:val="auto"/>
        </w:rPr>
        <w:t>In addition to the foregoing methods, a director also can communicate concerns or seek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advice with respect to this Code by contacting the Board through its Chair or the Audit Committee.</w:t>
      </w:r>
    </w:p>
    <w:p>
      <w:pPr>
        <w:spacing w:after="0" w:line="150" w:lineRule="exact"/>
        <w:rPr>
          <w:sz w:val="20"/>
          <w:szCs w:val="20"/>
          <w:color w:val="auto"/>
        </w:rPr>
      </w:pPr>
    </w:p>
    <w:p>
      <w:pPr>
        <w:ind w:left="743" w:hanging="743"/>
        <w:spacing w:after="0"/>
        <w:tabs>
          <w:tab w:leader="none" w:pos="743"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Anonymity</w:t>
      </w:r>
    </w:p>
    <w:p>
      <w:pPr>
        <w:spacing w:after="0" w:line="210" w:lineRule="exact"/>
        <w:rPr>
          <w:sz w:val="20"/>
          <w:szCs w:val="20"/>
          <w:color w:val="auto"/>
        </w:rPr>
      </w:pPr>
    </w:p>
    <w:p>
      <w:pPr>
        <w:jc w:val="both"/>
        <w:ind w:left="3"/>
        <w:spacing w:after="0" w:line="239" w:lineRule="auto"/>
        <w:rPr>
          <w:sz w:val="20"/>
          <w:szCs w:val="20"/>
          <w:color w:val="auto"/>
        </w:rPr>
      </w:pPr>
      <w:r>
        <w:rPr>
          <w:rFonts w:ascii="Times New Roman" w:cs="Times New Roman" w:eastAsia="Times New Roman" w:hAnsi="Times New Roman"/>
          <w:sz w:val="22"/>
          <w:szCs w:val="22"/>
          <w:color w:val="auto"/>
        </w:rPr>
        <w:t>The Company prefers that officers and employees, when reporting suspected violations of the Code, identify themselves to facilitate the Company’s ability to take steps to address the suspected violation, including conducting an investigation. However, the Company also recognizes that some people may feel more comfortable reporting a suspected violation anonymously.</w:t>
      </w:r>
    </w:p>
    <w:p>
      <w:pPr>
        <w:spacing w:after="0" w:line="180" w:lineRule="exact"/>
        <w:rPr>
          <w:sz w:val="20"/>
          <w:szCs w:val="20"/>
          <w:color w:val="auto"/>
        </w:rPr>
      </w:pPr>
    </w:p>
    <w:p>
      <w:pPr>
        <w:jc w:val="both"/>
        <w:ind w:left="3"/>
        <w:spacing w:after="0" w:line="238" w:lineRule="auto"/>
        <w:rPr>
          <w:sz w:val="20"/>
          <w:szCs w:val="20"/>
          <w:color w:val="auto"/>
        </w:rPr>
      </w:pPr>
      <w:r>
        <w:rPr>
          <w:rFonts w:ascii="Times New Roman" w:cs="Times New Roman" w:eastAsia="Times New Roman" w:hAnsi="Times New Roman"/>
          <w:sz w:val="22"/>
          <w:szCs w:val="22"/>
          <w:color w:val="auto"/>
        </w:rPr>
        <w:t>An officer, employee, director or designated agent who wishes to remain anonymous may do so, and the Company will use reasonable efforts to protect confidentiality. If a report is made anonymously, however, the Company may not have sufficient information to investigate or evaluate the allegations. Accordingly, persons who report suspected violations anonymously should provide as much detail as they can to permit the Company to evaluate the allegation and, if it deems appropriate, conduct an investigation.</w:t>
      </w:r>
    </w:p>
    <w:p>
      <w:pPr>
        <w:spacing w:after="0" w:line="325"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229870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65" w:name="page166"/>
    <w:bookmarkEnd w:id="165"/>
    <w:p>
      <w:pPr>
        <w:ind w:left="1500" w:hanging="743"/>
        <w:spacing w:after="0"/>
        <w:tabs>
          <w:tab w:leader="none" w:pos="150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Retaliation</w:t>
      </w:r>
    </w:p>
    <w:p>
      <w:pPr>
        <w:spacing w:after="0" w:line="210"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The Company forbids any retaliation against an officer or employee who, acting in good faith on the basis of a reasonable belief, reports suspected misconduct. Specifically, the Company will not discharge, demote, suspend, threaten, harass or in any other manner discriminate against, such an officer or employee. Anyone who participates in any such conduct is subject to disciplinary action, including termination.</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Waivers and Amendments</w:t>
      </w:r>
    </w:p>
    <w:p>
      <w:pPr>
        <w:spacing w:after="0" w:line="210" w:lineRule="exact"/>
        <w:rPr>
          <w:sz w:val="20"/>
          <w:szCs w:val="20"/>
          <w:color w:val="auto"/>
        </w:rPr>
      </w:pPr>
    </w:p>
    <w:p>
      <w:pPr>
        <w:jc w:val="both"/>
        <w:ind w:left="160"/>
        <w:spacing w:after="0" w:line="238" w:lineRule="auto"/>
        <w:rPr>
          <w:sz w:val="20"/>
          <w:szCs w:val="20"/>
          <w:color w:val="auto"/>
        </w:rPr>
      </w:pPr>
      <w:r>
        <w:rPr>
          <w:rFonts w:ascii="Times New Roman" w:cs="Times New Roman" w:eastAsia="Times New Roman" w:hAnsi="Times New Roman"/>
          <w:sz w:val="22"/>
          <w:szCs w:val="22"/>
          <w:color w:val="auto"/>
        </w:rPr>
        <w:t>No waiver of any provisions of the Code for the benefit of a director or an executive officer (which includes, without limitation, the Company’s principal executive, financial and accounting officers) shall be effective unless (i) approved by the Board or, if permitted, the Audit Committee, and (ii) if required, the waiver is promptly disclosed to the Company’s securityholders in accordance with applicable U.S. securities laws and the rules and regulations of the exchange or system on which the Company’s shares are traded or quoted, as the case may be.</w:t>
      </w:r>
    </w:p>
    <w:p>
      <w:pPr>
        <w:spacing w:after="0" w:line="177"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22"/>
          <w:szCs w:val="22"/>
          <w:color w:val="auto"/>
        </w:rPr>
        <w:t>Any waivers of the Code for other employees may be made by the Chief Compliance Officer, the Board or, if permitted, the Audit Committee.</w:t>
      </w:r>
    </w:p>
    <w:p>
      <w:pPr>
        <w:spacing w:after="0" w:line="15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22"/>
          <w:szCs w:val="22"/>
          <w:color w:val="auto"/>
        </w:rPr>
        <w:t>All amendments to the Code must be approved by the Board and, if required, must be promptly disclosed to the Company’s securityholders in accordance with United States securities laws and NASDAQ rules and regulations.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Adopted December 29, 2022.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As Amended September 18, 2025.</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DISC MEDICINE,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1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Disc Medicine,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adopted the following policy and procedures for securities trading by Company directors and employees (our “</w:t>
      </w:r>
      <w:r>
        <w:rPr>
          <w:rFonts w:ascii="Times New Roman" w:cs="Times New Roman" w:eastAsia="Times New Roman" w:hAnsi="Times New Roman"/>
          <w:sz w:val="21"/>
          <w:szCs w:val="21"/>
          <w:u w:val="single" w:color="auto"/>
          <w:color w:val="auto"/>
        </w:rPr>
        <w:t>Insider Trading Policy</w:t>
      </w:r>
      <w:r>
        <w:rPr>
          <w:rFonts w:ascii="Times New Roman" w:cs="Times New Roman" w:eastAsia="Times New Roman" w:hAnsi="Times New Roman"/>
          <w:sz w:val="21"/>
          <w:szCs w:val="21"/>
          <w:color w:val="auto"/>
        </w:rPr>
        <w:t>”). Our Insider Trading Policy is intended to prevent the misuse of material nonpublic information, insider trading in securities, and the severe consequences associated with violations of insider trading laws. It is your obligation to review, understand, and comply with this Insider Trading Policy and applicable laws. Our Board of Directors has approved this Insider Trading Policy, and we have appointed Rahul Khara, the Company’s Chief Legal Officer (with their designees, the “</w:t>
      </w:r>
      <w:r>
        <w:rPr>
          <w:rFonts w:ascii="Times New Roman" w:cs="Times New Roman" w:eastAsia="Times New Roman" w:hAnsi="Times New Roman"/>
          <w:sz w:val="21"/>
          <w:szCs w:val="21"/>
          <w:u w:val="single" w:color="auto"/>
          <w:color w:val="auto"/>
        </w:rPr>
        <w:t>Chief Legal Officer</w:t>
      </w:r>
      <w:r>
        <w:rPr>
          <w:rFonts w:ascii="Times New Roman" w:cs="Times New Roman" w:eastAsia="Times New Roman" w:hAnsi="Times New Roman"/>
          <w:sz w:val="21"/>
          <w:szCs w:val="21"/>
          <w:color w:val="auto"/>
        </w:rPr>
        <w:t>”) to administer the policy and to be available to answer your questions.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 OVERVIEW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  Who Must Comply?</w:t>
      </w:r>
    </w:p>
    <w:p>
      <w:pPr>
        <w:spacing w:after="0" w:line="21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Insider Trading Policy applies to all of our employees and members of our Board of Directors and certain designated consultants, including anyone employed by or acting as a director of any of the Company’s subsidiaries, as well as any other individuals whom the Chief Legal Officer may designate as Insiders (defined below) because they have access to material nonpublic information about the Company.</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In addition, all of our directors, executive officers (as defined by Section 16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other designated employees and certain consultants must comply with the Trading Procedures included in Part II of this Insider Trading Policy (the “</w:t>
      </w:r>
      <w:r>
        <w:rPr>
          <w:rFonts w:ascii="Times New Roman" w:cs="Times New Roman" w:eastAsia="Times New Roman" w:hAnsi="Times New Roman"/>
          <w:sz w:val="22"/>
          <w:szCs w:val="22"/>
          <w:u w:val="single" w:color="auto"/>
          <w:color w:val="auto"/>
        </w:rPr>
        <w:t>Trading Procedures</w:t>
      </w:r>
      <w:r>
        <w:rPr>
          <w:rFonts w:ascii="Times New Roman" w:cs="Times New Roman" w:eastAsia="Times New Roman" w:hAnsi="Times New Roman"/>
          <w:sz w:val="22"/>
          <w:szCs w:val="22"/>
          <w:color w:val="auto"/>
        </w:rPr>
        <w:t>”); we will refer to these individuals in this policy as “</w:t>
      </w:r>
      <w:r>
        <w:rPr>
          <w:rFonts w:ascii="Times New Roman" w:cs="Times New Roman" w:eastAsia="Times New Roman" w:hAnsi="Times New Roman"/>
          <w:sz w:val="22"/>
          <w:szCs w:val="22"/>
          <w:u w:val="single" w:color="auto"/>
          <w:color w:val="auto"/>
        </w:rPr>
        <w:t>Insiders</w:t>
      </w:r>
      <w:r>
        <w:rPr>
          <w:rFonts w:ascii="Times New Roman" w:cs="Times New Roman" w:eastAsia="Times New Roman" w:hAnsi="Times New Roman"/>
          <w:sz w:val="22"/>
          <w:szCs w:val="22"/>
          <w:color w:val="auto"/>
        </w:rPr>
        <w:t>.” The Trading Procedures provide rules for when Insiders can trade in our securities and explain the process for mandatory pre-clearance of proposed trades. You will be notified if you are considered to be an Insider who is required to comply with the Trading Procedures.</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Insider Trading Policy and, for Insiders, the Trading Procedures also apply to the following persons (“</w:t>
      </w:r>
      <w:r>
        <w:rPr>
          <w:rFonts w:ascii="Times New Roman" w:cs="Times New Roman" w:eastAsia="Times New Roman" w:hAnsi="Times New Roman"/>
          <w:sz w:val="22"/>
          <w:szCs w:val="22"/>
          <w:u w:val="single" w:color="auto"/>
          <w:color w:val="auto"/>
        </w:rPr>
        <w:t>Affiliated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Persons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760" w:hanging="752"/>
        <w:spacing w:after="0" w:line="249" w:lineRule="auto"/>
        <w:tabs>
          <w:tab w:leader="none" w:pos="76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w:t>
      </w:r>
      <w:r>
        <w:rPr>
          <w:rFonts w:ascii="Times New Roman" w:cs="Times New Roman" w:eastAsia="Times New Roman" w:hAnsi="Times New Roman"/>
          <w:sz w:val="21"/>
          <w:szCs w:val="21"/>
          <w:u w:val="single" w:color="auto"/>
          <w:color w:val="auto"/>
        </w:rPr>
        <w:t>Family Members</w:t>
      </w:r>
      <w:r>
        <w:rPr>
          <w:rFonts w:ascii="Times New Roman" w:cs="Times New Roman" w:eastAsia="Times New Roman" w:hAnsi="Times New Roman"/>
          <w:sz w:val="21"/>
          <w:szCs w:val="21"/>
          <w:color w:val="auto"/>
        </w:rPr>
        <w:t>” (“Family Members” are (a) your spouse or domestic partner, children, stepchildren, grandchildren, parents, stepparents, grandparents, siblings and in-laws who reside in the same household as you, (b) your children or your spouse’s children who do not reside in the same household as you but are financially dependent on you,</w:t>
      </w:r>
    </w:p>
    <w:p>
      <w:pPr>
        <w:spacing w:after="0" w:line="1" w:lineRule="exact"/>
        <w:rPr>
          <w:rFonts w:ascii="Times New Roman" w:cs="Times New Roman" w:eastAsia="Times New Roman" w:hAnsi="Times New Roman"/>
          <w:sz w:val="21"/>
          <w:szCs w:val="21"/>
          <w:color w:val="auto"/>
        </w:rPr>
      </w:pPr>
    </w:p>
    <w:p>
      <w:pPr>
        <w:jc w:val="both"/>
        <w:ind w:left="76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any of your other family members who do not reside in your household but whose transactions are directed by you, and (d) any other individual over whose account you have control and to whose financial support you materially contribute. (Materially contributing to financial support would include, for example, paying an individual’s rent but not just a phone bill.).);</w:t>
      </w:r>
    </w:p>
    <w:p>
      <w:pPr>
        <w:spacing w:after="0" w:line="177" w:lineRule="exact"/>
        <w:rPr>
          <w:rFonts w:ascii="Times New Roman" w:cs="Times New Roman" w:eastAsia="Times New Roman" w:hAnsi="Times New Roman"/>
          <w:sz w:val="21"/>
          <w:szCs w:val="21"/>
          <w:color w:val="auto"/>
        </w:rPr>
      </w:pPr>
    </w:p>
    <w:p>
      <w:pPr>
        <w:ind w:left="760" w:hanging="752"/>
        <w:spacing w:after="0" w:line="258" w:lineRule="auto"/>
        <w:tabs>
          <w:tab w:leader="none" w:pos="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trusts, family partnerships and other types of entities formed for your benefit or for the benefit of a member of your family and over which you have the ability to influence or direct investment decisions concerning securities;</w:t>
      </w:r>
    </w:p>
    <w:p>
      <w:pPr>
        <w:spacing w:after="0" w:line="158"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execute trades on your behalf;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67" w:name="page168"/>
    <w:bookmarkEnd w:id="167"/>
    <w:p>
      <w:pPr>
        <w:jc w:val="both"/>
        <w:ind w:left="760" w:hanging="752"/>
        <w:spacing w:after="0" w:line="234"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investment funds, trusts, retirement plans, partnerships, corporations and other types of entities over which you have the ability to influence or direct investment decisions concerning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Trading Procedures do not apply to any such entity that engages in the investment of securities in the ordinary course of its business (e.g., an investment fund, venture fund or partnership) if the entity has established its own insider trading controls and procedures in compliance with applicable securities laws and it and/or its affiliated entities: (a) engage in the investment of securities in the ordinary course of their respective businesses; (b) have established insider trading controls and procedures in compliance with securities laws; and (c) are aware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7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You are responsible for ensuring compliance with this Insider Trading Policy, including the Trading Procedures contained herein, by all of your Affiliated Persons.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  What is Prohibited by this Insider Trading Policy?</w:t>
      </w:r>
    </w:p>
    <w:p>
      <w:pPr>
        <w:spacing w:after="0" w:line="21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You and your Affiliated Persons are prohibited from engaging in insider trading and from trading in securities in violation of this Insider Trading Policy. “Insider trading” is (1) trading (buying or selling) the securities of a company whether for your account or for the account of another, while in the possession of material nonpublic information (see definition below) about that company or (2) disclosing material nonpublic information about a company to others who may trade on the basis of that information. Insider trading can result in criminal prosecution, jail time, significant fines and public embarrassment for you and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Trading in Company Securities</w:t>
      </w:r>
    </w:p>
    <w:p>
      <w:pPr>
        <w:spacing w:after="0" w:line="210"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When you are in possession of material nonpublic information about the Company, whether positive or negative, you are prohibited from trading (whether for your account or for the account of another) in the Company’s securities, which include common stock, options to purchase common stock, any other type of securities that the Company may issue (such as preferred stock, convertible debentures, warrants and exchange-traded options), and any derivative securities that provide the economic equivalent of ownership of any of the Company’s securities or an opportunity, direct or indirect, to profit from any change in the value of the Company’s securities, except for trades made pursuant to plans approved by the Chief Legal Officer in accordance with the Company’s Rule 10b5-1 Trading Plan Policy that are intended to comply with Rule 10b5-1 under the Exchange Act.</w:t>
      </w:r>
    </w:p>
    <w:p>
      <w:pPr>
        <w:spacing w:after="0" w:line="17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trading prohibitions in this Insider Trading Policy do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apply to: (1) an exercise of an employee stock option when payment of the exercise price is made in cash or (2)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8" w:name="page169"/>
    <w:bookmarkEnd w:id="168"/>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 xml:space="preserve">The trading prohibitions in this Insider Trading Policy </w:t>
      </w:r>
      <w:r>
        <w:rPr>
          <w:rFonts w:ascii="Times New Roman" w:cs="Times New Roman" w:eastAsia="Times New Roman" w:hAnsi="Times New Roman"/>
          <w:sz w:val="21"/>
          <w:szCs w:val="21"/>
          <w:u w:val="single" w:color="auto"/>
          <w:color w:val="auto"/>
        </w:rPr>
        <w:t>do</w:t>
      </w:r>
      <w:r>
        <w:rPr>
          <w:rFonts w:ascii="Times New Roman" w:cs="Times New Roman" w:eastAsia="Times New Roman" w:hAnsi="Times New Roman"/>
          <w:sz w:val="21"/>
          <w:szCs w:val="21"/>
          <w:color w:val="auto"/>
        </w:rPr>
        <w:t xml:space="preserve"> apply, however, to the use of outstanding Company securities to pay part or all of the exercise price of a stock option, any sale of stock as part of a broker-assisted cashless exercise of an option, and any other market sale for the purpose of generating the cash needed to pay the exercise price of an option.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Tipping</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Providing material nonpublic information about the Company to another person who may trade or advise others to trade on the basis of that information is known as “</w:t>
      </w:r>
      <w:r>
        <w:rPr>
          <w:rFonts w:ascii="Times New Roman" w:cs="Times New Roman" w:eastAsia="Times New Roman" w:hAnsi="Times New Roman"/>
          <w:sz w:val="22"/>
          <w:szCs w:val="22"/>
          <w:u w:val="single" w:color="auto"/>
          <w:color w:val="auto"/>
        </w:rPr>
        <w:t>tipping</w:t>
      </w:r>
      <w:r>
        <w:rPr>
          <w:rFonts w:ascii="Times New Roman" w:cs="Times New Roman" w:eastAsia="Times New Roman" w:hAnsi="Times New Roman"/>
          <w:sz w:val="22"/>
          <w:szCs w:val="22"/>
          <w:color w:val="auto"/>
        </w:rPr>
        <w:t>” and is illegal. You are prohibited from providing material nonpublic information about the Company to a friend, relative, or anyone else who might buy or sell a security or other financial instrument on the basis of that information, whether or not you intend to or actually do realize a profit (or any other benefit) from such tipping. Additionally, you are prohibited from recommending to any person that such person engage in or refrain from engaging in any transaction involving the Company’s securities, or otherwise give trading advice concerning the Company’s securities, if you are in possession of material nonpublic information about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Trading in Securities of Other Companies</w:t>
      </w:r>
    </w:p>
    <w:p>
      <w:pPr>
        <w:spacing w:after="0" w:line="21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Whenever, during the course of your service to or employment by the Company, you become aware of material nonpublic information about another company (1) with which the Company has an existing business relationship, including but not limited to, the Company's distributors, vendors, customers or suppliers or collaboration, marketing, research, development or licensing partners, or (2) with which the Company is in active discussions concerning a potential transaction or business relationship, neither you nor your Affiliated Persons may trade in any securities of that company, give trading advice about that company, tip or disclose that information, pass it on to others, or engage in any other action to take advantage of that information.</w:t>
      </w:r>
    </w:p>
    <w:p>
      <w:pPr>
        <w:spacing w:after="0" w:line="17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If your work regularly involves handling or discussing confidential information of companies in either of the foregoing categories, you should consult with the Chief Legal Officer before trading in any of those company’s securities.</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Additionally, if you believe you may be in possession of nonpublic information about the Company that could potentially have a material effect on the stock price of a company with which the Company does not have an existing business relationship or with which the Company is not discussing a potential transaction or business relationship, you should exercise caution when trading in the securities of that company because the U.S.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has successfully brought an insider trading claim against an insider in those circumstances.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Duration of Trading Prohibitions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These trading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9" w:name="page170"/>
    <w:bookmarkEnd w:id="169"/>
    <w:p>
      <w:pPr>
        <w:jc w:val="both"/>
        <w:spacing w:after="0" w:line="258" w:lineRule="auto"/>
        <w:rPr>
          <w:sz w:val="20"/>
          <w:szCs w:val="20"/>
          <w:color w:val="auto"/>
        </w:rPr>
      </w:pPr>
      <w:r>
        <w:rPr>
          <w:rFonts w:ascii="Times New Roman" w:cs="Times New Roman" w:eastAsia="Times New Roman" w:hAnsi="Times New Roman"/>
          <w:sz w:val="22"/>
          <w:szCs w:val="22"/>
          <w:color w:val="auto"/>
        </w:rPr>
        <w:t>you should carefully consider even the appearance of improper insider trading and how enforcement authorities and others might view the transaction in hindsight.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Insider Trading Policy applies to you and your Affiliated Persons so long as you are associated with the Company. If you leave the Company for any reason, this Insider Trading Policy, including, if applicable, the Trading Procedures described in Part III, will continue to apply to you and your Affiliated Persons until the first trading day after any material nonpublic information known to you has become public or is no longer 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  What is Material Nonpublic Information?</w:t>
      </w:r>
    </w:p>
    <w:p>
      <w:pPr>
        <w:spacing w:after="0" w:line="21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Insider Trading Policy prohibits you from trading in a company’s securities if you are in possession of information about the company that is both “</w:t>
      </w:r>
      <w:r>
        <w:rPr>
          <w:rFonts w:ascii="Times New Roman" w:cs="Times New Roman" w:eastAsia="Times New Roman" w:hAnsi="Times New Roman"/>
          <w:sz w:val="22"/>
          <w:szCs w:val="22"/>
          <w:i w:val="1"/>
          <w:iCs w:val="1"/>
          <w:color w:val="auto"/>
        </w:rPr>
        <w:t>material</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nonpublic</w:t>
      </w:r>
      <w:r>
        <w:rPr>
          <w:rFonts w:ascii="Times New Roman" w:cs="Times New Roman" w:eastAsia="Times New Roman" w:hAnsi="Times New Roman"/>
          <w:sz w:val="22"/>
          <w:szCs w:val="22"/>
          <w:color w:val="auto"/>
        </w:rPr>
        <w:t>.” If you have a question whether certain information you are aware of is material or has been made public, you should consult with the Chief Legal Officer.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 Information</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Information about our Company or any other company is “material” if it could reasonably be expected to affect the investment decisions of a stockholder or potential investor or if disclosure of the information could reasonably be expected to significantly alter the total mix of information in the marketplace about us or any other company. We speak mostly in this Insider Trading Policy about determining whether information about us is material and nonpublic, but the same analysis applies to information about other companies covered by this policy that would preclude you from trading in their securities.</w:t>
      </w:r>
    </w:p>
    <w:p>
      <w:pPr>
        <w:spacing w:after="0" w:line="17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In simple terms, material information is any type of information that could reasonably be expected to affect the market price of our securities. Both positive and negative information may be material. While it is not possible to identify all information that would be deemed “material,” the following items are examples of the types of information that could be material:</w:t>
      </w:r>
    </w:p>
    <w:p>
      <w:pPr>
        <w:spacing w:after="0" w:line="157" w:lineRule="exact"/>
        <w:rPr>
          <w:sz w:val="20"/>
          <w:szCs w:val="20"/>
          <w:color w:val="auto"/>
        </w:rPr>
      </w:pPr>
    </w:p>
    <w:p>
      <w:pPr>
        <w:jc w:val="both"/>
        <w:ind w:left="1500" w:hanging="743"/>
        <w:spacing w:after="0" w:line="244" w:lineRule="auto"/>
        <w:tabs>
          <w:tab w:leader="none" w:pos="15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any programs in preclinical or clinical development, including recent regulatory interaction and/or data that have been recently generated from ongoing or recently completed preclinical or clinical trials;</w:t>
      </w:r>
    </w:p>
    <w:p>
      <w:pPr>
        <w:spacing w:after="0" w:line="173"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the intellectual property and/or freedom to operating for any of the current programs or product candidates under development;</w:t>
      </w:r>
    </w:p>
    <w:p>
      <w:pPr>
        <w:spacing w:after="0" w:line="15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financial results that are known but have not been publicly disclosed;</w:t>
      </w:r>
    </w:p>
    <w:p>
      <w:pPr>
        <w:spacing w:after="0" w:line="206"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restatements of the Company’s financial statements, changes in auditors or auditor notification that the Company may no longer rely on an auditor’s audit report;</w:t>
      </w:r>
    </w:p>
    <w:p>
      <w:pPr>
        <w:spacing w:after="0" w:line="158"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proposed corporate mergers, acquisitions, tender offers, joint ventures or dispositions of significant assets;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0" w:name="page171"/>
    <w:bookmarkEnd w:id="170"/>
    <w:p>
      <w:pPr>
        <w:ind w:left="1500" w:hanging="743"/>
        <w:spacing w:after="0"/>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senior management or member of our Board of Directors;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actual or threatened litigation or governmental investigations or major developments in such matters;</w:t>
      </w:r>
    </w:p>
    <w:p>
      <w:pPr>
        <w:spacing w:after="0" w:line="217" w:lineRule="exact"/>
        <w:rPr>
          <w:rFonts w:ascii="Times New Roman" w:cs="Times New Roman" w:eastAsia="Times New Roman" w:hAnsi="Times New Roman"/>
          <w:sz w:val="21"/>
          <w:szCs w:val="21"/>
          <w:color w:val="auto"/>
        </w:rPr>
      </w:pPr>
    </w:p>
    <w:p>
      <w:pPr>
        <w:ind w:left="1500" w:hanging="743"/>
        <w:spacing w:after="0"/>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risks and incidents, including the discovery of significant vulnerabilities or breaches;</w:t>
      </w:r>
    </w:p>
    <w:p>
      <w:pPr>
        <w:spacing w:after="0" w:line="206"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regarding products, customers, suppliers, orders, contracts or financing sources (e.g., the acquisition or loss of a contract);</w:t>
      </w:r>
    </w:p>
    <w:p>
      <w:pPr>
        <w:spacing w:after="0" w:line="15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 declarations of stock splits, or proposed securities offerings or other financings;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defaults under our credit agreements or indentures or potential material liquidity issues; and</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or receiverships.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above items will not always be material. For example, some new products or contracts may clearly be material while others may not be. No “bright-line” standard or list of items can adequately address the range of situations that may arise; information and events should be carefully considered in terms of their materiality to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“Nonpublic” Information</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Material information is “nonpublic” if it has not been disseminated in a manner making it available to investors generally.</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To demonstrate that information is public, one must be able to point to some fact that establishes that the information has become publicly available, such as the filing of a report with the SEC, the distribution of a press release, publishing the information on our website or posting on social media if those are regular ways we communicate with investors, or by other means that are reasonably designed to provide broad public access. Before a person with material nonpublic information can trade, the market must have adequate time to absorb the information that has been disclosed. For the purposes of this Insider Trading Policy, information will be considered public after the completion of one full day of trading following our public release of the information. For that purpose, a full day of trading means a session of regular trading hours Nasdaq Stock Market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between 9:30 a.m. and 4:00 p.m. Eastern Time (or such earlier closing time as has been set by exchange rules) has occurred.</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For example, if the Company publicly discloses material nonpublic information of which you are aware before trading begins on a Tuesday, the first time you can buy or sell Company securities is the opening of the market on the following Wednesday. However, if the Company publicly discloses material information after trading begins on a Tuesday, the first time that you can buy or sell Company securities is the opening of the market on the following Thursday.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2"/>
          <w:szCs w:val="22"/>
          <w:b w:val="1"/>
          <w:bCs w:val="1"/>
          <w:i w:val="1"/>
          <w:iCs w:val="1"/>
          <w:color w:val="auto"/>
        </w:rPr>
        <w:t>D.  What are the Penalties for Insider Trading and Noncompliance with this Insider Trading Policy?</w:t>
      </w:r>
    </w:p>
    <w:p>
      <w:pPr>
        <w:spacing w:after="0" w:line="21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Both the SEC and the national securities exchanges, through the Financial Industry Regulatory Authority (“</w:t>
      </w: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investigate and are very effective at detecting insider trading. The U.S. government pursues insider trading violations vigorously, successfully prosecuting, for example, trading by employees in foreign accounts, trading by family members and friends of insiders, and trading involving only a small number of shares.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penalties for violating rules against insider trading can be severe and include:</w:t>
      </w:r>
    </w:p>
    <w:p>
      <w:pPr>
        <w:spacing w:after="0" w:line="206" w:lineRule="exact"/>
        <w:rPr>
          <w:sz w:val="20"/>
          <w:szCs w:val="20"/>
          <w:color w:val="auto"/>
        </w:rPr>
      </w:pPr>
    </w:p>
    <w:p>
      <w:pPr>
        <w:ind w:left="1140" w:hanging="383"/>
        <w:spacing w:after="0"/>
        <w:tabs>
          <w:tab w:leader="none" w:pos="11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forfeiting any profit gained or loss avoided by the trading;</w:t>
      </w:r>
    </w:p>
    <w:p>
      <w:pPr>
        <w:spacing w:after="0" w:line="206"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loss suffered by the persons who, contemporaneously with the purchase or sale of securities that are subject of a violation, have purchased or sold securities of the same class;</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criminal penalties of up to $5,000,000;</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civil penalties of up to three times the profit made or loss avoided; and</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imprisonment for up to 20 years.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Company and/or the supervisors of the person engaged in insider trading may also be required to pay civil penalties or fines of $2.5 million or more, up to three times the profit made or loss avoided, as well as criminal penalties of up to $25,000,000, and could under some circumstances be subject to private lawsuits.</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Violation of this Insider Trading Policy or any federal or state insider trading laws may subject you to disciplinary action by the Company, including termination of your employment or other relationship with the Company. The Company reserves the right to determine, in its own discretion and on the basis of the information available to it, whether this Insider Trading Policy has been violated. The Company may determine that specific conduct violates this Insider Trading Policy whether or not it also violates the law. It is not necessary for the Company to await the filing or conclusion of a civil or criminal action against an alleged violator before taking disciplinary action.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  How Do You Report a Violation of this Insider Trading Policy?</w:t>
      </w:r>
    </w:p>
    <w:p>
      <w:pPr>
        <w:spacing w:after="0" w:line="21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If you have a question about this Insider Trading Policy, including whether certain information you are aware of is material or has been made public, you should consult with the Chief Legal Officer. In addition, if you violate this Insider Trading Policy or any federal or state laws governing insider trading or know of any such violation by any director or employee of the Company, you should report the violation immediately to the Chief Legal Officer. However, if the conduct in question involves the Chief Legal Officer, or if you have reported such conduct to the Chief Legal Officer and you do not believe the Chief Legal Officer has dealt with it properly, or if you do not feel that you can discuss the matter with the Chief Legal Officer, you may raise the matter with the Chief Executive Officer.</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2"/>
          <w:szCs w:val="22"/>
          <w:b w:val="1"/>
          <w:bCs w:val="1"/>
          <w:color w:val="auto"/>
        </w:rPr>
        <w:t>PART II. TRADING PROCEDURES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  Special Trading Restrictions Applicable to Insiders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addition to needing to comply with the restrictions on trading in our securities set forth above, Insiders and their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Affiliated Persons are subject to the following special trading restrictions:</w:t>
      </w:r>
    </w:p>
    <w:p>
      <w:pPr>
        <w:spacing w:after="0" w:line="192" w:lineRule="exact"/>
        <w:rPr>
          <w:sz w:val="20"/>
          <w:szCs w:val="20"/>
          <w:color w:val="auto"/>
        </w:rPr>
      </w:pPr>
    </w:p>
    <w:p>
      <w:pPr>
        <w:ind w:left="760"/>
        <w:spacing w:after="0"/>
        <w:tabs>
          <w:tab w:leader="none" w:pos="110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Special Closed Trading Periods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The Chief Legal Officer may designate, from time to time, a “Special Closed Window” during what would otherwise be a permitted trading window. During a Special Closed Window, designated Insiders (which could be all Insiders or a subset of them) may not trade in the Company’s securities. The Chief Legal Officer may also impose a Special Closed Window on Insiders or a subset of them to prohibit trading in the securities of other companies to ensure compliance with this policy. The imposition of a Special Closed Window may not be announced to the Company generally, should not be communicated to any other person, and may itself be considered under this Insider Trading Policy to be material nonpublic information about the Company.</w:t>
      </w:r>
    </w:p>
    <w:p>
      <w:pPr>
        <w:spacing w:after="0" w:line="167" w:lineRule="exact"/>
        <w:rPr>
          <w:sz w:val="20"/>
          <w:szCs w:val="20"/>
          <w:color w:val="auto"/>
        </w:rPr>
      </w:pPr>
    </w:p>
    <w:p>
      <w:pPr>
        <w:ind w:left="1120" w:hanging="363"/>
        <w:spacing w:after="0"/>
        <w:tabs>
          <w:tab w:leader="none" w:pos="112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Transactions</w:t>
      </w:r>
    </w:p>
    <w:p>
      <w:pPr>
        <w:spacing w:after="0" w:line="204" w:lineRule="exact"/>
        <w:rPr>
          <w:rFonts w:ascii="Times New Roman" w:cs="Times New Roman" w:eastAsia="Times New Roman" w:hAnsi="Times New Roman"/>
          <w:sz w:val="22"/>
          <w:szCs w:val="22"/>
          <w:b w:val="1"/>
          <w:bCs w:val="1"/>
          <w:color w:val="auto"/>
        </w:rPr>
      </w:pPr>
    </w:p>
    <w:p>
      <w:pPr>
        <w:ind w:left="1880" w:hanging="375"/>
        <w:spacing w:after="0" w:line="264" w:lineRule="auto"/>
        <w:tabs>
          <w:tab w:leader="none" w:pos="188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Short Sales</w:t>
      </w:r>
      <w:r>
        <w:rPr>
          <w:rFonts w:ascii="Times New Roman" w:cs="Times New Roman" w:eastAsia="Times New Roman" w:hAnsi="Times New Roman"/>
          <w:sz w:val="22"/>
          <w:szCs w:val="22"/>
          <w:color w:val="auto"/>
        </w:rPr>
        <w:t>. You may not at any time sell any securities of the Company that are not owned by you at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time of the sale (a “short sale”).</w:t>
      </w:r>
    </w:p>
    <w:p>
      <w:pPr>
        <w:spacing w:after="0" w:line="145" w:lineRule="exact"/>
        <w:rPr>
          <w:rFonts w:ascii="Times New Roman" w:cs="Times New Roman" w:eastAsia="Times New Roman" w:hAnsi="Times New Roman"/>
          <w:sz w:val="22"/>
          <w:szCs w:val="22"/>
          <w:color w:val="auto"/>
        </w:rPr>
      </w:pPr>
    </w:p>
    <w:p>
      <w:pPr>
        <w:jc w:val="both"/>
        <w:ind w:left="1880" w:hanging="375"/>
        <w:spacing w:after="0" w:line="239" w:lineRule="auto"/>
        <w:tabs>
          <w:tab w:leader="none" w:pos="188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Purchases or Sales of Derivative Securities or Hedging Transactions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You may not buy or sell puts,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calls, other derivative securities of the Company or any derivative securities that provide the economic equivalent of ownership of any of the Company’s securities or an opportunity, direct or indirect, to profit from any change in the value of our securities or engage in any other hedging transaction with respect to our securities.</w:t>
      </w:r>
    </w:p>
    <w:p>
      <w:pPr>
        <w:spacing w:after="0" w:line="171" w:lineRule="exact"/>
        <w:rPr>
          <w:rFonts w:ascii="Times New Roman" w:cs="Times New Roman" w:eastAsia="Times New Roman" w:hAnsi="Times New Roman"/>
          <w:sz w:val="22"/>
          <w:szCs w:val="22"/>
          <w:color w:val="auto"/>
        </w:rPr>
      </w:pPr>
    </w:p>
    <w:p>
      <w:pPr>
        <w:ind w:left="1880" w:hanging="375"/>
        <w:spacing w:after="0" w:line="264" w:lineRule="auto"/>
        <w:tabs>
          <w:tab w:leader="none" w:pos="188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Company Securities Subject to Margin Calls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You may not use the Company’s securities as collateral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a margin account.</w:t>
      </w:r>
    </w:p>
    <w:p>
      <w:pPr>
        <w:spacing w:after="0" w:line="145" w:lineRule="exact"/>
        <w:rPr>
          <w:rFonts w:ascii="Times New Roman" w:cs="Times New Roman" w:eastAsia="Times New Roman" w:hAnsi="Times New Roman"/>
          <w:sz w:val="22"/>
          <w:szCs w:val="22"/>
          <w:color w:val="auto"/>
        </w:rPr>
      </w:pPr>
    </w:p>
    <w:p>
      <w:pPr>
        <w:ind w:left="1880" w:hanging="375"/>
        <w:spacing w:after="0" w:line="264" w:lineRule="auto"/>
        <w:tabs>
          <w:tab w:leader="none" w:pos="188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Pledges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You may not pledge Company securities as collateral for a loan (or modify an existing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pledge).</w:t>
      </w:r>
    </w:p>
    <w:p>
      <w:pPr>
        <w:spacing w:after="0" w:line="160"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Gifts and Other Distributions in Kind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 Insider may donate or make any other transfer of Company securities without consideration when the Insider is not permitted to trade unless the donee agrees not to sell the shares until the Insider is permitted to sell. In addition to charitable donations or gifts to family members, friends, trusts or others, this prohibition applies to distributions to limited partners by limited partnerships that are subject to this Insider Trading Policy.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  Pre-Clearance Procedures</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No Insider may trade in our securities, even during an open trading window, unless the trade has been approved by the Chief Legal Officer in accordance with the procedures described below. In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3" w:name="page174"/>
    <w:bookmarkEnd w:id="173"/>
    <w:p>
      <w:pPr>
        <w:ind w:right="20"/>
        <w:spacing w:after="0" w:line="258" w:lineRule="auto"/>
        <w:rPr>
          <w:sz w:val="20"/>
          <w:szCs w:val="20"/>
          <w:color w:val="auto"/>
        </w:rPr>
      </w:pPr>
      <w:r>
        <w:rPr>
          <w:rFonts w:ascii="Times New Roman" w:cs="Times New Roman" w:eastAsia="Times New Roman" w:hAnsi="Times New Roman"/>
          <w:sz w:val="22"/>
          <w:szCs w:val="22"/>
          <w:color w:val="auto"/>
        </w:rPr>
        <w:t>reviewing trading requests, the Chief Legal Officer may consult with our other officers and/or outside legal counsel and will seek approval of their own trades from the Chief Executive Officer.</w:t>
      </w:r>
    </w:p>
    <w:p>
      <w:pPr>
        <w:spacing w:after="0" w:line="154" w:lineRule="exact"/>
        <w:rPr>
          <w:sz w:val="20"/>
          <w:szCs w:val="20"/>
          <w:color w:val="auto"/>
        </w:rPr>
      </w:pPr>
    </w:p>
    <w:p>
      <w:pPr>
        <w:ind w:left="1500" w:hanging="743"/>
        <w:spacing w:after="0"/>
        <w:tabs>
          <w:tab w:leader="none" w:pos="150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Procedures. </w:t>
      </w:r>
      <w:r>
        <w:rPr>
          <w:rFonts w:ascii="Times New Roman" w:cs="Times New Roman" w:eastAsia="Times New Roman" w:hAnsi="Times New Roman"/>
          <w:sz w:val="22"/>
          <w:szCs w:val="22"/>
          <w:color w:val="auto"/>
        </w:rPr>
        <w:t>No Insider may trade in our securities unless:</w:t>
      </w:r>
    </w:p>
    <w:p>
      <w:pPr>
        <w:spacing w:after="0" w:line="210" w:lineRule="exact"/>
        <w:rPr>
          <w:rFonts w:ascii="Times New Roman" w:cs="Times New Roman" w:eastAsia="Times New Roman" w:hAnsi="Times New Roman"/>
          <w:sz w:val="22"/>
          <w:szCs w:val="22"/>
          <w:b w:val="1"/>
          <w:bCs w:val="1"/>
          <w:color w:val="auto"/>
        </w:rPr>
      </w:pPr>
    </w:p>
    <w:p>
      <w:pPr>
        <w:jc w:val="both"/>
        <w:ind w:left="1880" w:hanging="375"/>
        <w:spacing w:after="0" w:line="236" w:lineRule="auto"/>
        <w:tabs>
          <w:tab w:leader="none" w:pos="188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notified the Chief Legal Officer of the nature of the proposed trade(s) using the then-current version of the Company’s Stock Transaction Request form. If you are unsure about where to locate the current version of such document, please contact the Chief Legal Officer. To provide adequate time for the Company to process such request and, where applicable, to allow preparation of any required reports under Section 16 of the Exchange Act, a Stock Transaction Request form should be received by the Chief Legal Officer at least two (2) business days before the intended trade date;</w:t>
      </w:r>
    </w:p>
    <w:p>
      <w:pPr>
        <w:spacing w:after="0" w:line="181" w:lineRule="exact"/>
        <w:rPr>
          <w:rFonts w:ascii="Times New Roman" w:cs="Times New Roman" w:eastAsia="Times New Roman" w:hAnsi="Times New Roman"/>
          <w:sz w:val="22"/>
          <w:szCs w:val="22"/>
          <w:color w:val="auto"/>
        </w:rPr>
      </w:pPr>
    </w:p>
    <w:p>
      <w:pPr>
        <w:ind w:left="1880" w:hanging="375"/>
        <w:spacing w:after="0" w:line="258" w:lineRule="auto"/>
        <w:tabs>
          <w:tab w:leader="none" w:pos="188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certified to the Chief Legal Officer in writing before the proposed trade(s) that the Insider does not possess material nonpublic information concerning the Company;</w:t>
      </w:r>
    </w:p>
    <w:p>
      <w:pPr>
        <w:spacing w:after="0" w:line="158" w:lineRule="exact"/>
        <w:rPr>
          <w:rFonts w:ascii="Times New Roman" w:cs="Times New Roman" w:eastAsia="Times New Roman" w:hAnsi="Times New Roman"/>
          <w:sz w:val="22"/>
          <w:szCs w:val="22"/>
          <w:color w:val="auto"/>
        </w:rPr>
      </w:pPr>
    </w:p>
    <w:p>
      <w:pPr>
        <w:jc w:val="both"/>
        <w:ind w:left="1880" w:hanging="375"/>
        <w:spacing w:after="0" w:line="235" w:lineRule="auto"/>
        <w:tabs>
          <w:tab w:leader="none" w:pos="188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Insider is an executive officer or director, the Insider has informed the Chief Legal Officer of the amount of the proposed trade and whether, to the 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(“Rule 144”)), whether the transaction meets all of the applicable conditions of Rule 144; and</w:t>
      </w:r>
    </w:p>
    <w:p>
      <w:pPr>
        <w:spacing w:after="0" w:line="183" w:lineRule="exact"/>
        <w:rPr>
          <w:rFonts w:ascii="Times New Roman" w:cs="Times New Roman" w:eastAsia="Times New Roman" w:hAnsi="Times New Roman"/>
          <w:sz w:val="22"/>
          <w:szCs w:val="22"/>
          <w:color w:val="auto"/>
        </w:rPr>
      </w:pPr>
    </w:p>
    <w:p>
      <w:pPr>
        <w:ind w:left="1880" w:hanging="375"/>
        <w:spacing w:after="0" w:line="258" w:lineRule="auto"/>
        <w:tabs>
          <w:tab w:leader="none" w:pos="188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Chief Legal Officer has approved the trade(s) and has certified their approval in writing (which may be by email).</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Chief Legal Officer does not assume responsibility for, and approval by the Chief Legal Officer does not protect the Insider from, the consequences of prohibited insider trading.</w:t>
      </w:r>
    </w:p>
    <w:p>
      <w:pPr>
        <w:spacing w:after="0" w:line="154" w:lineRule="exact"/>
        <w:rPr>
          <w:sz w:val="20"/>
          <w:szCs w:val="20"/>
          <w:color w:val="auto"/>
        </w:rPr>
      </w:pPr>
    </w:p>
    <w:p>
      <w:pPr>
        <w:ind w:left="1500" w:hanging="743"/>
        <w:spacing w:after="0"/>
        <w:tabs>
          <w:tab w:leader="none" w:pos="150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Information.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Insiders shall provide to the Chief Legal Officer any documentation the Chief Legal Officer reasonably requires in furtherance of the foregoing procedures. Any failure to provide such information will be grounds for the Chief Legal Officer to deny approval of the trade request.</w:t>
      </w:r>
    </w:p>
    <w:p>
      <w:pPr>
        <w:spacing w:after="0" w:line="169" w:lineRule="exact"/>
        <w:rPr>
          <w:sz w:val="20"/>
          <w:szCs w:val="20"/>
          <w:color w:val="auto"/>
        </w:rPr>
      </w:pPr>
    </w:p>
    <w:p>
      <w:pPr>
        <w:ind w:left="1500" w:hanging="743"/>
        <w:spacing w:after="0"/>
        <w:tabs>
          <w:tab w:leader="none" w:pos="150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Notification of Brokers of Insider Status</w:t>
      </w:r>
    </w:p>
    <w:p>
      <w:pPr>
        <w:spacing w:after="0" w:line="210"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22"/>
          <w:szCs w:val="22"/>
          <w:color w:val="auto"/>
        </w:rPr>
        <w:t>Insiders who are required to file reports under Section 16 of the Exchange Act shall inform their broker-dealers that (a) the Insider is subject to Section 16; (b) the broker shall confirm that any trade by the Insider or any of their affiliates has been precleared by the Company; and (c) the broker is to provide transaction information to the Insider and/or Chief Legal Officer on the day of a trade.</w:t>
      </w:r>
    </w:p>
    <w:p>
      <w:pPr>
        <w:spacing w:after="0" w:line="176" w:lineRule="exact"/>
        <w:rPr>
          <w:sz w:val="20"/>
          <w:szCs w:val="20"/>
          <w:color w:val="auto"/>
        </w:rPr>
      </w:pPr>
    </w:p>
    <w:p>
      <w:pPr>
        <w:ind w:left="1500" w:hanging="743"/>
        <w:spacing w:after="0"/>
        <w:tabs>
          <w:tab w:leader="none" w:pos="150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Obligation to Approve Trades.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4" w:name="page175"/>
    <w:bookmarkEnd w:id="174"/>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The foregoing approval procedures do not in any way obligate the Chief Legal Officer to approve any trade. The Chief Legal Officer has sole discretion to reject any trading request.</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From time to time, an event may occur that is material to the Company and is known by only by a limited number of directors and employees. The Chief Legal Officer may decline an Insider’s request to preclear a proposed trade based on the existence of a material nonpublic development – even if the Insider is not aware of that material nonpublic development.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the Chief Legal Officer may decide not to approve any transactions in the Company’s securities. The Chief Legal Officer will subsequently notify the Insider once the material nonpublic development is disclosed to the public or resolved. If an Insider requests preclearance of a trade during the pendency of such an event, the Chief Legal Officer may reject the trading request without disclosing the reason.</w:t>
      </w:r>
    </w:p>
    <w:p>
      <w:pPr>
        <w:spacing w:after="0" w:line="179" w:lineRule="exact"/>
        <w:rPr>
          <w:sz w:val="20"/>
          <w:szCs w:val="20"/>
          <w:color w:val="auto"/>
        </w:rPr>
      </w:pPr>
    </w:p>
    <w:p>
      <w:pPr>
        <w:ind w:left="1500" w:hanging="743"/>
        <w:spacing w:after="0"/>
        <w:tabs>
          <w:tab w:leader="none" w:pos="150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Completion of Trades.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After receiving written clearance to engage in a trade signed by the Chief Legal Officer, an Insider must complete the proposed trade within three (3) business days or make a new trading request. Even if an Insider has received clearance, the Insider may not engage in a trade if (i) such clearance has been rescinded by the Chief Legal Officer, (ii) the Insider has otherwise received notice that the trading window has closed or (iii) the Insider has or acquires material nonpublic information.</w:t>
      </w:r>
    </w:p>
    <w:p>
      <w:pPr>
        <w:spacing w:after="0" w:line="176" w:lineRule="exact"/>
        <w:rPr>
          <w:sz w:val="20"/>
          <w:szCs w:val="20"/>
          <w:color w:val="auto"/>
        </w:rPr>
      </w:pPr>
    </w:p>
    <w:p>
      <w:pPr>
        <w:ind w:left="1500" w:hanging="743"/>
        <w:spacing w:after="0"/>
        <w:tabs>
          <w:tab w:leader="none" w:pos="150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Post-Trade Reporting.</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details of any transactions in our securities (including transactions effected pursuant to a Rule 10b5-1 Plan) by an Insider who is required to file reports under Section 16 of the Exchange Act must be reported to the Chief Legal Officer by the Insider or their brokerage firm on the same day on which a trade order is placed or such a transaction otherwise is entered into. The report shall include the date of the transaction, quantity of shares, the price, the name of the broker-dealer that effected the transaction and whether the trade was made pursuant to a valid Rule 10b5-1 Plan. This reporting requirement may be satisfied by providing (or having the Insider’s broker provide) a trade order confirmation to the Chief Legal Officer if the Chief Legal Officer receives such information by the required date. Compliance by directors and executive officers with this provision is imperative given the requirement of Section 16 of the Exchange Act that these persons generally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181" w:lineRule="exact"/>
        <w:rPr>
          <w:sz w:val="20"/>
          <w:szCs w:val="20"/>
          <w:color w:val="auto"/>
        </w:rPr>
      </w:pPr>
    </w:p>
    <w:p>
      <w:pPr>
        <w:ind w:left="360" w:hanging="352"/>
        <w:spacing w:after="0"/>
        <w:tabs>
          <w:tab w:leader="none" w:pos="360" w:val="left"/>
        </w:tabs>
        <w:numPr>
          <w:ilvl w:val="0"/>
          <w:numId w:val="9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Exemptions</w:t>
      </w:r>
    </w:p>
    <w:p>
      <w:pPr>
        <w:spacing w:after="0" w:line="208" w:lineRule="exact"/>
        <w:rPr>
          <w:rFonts w:ascii="Times New Roman" w:cs="Times New Roman" w:eastAsia="Times New Roman" w:hAnsi="Times New Roman"/>
          <w:sz w:val="22"/>
          <w:szCs w:val="22"/>
          <w:b w:val="1"/>
          <w:bCs w:val="1"/>
          <w:i w:val="1"/>
          <w:iCs w:val="1"/>
          <w:color w:val="auto"/>
        </w:rPr>
      </w:pPr>
    </w:p>
    <w:p>
      <w:pPr>
        <w:ind w:left="1500" w:hanging="743"/>
        <w:spacing w:after="0"/>
        <w:tabs>
          <w:tab w:leader="none" w:pos="1500" w:val="left"/>
        </w:tabs>
        <w:numPr>
          <w:ilvl w:val="1"/>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Pre-Approved Rule 10b5-1 Plan.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Transactions made pursuant to an approved Rule 10b5-1 Plan will not be subject to our trading windows or pre-clearance procedures, and Insiders are not required to complete a Stock Transaction Request form for such transactions. Rule 10b5-1 of the Exchange Act provides an affirmative defense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5" w:name="page176"/>
    <w:bookmarkEnd w:id="175"/>
    <w:p>
      <w:pPr>
        <w:jc w:val="both"/>
        <w:spacing w:after="0" w:line="239" w:lineRule="auto"/>
        <w:rPr>
          <w:sz w:val="20"/>
          <w:szCs w:val="20"/>
          <w:color w:val="auto"/>
        </w:rPr>
      </w:pPr>
      <w:r>
        <w:rPr>
          <w:rFonts w:ascii="Times New Roman" w:cs="Times New Roman" w:eastAsia="Times New Roman" w:hAnsi="Times New Roman"/>
          <w:sz w:val="22"/>
          <w:szCs w:val="22"/>
          <w:color w:val="auto"/>
        </w:rPr>
        <w:t>from insider trading liability under the federal securities laws for trading plans, arrangements or instructions that meet specified requirements. A trading plan, arrangement or instruction that meets the requirements of the SEC’s Rule 10b5-1 (a “Rule 10b5-1 Plan”) enables Insiders to trade in Company securities outside of our trading windows, even when in possession of material nonpublic information.</w:t>
      </w:r>
    </w:p>
    <w:p>
      <w:pPr>
        <w:spacing w:after="0" w:line="180"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2"/>
          <w:szCs w:val="22"/>
          <w:color w:val="auto"/>
        </w:rPr>
        <w:t>The Company has adopted a separate Rule 10b5-1 Trading Plan Policy that sets forth the requirements for putting in place a Rule 10b5-1 Plan with respect to Company securities.</w:t>
      </w:r>
    </w:p>
    <w:p>
      <w:pPr>
        <w:spacing w:after="0" w:line="154" w:lineRule="exact"/>
        <w:rPr>
          <w:sz w:val="20"/>
          <w:szCs w:val="20"/>
          <w:color w:val="auto"/>
        </w:rPr>
      </w:pPr>
    </w:p>
    <w:p>
      <w:pPr>
        <w:ind w:left="1500" w:hanging="743"/>
        <w:spacing w:after="0"/>
        <w:tabs>
          <w:tab w:leader="none" w:pos="150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Equity and Retirement Plans.</w:t>
      </w:r>
    </w:p>
    <w:p>
      <w:pPr>
        <w:spacing w:after="0" w:line="20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Exercise of Stock Options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trading prohibitions and restrictions set forth in the Trading Procedures do not apply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exercise for cash of an option to purchase securities of the Company. However, the exercise is subject to the current reporting requirements of Section 16 of the Exchange Act and, therefore, Insiders must comply with the post-trade reporting requirement described in Section C above for any such transaction. In addition, the securities acquired upon the exercise of an option to purchase Company securities are subject to all of the requirements of this Insider Trading Policy, including the Trading Procedures. Moreover, the Trading Procedures apply to the use of outstanding Company securities to pay part or all of the exercise price of an option, any net option exercise, any exercise of a stock appreciation right, share withholding and any sale of stock as part of a broker-assisted cashless exercise of an option or any other market sale for the purpose of generating the cash needed to pay the exercise price of an option.</w:t>
      </w:r>
    </w:p>
    <w:p>
      <w:pPr>
        <w:spacing w:after="0" w:line="17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Tax Withholding on Restricted Stock/Units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trading prohibitions and restrictions set forth in the Trading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Procedures do not apply to the withholding by the Company of shares of stock upon vesting of restricted stock or upon settlement of restricted stock units to satisfy tax withholding requirements if (a) withholding is required by the applicable plan or award agreement or (b) the election to exercise the tax withholding right was made by the Insider in compliance with the Trading Procedures.</w:t>
      </w:r>
    </w:p>
    <w:p>
      <w:pPr>
        <w:spacing w:after="0" w:line="17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Employee Stock Purchase Plan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trading prohibitions and restrictions set forth in the Trading Procedures do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apply to periodic wage withholding contributions by the Company or its employees that are used to purchase Company stock pursuant to the employees’ advance instructions under the Company’s Employee Stock Purchase Plan. However, an Insider may not: (a) elect to participate in the plan or alter their instructions regarding the level of withholding or purchase by the Insider of Company securities under the plan; or (b) make cash contributions to the plan (other than through periodic wage withholding) without complying with the Trading Procedures. Any sale of securities acquired under the plan is subject to the prohibitions and restrictions of the Trading Procedures.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6" w:name="page177"/>
    <w:bookmarkEnd w:id="176"/>
    <w:p>
      <w:pPr>
        <w:ind w:left="360" w:hanging="352"/>
        <w:spacing w:after="0"/>
        <w:tabs>
          <w:tab w:leader="none" w:pos="360" w:val="left"/>
        </w:tabs>
        <w:numPr>
          <w:ilvl w:val="0"/>
          <w:numId w:val="10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Policy Modifications and Waivers</w:t>
      </w:r>
    </w:p>
    <w:p>
      <w:pPr>
        <w:spacing w:after="0" w:line="208" w:lineRule="exact"/>
        <w:rPr>
          <w:rFonts w:ascii="Times New Roman" w:cs="Times New Roman" w:eastAsia="Times New Roman" w:hAnsi="Times New Roman"/>
          <w:sz w:val="22"/>
          <w:szCs w:val="22"/>
          <w:b w:val="1"/>
          <w:bCs w:val="1"/>
          <w:i w:val="1"/>
          <w:iCs w:val="1"/>
          <w:color w:val="auto"/>
        </w:rPr>
      </w:pPr>
    </w:p>
    <w:p>
      <w:pPr>
        <w:ind w:left="1120" w:hanging="363"/>
        <w:spacing w:after="0"/>
        <w:tabs>
          <w:tab w:leader="none" w:pos="1120" w:val="left"/>
        </w:tabs>
        <w:numPr>
          <w:ilvl w:val="1"/>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Insider Trading Policy Modification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Company may at any time change this Insider Trading Policy or adopt such other policies or procedures which it considers appropriate to carry out the purposes of its policies regarding insider trading and the disclosure of Company information. Notice of any such change will be delivered to you by regular or electronic mail (or other delivery option used by the Company) by the Company. You will be deemed to have received, be bound by and agree to revisions of this Insider Trading Policy when such revisions have been delivered to you, unless you object to any revision in a written statement received by the Chief Legal Officer within two (2) business days of such delivery.</w:t>
      </w:r>
    </w:p>
    <w:p>
      <w:pPr>
        <w:spacing w:after="0" w:line="177" w:lineRule="exact"/>
        <w:rPr>
          <w:sz w:val="20"/>
          <w:szCs w:val="20"/>
          <w:color w:val="auto"/>
        </w:rPr>
      </w:pPr>
    </w:p>
    <w:p>
      <w:pPr>
        <w:ind w:left="760"/>
        <w:spacing w:after="0"/>
        <w:tabs>
          <w:tab w:leader="none" w:pos="110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Waivers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 waiver of any provision of this Insider Trading Policy or the Trading Procedures may be authorized in writing by the Chief Legal Officer. All waivers shall be reported to the Board of Directors.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III. ACKNOWLEDGEMENT</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We will deliver a copy of this Insider Trading Policy to all current employees and directors and consultants and to future employees and directors and consultants at the start of their employment or relationship with the Company. Each of these individuals must acknowledge that they have received a copy and agree to comply with the terms of this Insider Trading Policy, and, if applicable, the Trading Procedures contained herein. The attached acknowledgment must be completed and submitted to the Company within ten days of receipt.</w:t>
      </w:r>
    </w:p>
    <w:p>
      <w:pPr>
        <w:spacing w:after="0" w:line="17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At our request, directors and employees and consultants will be required to re-acknowledge and agree to comply with the Insider Trading Policy (including any amendments or modifications). For that purpose, an individual will be deemed to have acknowledged and agreed to comply with the Insider Trading Policy, as amended from time to time, when copies of those items have been delivered by regular or electronic mail (or other delivery option used by the Company) to the Chief Legal Officer.</w:t>
      </w:r>
    </w:p>
    <w:p>
      <w:pPr>
        <w:spacing w:after="0" w:line="162" w:lineRule="exact"/>
        <w:rPr>
          <w:sz w:val="20"/>
          <w:szCs w:val="20"/>
          <w:color w:val="auto"/>
        </w:rPr>
      </w:pPr>
    </w:p>
    <w:p>
      <w:pPr>
        <w:ind w:left="5220"/>
        <w:spacing w:after="0"/>
        <w:tabs>
          <w:tab w:leader="none" w:pos="5560" w:val="left"/>
          <w:tab w:leader="none" w:pos="5900" w:val="left"/>
        </w:tabs>
        <w:rPr>
          <w:sz w:val="20"/>
          <w:szCs w:val="20"/>
          <w:color w:val="auto"/>
        </w:rPr>
      </w:pPr>
      <w:r>
        <w:rPr>
          <w:rFonts w:ascii="Times New Roman" w:cs="Times New Roman" w:eastAsia="Times New Roman" w:hAnsi="Times New Roman"/>
          <w:sz w:val="22"/>
          <w:szCs w:val="22"/>
          <w:color w:val="auto"/>
        </w:rPr>
        <w:t>*</w:t>
        <w:tab/>
        <w:t>*</w:t>
        <w:tab/>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Questions regarding this Insider Trading Policy are encouraged and may be directed to the Chief Legal Officer.</w:t>
      </w:r>
    </w:p>
    <w:p>
      <w:pPr>
        <w:spacing w:after="0" w:line="20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ADOPTED:</w:t>
      </w:r>
      <w:r>
        <w:rPr>
          <w:sz w:val="20"/>
          <w:szCs w:val="20"/>
          <w:color w:val="auto"/>
        </w:rPr>
        <w:tab/>
      </w:r>
      <w:r>
        <w:rPr>
          <w:rFonts w:ascii="Times New Roman" w:cs="Times New Roman" w:eastAsia="Times New Roman" w:hAnsi="Times New Roman"/>
          <w:sz w:val="22"/>
          <w:szCs w:val="22"/>
          <w:color w:val="auto"/>
        </w:rPr>
        <w:t>December 29,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AMENDED ON: September 17,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FURTHER AMENDED ON: September 18, 2025</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ACKNOWLEDGEMENT</w:t>
      </w:r>
    </w:p>
    <w:p>
      <w:pPr>
        <w:spacing w:after="0" w:line="21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I hereby acknowledge that I have read, that I understand, and that I agree to comply with the Insider Trading Policy of Disc Medicine, Inc. (the “Company”). I further acknowledge and agree that I am responsible for ensuring compliance with the Insider Trading Policy and the Trading Procedures by all of my “Affiliated Persons.” I also understand and agree that I will be subject to sanctions, including termination of employment, that may be imposed by the Company, in its sole discretion, for violation of the Insider Trading Policy, and that the Company may give stop-transfer and other instructions to the Company’s transfer agent or any brokerage firm managing the Company’s equity incentive plan(s) against the transfer of any Company securities that the Company considers to be in contravention of the Insider Trading Policy.</w:t>
      </w:r>
    </w:p>
    <w:p>
      <w:pPr>
        <w:spacing w:after="0" w:line="182"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2"/>
          <w:szCs w:val="22"/>
          <w:color w:val="auto"/>
        </w:rPr>
        <w:t>This acknowledgement constitutes consent for the Company to impose sanctions for violation of the Insider Trading Policy, including the Trading Procedures, and to issue any stop-transfer orders to the Company’s transfer agent that the Company, in its sole discretion, deems appropriate to ensure compliance.</w:t>
      </w:r>
    </w:p>
    <w:p>
      <w:pPr>
        <w:spacing w:after="0" w:line="200" w:lineRule="exact"/>
        <w:rPr>
          <w:sz w:val="20"/>
          <w:szCs w:val="20"/>
          <w:color w:val="auto"/>
        </w:rPr>
      </w:pPr>
    </w:p>
    <w:p>
      <w:pPr>
        <w:spacing w:after="0" w:line="216" w:lineRule="exact"/>
        <w:rPr>
          <w:sz w:val="20"/>
          <w:szCs w:val="20"/>
          <w:color w:val="auto"/>
        </w:rPr>
      </w:pPr>
    </w:p>
    <w:p>
      <w:pPr>
        <w:spacing w:after="0"/>
        <w:tabs>
          <w:tab w:leader="none" w:pos="6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10795</wp:posOffset>
            </wp:positionV>
            <wp:extent cx="21431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0">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10795</wp:posOffset>
            </wp:positionV>
            <wp:extent cx="21342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10795</wp:posOffset>
            </wp:positionV>
            <wp:extent cx="21342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10795</wp:posOffset>
            </wp:positionV>
            <wp:extent cx="21342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3">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Send signed Acknowledgement 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[Title]</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[Company 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38"/>
        </w:trPr>
        <w:tc>
          <w:tcPr>
            <w:tcW w:w="9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391"/>
        </w:trPr>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Legal Name</w:t>
            </w:r>
          </w:p>
        </w:tc>
        <w:tc>
          <w:tcPr>
            <w:tcW w:w="180" w:type="dxa"/>
            <w:vAlign w:val="bottom"/>
          </w:tcPr>
          <w:p>
            <w:pPr>
              <w:spacing w:after="0"/>
              <w:rPr>
                <w:sz w:val="24"/>
                <w:szCs w:val="24"/>
                <w:color w:val="auto"/>
              </w:rPr>
            </w:pPr>
          </w:p>
        </w:tc>
        <w:tc>
          <w:tcPr>
            <w:tcW w:w="1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State of Organization</w:t>
            </w:r>
          </w:p>
        </w:tc>
      </w:tr>
      <w:tr>
        <w:trPr>
          <w:trHeight w:val="32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Disc Medicine Opco, Inc.</w:t>
            </w:r>
          </w:p>
        </w:tc>
        <w:tc>
          <w:tcPr>
            <w:tcW w:w="18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Disc Medicine Securities Corp.</w:t>
            </w:r>
          </w:p>
        </w:tc>
        <w:tc>
          <w:tcPr>
            <w:tcW w:w="180" w:type="dxa"/>
            <w:vAlign w:val="bottom"/>
          </w:tcPr>
          <w:p>
            <w:pPr>
              <w:spacing w:after="0"/>
              <w:rPr>
                <w:sz w:val="20"/>
                <w:szCs w:val="20"/>
                <w:color w:val="auto"/>
              </w:rPr>
            </w:pPr>
          </w:p>
        </w:tc>
        <w:tc>
          <w:tcPr>
            <w:tcW w:w="1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1208"/>
        </w:trPr>
        <w:tc>
          <w:tcPr>
            <w:tcW w:w="9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333-269270) of Disc Medicine,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333-281359) of Disc Medicine, Inc.,</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66" w:lineRule="auto"/>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333-285312) pertaining to the Amended and Restated 2021 Stock Option and Incentive Plan, Amended and Restated 2021 Employee Stock Purchase Plan, the Stock Option Inducement Awards, and the Restricted Stock Unit Inducement Awards of Disc Medicine, Inc.,</w:t>
      </w:r>
    </w:p>
    <w:p>
      <w:pPr>
        <w:spacing w:after="0" w:line="67" w:lineRule="exact"/>
        <w:rPr>
          <w:rFonts w:ascii="Times New Roman" w:cs="Times New Roman" w:eastAsia="Times New Roman" w:hAnsi="Times New Roman"/>
          <w:sz w:val="18"/>
          <w:szCs w:val="18"/>
          <w:color w:val="auto"/>
        </w:rPr>
      </w:pPr>
    </w:p>
    <w:p>
      <w:pPr>
        <w:ind w:left="1020" w:right="680" w:hanging="503"/>
        <w:spacing w:after="0" w:line="266" w:lineRule="auto"/>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333-278129) pertaining to the Amended and Restated 2021 Stock Option and Incentive Plan, Amended and Restated 2021 Employee Stock Purchase Plan, the Stock Option Inducement Awards, and the Restricted Stock Unit Inducement Awards of Disc Medicine, Inc.,</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333-269271) pertaining to the 2017 Stock Option and Grant Plan, Amended and Restated 2021 Stock Option and Incentive Plan, and Amended and Restated 2021 Employee Stock Purchase Plan of Disc Medicine, Inc.,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333-263410) pertaining to the 2021 Stock Option and Incentive Plan of Gemini Therapeutics, Inc.,</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333-255194) pertaining to the 2021 Stock Option and Incentive Plan and the 2021 Inducement Plan of Gemini Therapeutics, Inc.,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333-260243) pertaining to the 2021 Employee Stock Purchase Plan of Gemini Therapeutics, Inc.;</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reports dated February 26, 2026, with respect to the consolidated financial statements of Disc Medicine, Inc. and the effectiveness of internal control over financial reporting of Disc Medicine, Inc. included in this Annual Report (Form 10-K) of Disc Medicine, Inc.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80" w:name="page181"/>
    <w:bookmarkEnd w:id="180"/>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RULE 13A-14( A ) / RULE 15D-14( A )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Quisel, J.D., Ph.D., certify that:</w:t>
      </w:r>
    </w:p>
    <w:p>
      <w:pPr>
        <w:spacing w:after="0" w:line="225" w:lineRule="exact"/>
        <w:rPr>
          <w:sz w:val="20"/>
          <w:szCs w:val="20"/>
          <w:color w:val="auto"/>
        </w:rPr>
      </w:pPr>
    </w:p>
    <w:p>
      <w:pPr>
        <w:ind w:left="180" w:hanging="172"/>
        <w:spacing w:after="0"/>
        <w:tabs>
          <w:tab w:leader="none" w:pos="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Disc Medicine, Inc.;</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20" w:firstLine="8"/>
        <w:spacing w:after="0" w:line="282" w:lineRule="auto"/>
        <w:tabs>
          <w:tab w:leader="none" w:pos="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120" w:firstLine="8"/>
        <w:spacing w:after="0" w:line="266" w:lineRule="auto"/>
        <w:tabs>
          <w:tab w:leader="none" w:pos="24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8"/>
        <w:spacing w:after="0" w:line="266" w:lineRule="auto"/>
        <w:tabs>
          <w:tab w:leader="none" w:pos="2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80" w:firstLine="8"/>
        <w:spacing w:after="0" w:line="282" w:lineRule="auto"/>
        <w:tabs>
          <w:tab w:leader="none" w:pos="24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80" w:firstLine="8"/>
        <w:spacing w:after="0" w:line="266" w:lineRule="auto"/>
        <w:tabs>
          <w:tab w:leader="none" w:pos="2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40" w:firstLine="8"/>
        <w:spacing w:after="0" w:line="282" w:lineRule="auto"/>
        <w:tabs>
          <w:tab w:leader="none" w:pos="1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8"/>
        <w:spacing w:after="0" w:line="282" w:lineRule="auto"/>
        <w:tabs>
          <w:tab w:leader="none" w:pos="24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181" w:name="page182"/>
    <w:bookmarkEnd w:id="181"/>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RULE 13A-14(A) / RULE 15D-14(A)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 Franchi, certify that:</w:t>
      </w:r>
    </w:p>
    <w:p>
      <w:pPr>
        <w:spacing w:after="0" w:line="225" w:lineRule="exact"/>
        <w:rPr>
          <w:sz w:val="20"/>
          <w:szCs w:val="20"/>
          <w:color w:val="auto"/>
        </w:rPr>
      </w:pPr>
    </w:p>
    <w:p>
      <w:pPr>
        <w:ind w:left="180" w:hanging="172"/>
        <w:spacing w:after="0"/>
        <w:tabs>
          <w:tab w:leader="none" w:pos="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Disc Medicine, Inc.;</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20" w:firstLine="8"/>
        <w:spacing w:after="0" w:line="282" w:lineRule="auto"/>
        <w:tabs>
          <w:tab w:leader="none" w:pos="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120" w:firstLine="8"/>
        <w:spacing w:after="0" w:line="266" w:lineRule="auto"/>
        <w:tabs>
          <w:tab w:leader="none" w:pos="24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8"/>
        <w:spacing w:after="0" w:line="266" w:lineRule="auto"/>
        <w:tabs>
          <w:tab w:leader="none" w:pos="2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80" w:firstLine="8"/>
        <w:spacing w:after="0" w:line="282" w:lineRule="auto"/>
        <w:tabs>
          <w:tab w:leader="none" w:pos="24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80" w:firstLine="8"/>
        <w:spacing w:after="0" w:line="266" w:lineRule="auto"/>
        <w:tabs>
          <w:tab w:leader="none" w:pos="2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40" w:firstLine="8"/>
        <w:spacing w:after="0" w:line="282" w:lineRule="auto"/>
        <w:tabs>
          <w:tab w:leader="none" w:pos="1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8"/>
        <w:spacing w:after="0" w:line="282" w:lineRule="auto"/>
        <w:tabs>
          <w:tab w:leader="none" w:pos="24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Franchi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182" w:name="page183"/>
    <w:bookmarkEnd w:id="182"/>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OFFICER PURSUANT TO 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on Form 10-K of Disc Medicine, Inc. (the “Company”) for the fiscal year ended December 31, 2025 as filed with the Securities and Exchange Commission on the date hereof (the “Report”), each of the undersigned officers hereby certifies, pursuant to 18 U.S.C. Section 1350, as adopted pursuant to Section 906 of the Sarbanes-Oxley Act of 2002, that to the best of his or her knowledge:</w:t>
      </w:r>
    </w:p>
    <w:p>
      <w:pPr>
        <w:spacing w:after="0" w:line="68" w:lineRule="exact"/>
        <w:rPr>
          <w:sz w:val="20"/>
          <w:szCs w:val="20"/>
          <w:color w:val="auto"/>
        </w:rPr>
      </w:pPr>
    </w:p>
    <w:p>
      <w:pPr>
        <w:ind w:left="1140" w:hanging="504"/>
        <w:spacing w:after="0"/>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right="500" w:hanging="504"/>
        <w:spacing w:after="0" w:line="282" w:lineRule="auto"/>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Franchi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3" w:name="page184"/>
    <w:bookmarkEnd w:id="1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1)"/>
      <w:numFmt w:val="lowerRoman"/>
      <w:start w:val="2"/>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lvl w:ilvl="1">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1)"/>
      <w:numFmt w:val="decimal"/>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1)"/>
      <w:numFmt w:val="decimal"/>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1)"/>
      <w:numFmt w:val="decimal"/>
      <w:start w:val="1"/>
    </w:lvl>
  </w:abstractNum>
  <w:abstractNum w:abstractNumId="56">
    <w:nsid w:val="100F59DC"/>
    <w:multiLevelType w:val="hybridMultilevel"/>
    <w:lvl w:ilvl="0">
      <w:lvlJc w:val="left"/>
      <w:lvlText w:val="%1."/>
      <w:numFmt w:val="decimal"/>
      <w:start w:val="1"/>
    </w:lvl>
  </w:abstractNum>
  <w:abstractNum w:abstractNumId="57">
    <w:nsid w:val="7FB7E0AA"/>
    <w:multiLevelType w:val="hybridMultilevel"/>
    <w:lvl w:ilvl="0">
      <w:lvlJc w:val="left"/>
      <w:lvlText w:val="%1."/>
      <w:numFmt w:val="decimal"/>
      <w:start w:val="2"/>
    </w:lvl>
  </w:abstractNum>
  <w:abstractNum w:abstractNumId="58">
    <w:nsid w:val="6EB5BD4"/>
    <w:multiLevelType w:val="hybridMultilevel"/>
    <w:lvl w:ilvl="0">
      <w:lvlJc w:val="left"/>
      <w:lvlText w:val="%1."/>
      <w:numFmt w:val="decimal"/>
      <w:start w:val="3"/>
    </w:lvl>
  </w:abstractNum>
  <w:abstractNum w:abstractNumId="59">
    <w:nsid w:val="6F6DD9AC"/>
    <w:multiLevelType w:val="hybridMultilevel"/>
    <w:lvl w:ilvl="0">
      <w:lvlJc w:val="left"/>
      <w:lvlText w:val="*"/>
      <w:numFmt w:val="bullet"/>
      <w:start w:val="1"/>
    </w:lvl>
    <w:lvl w:ilvl="1">
      <w:lvlJc w:val="left"/>
      <w:lvlText w:val="%2"/>
      <w:numFmt w:val="decimal"/>
      <w:start w:val="104"/>
    </w:lvl>
  </w:abstractNum>
  <w:abstractNum w:abstractNumId="60">
    <w:nsid w:val="94211F2"/>
    <w:multiLevelType w:val="hybridMultilevel"/>
    <w:lvl w:ilvl="0">
      <w:lvlJc w:val="left"/>
      <w:lvlText w:val="**"/>
      <w:numFmt w:val="bullet"/>
      <w:start w:val="1"/>
    </w:lvl>
    <w:lvl w:ilvl="1">
      <w:lvlJc w:val="left"/>
      <w:lvlText w:val="%2"/>
      <w:numFmt w:val="decimal"/>
      <w:start w:val="1"/>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1."/>
      <w:numFmt w:val="upperLetter"/>
      <w:start w:val="9"/>
    </w:lvl>
  </w:abstractNum>
  <w:abstractNum w:abstractNumId="63">
    <w:nsid w:val="4C04A8AF"/>
    <w:multiLevelType w:val="hybridMultilevel"/>
    <w:lvl w:ilvl="0">
      <w:lvlJc w:val="left"/>
      <w:lvlText w:val="%1."/>
      <w:numFmt w:val="upperLetter"/>
      <w:start w:val="35"/>
    </w:lvl>
  </w:abstractNum>
  <w:abstractNum w:abstractNumId="64">
    <w:nsid w:val="1716703B"/>
    <w:multiLevelType w:val="hybridMultilevel"/>
    <w:lvl w:ilvl="0">
      <w:lvlJc w:val="left"/>
      <w:lvlText w:val="%1."/>
      <w:numFmt w:val="decimal"/>
      <w:start w:val="2"/>
    </w:lvl>
  </w:abstractNum>
  <w:abstractNum w:abstractNumId="65">
    <w:nsid w:val="14E17E33"/>
    <w:multiLevelType w:val="hybridMultilevel"/>
    <w:lvl w:ilvl="0">
      <w:lvlJc w:val="left"/>
      <w:lvlText w:val="%1."/>
      <w:numFmt w:val="decimal"/>
      <w:start w:val="3"/>
    </w:lvl>
  </w:abstractNum>
  <w:abstractNum w:abstractNumId="66">
    <w:nsid w:val="3222E7CD"/>
    <w:multiLevelType w:val="hybridMultilevel"/>
    <w:lvl w:ilvl="0">
      <w:lvlJc w:val="left"/>
      <w:lvlText w:val="%1."/>
      <w:numFmt w:val="decimal"/>
      <w:start w:val="4"/>
    </w:lvl>
  </w:abstractNum>
  <w:abstractNum w:abstractNumId="67">
    <w:nsid w:val="74DE0EE3"/>
    <w:multiLevelType w:val="hybridMultilevel"/>
    <w:lvl w:ilvl="0">
      <w:lvlJc w:val="left"/>
      <w:lvlText w:val="%1."/>
      <w:numFmt w:val="decimal"/>
      <w:start w:val="5"/>
    </w:lvl>
  </w:abstractNum>
  <w:abstractNum w:abstractNumId="68">
    <w:nsid w:val="68EBC550"/>
    <w:multiLevelType w:val="hybridMultilevel"/>
    <w:lvl w:ilvl="0">
      <w:lvlJc w:val="left"/>
      <w:lvlText w:val="%1."/>
      <w:numFmt w:val="decimal"/>
      <w:start w:val="6"/>
    </w:lvl>
  </w:abstractNum>
  <w:abstractNum w:abstractNumId="69">
    <w:nsid w:val="2DF6D648"/>
    <w:multiLevelType w:val="hybridMultilevel"/>
    <w:lvl w:ilvl="0">
      <w:lvlJc w:val="left"/>
      <w:lvlText w:val="%1."/>
      <w:numFmt w:val="decimal"/>
      <w:start w:val="7"/>
    </w:lvl>
  </w:abstractNum>
  <w:abstractNum w:abstractNumId="70">
    <w:nsid w:val="46B7D447"/>
    <w:multiLevelType w:val="hybridMultilevel"/>
    <w:lvl w:ilvl="0">
      <w:lvlJc w:val="left"/>
      <w:lvlText w:val="•"/>
      <w:numFmt w:val="bullet"/>
      <w:start w:val="1"/>
    </w:lvl>
  </w:abstractNum>
  <w:abstractNum w:abstractNumId="71">
    <w:nsid w:val="4A2AC315"/>
    <w:multiLevelType w:val="hybridMultilevel"/>
    <w:lvl w:ilvl="0">
      <w:lvlJc w:val="left"/>
      <w:lvlText w:val="%1."/>
      <w:numFmt w:val="decimal"/>
      <w:start w:val="8"/>
    </w:lvl>
  </w:abstractNum>
  <w:abstractNum w:abstractNumId="72">
    <w:nsid w:val="39EE015C"/>
    <w:multiLevelType w:val="hybridMultilevel"/>
    <w:lvl w:ilvl="0">
      <w:lvlJc w:val="left"/>
      <w:lvlText w:val="%1."/>
      <w:numFmt w:val="decimal"/>
      <w:start w:val="9"/>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1."/>
      <w:numFmt w:val="decimal"/>
      <w:start w:val="9"/>
    </w:lvl>
    <w:lvl w:ilvl="1">
      <w:lvlJc w:val="left"/>
      <w:lvlText w:val="•"/>
      <w:numFmt w:val="bullet"/>
      <w:start w:val="1"/>
    </w:lvl>
  </w:abstractNum>
  <w:abstractNum w:abstractNumId="75">
    <w:nsid w:val="43F18422"/>
    <w:multiLevelType w:val="hybridMultilevel"/>
    <w:lvl w:ilvl="0">
      <w:lvlJc w:val="left"/>
      <w:lvlText w:val="%1."/>
      <w:numFmt w:val="decimal"/>
      <w:start w:val="11"/>
    </w:lvl>
  </w:abstractNum>
  <w:abstractNum w:abstractNumId="76">
    <w:nsid w:val="60EF0119"/>
    <w:multiLevelType w:val="hybridMultilevel"/>
    <w:lvl w:ilvl="0">
      <w:lvlJc w:val="left"/>
      <w:lvlText w:val="%1."/>
      <w:numFmt w:val="decimal"/>
      <w:start w:val="12"/>
    </w:lvl>
  </w:abstractNum>
  <w:abstractNum w:abstractNumId="77">
    <w:nsid w:val="26F324BA"/>
    <w:multiLevelType w:val="hybridMultilevel"/>
    <w:lvl w:ilvl="0">
      <w:lvlJc w:val="left"/>
      <w:lvlText w:val="%1."/>
      <w:numFmt w:val="decimal"/>
      <w:start w:val="13"/>
    </w:lvl>
  </w:abstractNum>
  <w:abstractNum w:abstractNumId="78">
    <w:nsid w:val="7F01579B"/>
    <w:multiLevelType w:val="hybridMultilevel"/>
    <w:lvl w:ilvl="0">
      <w:lvlJc w:val="left"/>
      <w:lvlText w:val="%1."/>
      <w:numFmt w:val="upperLetter"/>
      <w:start w:val="61"/>
    </w:lvl>
  </w:abstractNum>
  <w:abstractNum w:abstractNumId="79">
    <w:nsid w:val="49DA307D"/>
    <w:multiLevelType w:val="hybridMultilevel"/>
    <w:lvl w:ilvl="0">
      <w:lvlJc w:val="left"/>
      <w:lvlText w:val="%1."/>
      <w:numFmt w:val="decimal"/>
      <w:start w:val="2"/>
    </w:lvl>
  </w:abstractNum>
  <w:abstractNum w:abstractNumId="80">
    <w:nsid w:val="7055A5F5"/>
    <w:multiLevelType w:val="hybridMultilevel"/>
    <w:lvl w:ilvl="0">
      <w:lvlJc w:val="left"/>
      <w:lvlText w:val="%1."/>
      <w:numFmt w:val="decimal"/>
      <w:start w:val="3"/>
    </w:lvl>
  </w:abstractNum>
  <w:abstractNum w:abstractNumId="81">
    <w:nsid w:val="5FB8370B"/>
    <w:multiLevelType w:val="hybridMultilevel"/>
    <w:lvl w:ilvl="0">
      <w:lvlJc w:val="left"/>
      <w:lvlText w:val="•"/>
      <w:numFmt w:val="bullet"/>
      <w:start w:val="1"/>
    </w:lvl>
  </w:abstractNum>
  <w:abstractNum w:abstractNumId="82">
    <w:nsid w:val="50801EE1"/>
    <w:multiLevelType w:val="hybridMultilevel"/>
    <w:lvl w:ilvl="0">
      <w:lvlJc w:val="left"/>
      <w:lvlText w:val="•"/>
      <w:numFmt w:val="bullet"/>
      <w:start w:val="1"/>
    </w:lvl>
  </w:abstractNum>
  <w:abstractNum w:abstractNumId="83">
    <w:nsid w:val="488AC1A"/>
    <w:multiLevelType w:val="hybridMultilevel"/>
    <w:lvl w:ilvl="0">
      <w:lvlJc w:val="left"/>
      <w:lvlText w:val="•"/>
      <w:numFmt w:val="bullet"/>
      <w:start w:val="1"/>
    </w:lvl>
  </w:abstractNum>
  <w:abstractNum w:abstractNumId="84">
    <w:nsid w:val="5FB8011C"/>
    <w:multiLevelType w:val="hybridMultilevel"/>
    <w:lvl w:ilvl="0">
      <w:lvlJc w:val="left"/>
      <w:lvlText w:val="%1."/>
      <w:numFmt w:val="decimal"/>
      <w:start w:val="4"/>
    </w:lvl>
  </w:abstractNum>
  <w:abstractNum w:abstractNumId="85">
    <w:nsid w:val="6AA78F7F"/>
    <w:multiLevelType w:val="hybridMultilevel"/>
    <w:lvl w:ilvl="0">
      <w:lvlJc w:val="left"/>
      <w:lvlText w:val="%1."/>
      <w:numFmt w:val="decimal"/>
      <w:start w:val="5"/>
    </w:lvl>
  </w:abstractNum>
  <w:abstractNum w:abstractNumId="86">
    <w:nsid w:val="7672BD23"/>
    <w:multiLevelType w:val="hybridMultilevel"/>
    <w:lvl w:ilvl="0">
      <w:lvlJc w:val="left"/>
      <w:lvlText w:val="•"/>
      <w:numFmt w:val="bullet"/>
      <w:start w:val="1"/>
    </w:lvl>
  </w:abstractNum>
  <w:abstractNum w:abstractNumId="87">
    <w:nsid w:val="6FC75AF8"/>
    <w:multiLevelType w:val="hybridMultilevel"/>
    <w:lvl w:ilvl="0">
      <w:lvlJc w:val="left"/>
      <w:lvlText w:val="•"/>
      <w:numFmt w:val="bullet"/>
      <w:start w:val="1"/>
    </w:lvl>
  </w:abstractNum>
  <w:abstractNum w:abstractNumId="88">
    <w:nsid w:val="6A5F7029"/>
    <w:multiLevelType w:val="hybridMultilevel"/>
    <w:lvl w:ilvl="0">
      <w:lvlJc w:val="left"/>
      <w:lvlText w:val="•"/>
      <w:numFmt w:val="bullet"/>
      <w:start w:val="1"/>
    </w:lvl>
  </w:abstractNum>
  <w:abstractNum w:abstractNumId="89">
    <w:nsid w:val="7D5E18F8"/>
    <w:multiLevelType w:val="hybridMultilevel"/>
    <w:lvl w:ilvl="0">
      <w:lvlJc w:val="left"/>
      <w:lvlText w:val="•"/>
      <w:numFmt w:val="bullet"/>
      <w:start w:val="1"/>
    </w:lvl>
  </w:abstractNum>
  <w:abstractNum w:abstractNumId="90">
    <w:nsid w:val="5F3534A4"/>
    <w:multiLevelType w:val="hybridMultilevel"/>
    <w:lvl w:ilvl="0">
      <w:lvlJc w:val="left"/>
      <w:lvlText w:val="•"/>
      <w:numFmt w:val="bullet"/>
      <w:start w:val="1"/>
    </w:lvl>
  </w:abstractNum>
  <w:abstractNum w:abstractNumId="91">
    <w:nsid w:val="73A1821B"/>
    <w:multiLevelType w:val="hybridMultilevel"/>
    <w:lvl w:ilvl="0">
      <w:lvlJc w:val="left"/>
      <w:lvlText w:val="%1."/>
      <w:numFmt w:val="decimal"/>
      <w:start w:val="2"/>
    </w:lvl>
    <w:lvl w:ilvl="1">
      <w:lvlJc w:val="left"/>
      <w:lvlText w:val="•"/>
      <w:numFmt w:val="bullet"/>
      <w:start w:val="1"/>
    </w:lvl>
  </w:abstractNum>
  <w:abstractNum w:abstractNumId="92">
    <w:nsid w:val="7DE67713"/>
    <w:multiLevelType w:val="hybridMultilevel"/>
    <w:lvl w:ilvl="0">
      <w:lvlJc w:val="left"/>
      <w:lvlText w:val="%1."/>
      <w:numFmt w:val="decimal"/>
      <w:start w:val="1"/>
    </w:lvl>
    <w:lvl w:ilvl="1">
      <w:lvlJc w:val="left"/>
      <w:lvlText w:val="•"/>
      <w:numFmt w:val="bullet"/>
      <w:start w:val="1"/>
    </w:lvl>
  </w:abstractNum>
  <w:abstractNum w:abstractNumId="93">
    <w:nsid w:val="555C55B5"/>
    <w:multiLevelType w:val="hybridMultilevel"/>
    <w:lvl w:ilvl="0">
      <w:lvlJc w:val="left"/>
      <w:lvlText w:val="%1."/>
      <w:numFmt w:val="decimal"/>
      <w:start w:val="2"/>
    </w:lvl>
  </w:abstractNum>
  <w:abstractNum w:abstractNumId="94">
    <w:nsid w:val="3FA62ACA"/>
    <w:multiLevelType w:val="hybridMultilevel"/>
    <w:lvl w:ilvl="0">
      <w:lvlJc w:val="left"/>
      <w:lvlText w:val="%1."/>
      <w:numFmt w:val="decimal"/>
      <w:start w:val="3"/>
    </w:lvl>
  </w:abstractNum>
  <w:abstractNum w:abstractNumId="95">
    <w:nsid w:val="14FCE74E"/>
    <w:multiLevelType w:val="hybridMultilevel"/>
    <w:lvl w:ilvl="0">
      <w:lvlJc w:val="left"/>
      <w:lvlText w:val="%1."/>
      <w:numFmt w:val="decimal"/>
      <w:start w:val="4"/>
    </w:lvl>
  </w:abstractNum>
  <w:abstractNum w:abstractNumId="96">
    <w:nsid w:val="6A3DD3E8"/>
    <w:multiLevelType w:val="hybridMultilevel"/>
    <w:lvl w:ilvl="0">
      <w:lvlJc w:val="left"/>
      <w:lvlText w:val="%1."/>
      <w:numFmt w:val="decimal"/>
      <w:start w:val="5"/>
    </w:lvl>
  </w:abstractNum>
  <w:abstractNum w:abstractNumId="97">
    <w:nsid w:val="71C91298"/>
    <w:multiLevelType w:val="hybridMultilevel"/>
    <w:lvl w:ilvl="0">
      <w:lvlJc w:val="left"/>
      <w:lvlText w:val="%1."/>
      <w:numFmt w:val="decimal"/>
      <w:start w:val="6"/>
    </w:lvl>
  </w:abstractNum>
  <w:abstractNum w:abstractNumId="98">
    <w:nsid w:val="9DAF632"/>
    <w:multiLevelType w:val="hybridMultilevel"/>
    <w:lvl w:ilvl="0">
      <w:lvlJc w:val="left"/>
      <w:lvlText w:val="%1."/>
      <w:numFmt w:val="upperLetter"/>
      <w:start w:val="3"/>
    </w:lvl>
    <w:lvl w:ilvl="1">
      <w:lvlJc w:val="left"/>
      <w:lvlText w:val="%2."/>
      <w:numFmt w:val="decimal"/>
      <w:start w:val="1"/>
    </w:lvl>
  </w:abstractNum>
  <w:abstractNum w:abstractNumId="99">
    <w:nsid w:val="53299938"/>
    <w:multiLevelType w:val="hybridMultilevel"/>
    <w:lvl w:ilvl="0">
      <w:lvlJc w:val="left"/>
      <w:lvlText w:val="%1."/>
      <w:numFmt w:val="decimal"/>
      <w:start w:val="2"/>
    </w:lvl>
  </w:abstractNum>
  <w:abstractNum w:abstractNumId="100">
    <w:nsid w:val="1FBFE8E0"/>
    <w:multiLevelType w:val="hybridMultilevel"/>
    <w:lvl w:ilvl="0">
      <w:lvlJc w:val="left"/>
      <w:lvlText w:val="%1."/>
      <w:numFmt w:val="upperLetter"/>
      <w:start w:val="4"/>
    </w:lvl>
    <w:lvl w:ilvl="1">
      <w:lvlJc w:val="left"/>
      <w:lvlText w:val="%2."/>
      <w:numFmt w:val="decimal"/>
      <w:start w:val="1"/>
    </w:lvl>
  </w:abstractNum>
  <w:abstractNum w:abstractNumId="101">
    <w:nsid w:val="5092CA79"/>
    <w:multiLevelType w:val="hybridMultilevel"/>
    <w:lvl w:ilvl="0">
      <w:lvlJc w:val="left"/>
      <w:lvlText w:val="(%1)"/>
      <w:numFmt w:val="decimal"/>
      <w:start w:val="1"/>
    </w:lvl>
  </w:abstractNum>
  <w:abstractNum w:abstractNumId="102">
    <w:nsid w:val="1D545C4D"/>
    <w:multiLevelType w:val="hybridMultilevel"/>
    <w:lvl w:ilvl="0">
      <w:lvlJc w:val="left"/>
      <w:lvlText w:val="%1."/>
      <w:numFmt w:val="decimal"/>
      <w:start w:val="1"/>
    </w:lvl>
  </w:abstractNum>
  <w:abstractNum w:abstractNumId="103">
    <w:nsid w:val="59ADEA3D"/>
    <w:multiLevelType w:val="hybridMultilevel"/>
    <w:lvl w:ilvl="0">
      <w:lvlJc w:val="left"/>
      <w:lvlText w:val="(%1)"/>
      <w:numFmt w:val="lowerLetter"/>
      <w:start w:val="1"/>
    </w:lvl>
  </w:abstractNum>
  <w:abstractNum w:abstractNumId="104">
    <w:nsid w:val="288F1A34"/>
    <w:multiLevelType w:val="hybridMultilevel"/>
    <w:lvl w:ilvl="0">
      <w:lvlJc w:val="left"/>
      <w:lvlText w:val="%1."/>
      <w:numFmt w:val="decimal"/>
      <w:start w:val="5"/>
    </w:lvl>
  </w:abstractNum>
  <w:abstractNum w:abstractNumId="105">
    <w:nsid w:val="2A155DBC"/>
    <w:multiLevelType w:val="hybridMultilevel"/>
    <w:lvl w:ilvl="0">
      <w:lvlJc w:val="left"/>
      <w:lvlText w:val="(%1)"/>
      <w:numFmt w:val="lowerLetter"/>
      <w:start w:val="1"/>
    </w:lvl>
  </w:abstractNum>
  <w:abstractNum w:abstractNumId="106">
    <w:nsid w:val="1D9F6E5F"/>
    <w:multiLevelType w:val="hybridMultilevel"/>
    <w:lvl w:ilvl="0">
      <w:lvlJc w:val="left"/>
      <w:lvlText w:val="%1."/>
      <w:numFmt w:val="decimal"/>
      <w:start w:val="1"/>
    </w:lvl>
  </w:abstractNum>
  <w:abstractNum w:abstractNumId="107">
    <w:nsid w:val="97E1B4E"/>
    <w:multiLevelType w:val="hybridMultilevel"/>
    <w:lvl w:ilvl="0">
      <w:lvlJc w:val="left"/>
      <w:lvlText w:val="(%1)"/>
      <w:numFmt w:val="lowerLetter"/>
      <w:start w:val="1"/>
    </w:lvl>
  </w:abstractNum>
  <w:abstractNum w:abstractNumId="108">
    <w:nsid w:val="51088277"/>
    <w:multiLevelType w:val="hybridMultilevel"/>
    <w:lvl w:ilvl="0">
      <w:lvlJc w:val="left"/>
      <w:lvlText w:val="%1."/>
      <w:numFmt w:val="decimal"/>
      <w:start w:val="5"/>
    </w:lvl>
  </w:abstractNum>
  <w:abstractNum w:abstractNumId="109">
    <w:nsid w:val="1CA0C5FA"/>
    <w:multiLevelType w:val="hybridMultilevel"/>
    <w:lvl w:ilvl="0">
      <w:lvlJc w:val="left"/>
      <w:lvlText w:val="(%1)"/>
      <w:numFmt w:val="lowerLetter"/>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86" Type="http://schemas.openxmlformats.org/officeDocument/2006/relationships/image" Target="media/image348.png"/><Relationship Id="rId387" Type="http://schemas.openxmlformats.org/officeDocument/2006/relationships/image" Target="media/image349.png"/><Relationship Id="rId395" Type="http://schemas.openxmlformats.org/officeDocument/2006/relationships/image" Target="media/image350.png"/><Relationship Id="rId396" Type="http://schemas.openxmlformats.org/officeDocument/2006/relationships/image" Target="media/image351.png"/><Relationship Id="rId397" Type="http://schemas.openxmlformats.org/officeDocument/2006/relationships/image" Target="media/image352.png"/><Relationship Id="rId398" Type="http://schemas.openxmlformats.org/officeDocument/2006/relationships/image" Target="media/image353.png"/><Relationship Id="rId399" Type="http://schemas.openxmlformats.org/officeDocument/2006/relationships/image" Target="media/image354.png"/><Relationship Id="rId400" Type="http://schemas.openxmlformats.org/officeDocument/2006/relationships/image" Target="media/image355.png"/><Relationship Id="rId401" Type="http://schemas.openxmlformats.org/officeDocument/2006/relationships/image" Target="media/image356.png"/><Relationship Id="rId402" Type="http://schemas.openxmlformats.org/officeDocument/2006/relationships/image" Target="media/image357.png"/><Relationship Id="rId403" Type="http://schemas.openxmlformats.org/officeDocument/2006/relationships/image" Target="media/image358.png"/><Relationship Id="rId404" Type="http://schemas.openxmlformats.org/officeDocument/2006/relationships/image" Target="media/image359.png"/><Relationship Id="rId405" Type="http://schemas.openxmlformats.org/officeDocument/2006/relationships/image" Target="media/image360.png"/><Relationship Id="rId406" Type="http://schemas.openxmlformats.org/officeDocument/2006/relationships/image" Target="media/image361.png"/><Relationship Id="rId407" Type="http://schemas.openxmlformats.org/officeDocument/2006/relationships/image" Target="media/image362.png"/><Relationship Id="rId408" Type="http://schemas.openxmlformats.org/officeDocument/2006/relationships/image" Target="media/image363.png"/><Relationship Id="rId409" Type="http://schemas.openxmlformats.org/officeDocument/2006/relationships/image" Target="media/image364.png"/><Relationship Id="rId410" Type="http://schemas.openxmlformats.org/officeDocument/2006/relationships/image" Target="media/image365.png"/><Relationship Id="rId411" Type="http://schemas.openxmlformats.org/officeDocument/2006/relationships/image" Target="media/image366.png"/><Relationship Id="rId412" Type="http://schemas.openxmlformats.org/officeDocument/2006/relationships/image" Target="media/image367.png"/><Relationship Id="rId413" Type="http://schemas.openxmlformats.org/officeDocument/2006/relationships/image" Target="media/image368.png"/><Relationship Id="rId414" Type="http://schemas.openxmlformats.org/officeDocument/2006/relationships/image" Target="media/image369.png"/><Relationship Id="rId415" Type="http://schemas.openxmlformats.org/officeDocument/2006/relationships/image" Target="media/image370.png"/><Relationship Id="rId416" Type="http://schemas.openxmlformats.org/officeDocument/2006/relationships/image" Target="media/image371.png"/><Relationship Id="rId417" Type="http://schemas.openxmlformats.org/officeDocument/2006/relationships/image" Target="media/image372.png"/><Relationship Id="rId418" Type="http://schemas.openxmlformats.org/officeDocument/2006/relationships/image" Target="media/image373.png"/><Relationship Id="rId419" Type="http://schemas.openxmlformats.org/officeDocument/2006/relationships/image" Target="media/image374.png"/><Relationship Id="rId420" Type="http://schemas.openxmlformats.org/officeDocument/2006/relationships/image" Target="media/image375.png"/><Relationship Id="rId421" Type="http://schemas.openxmlformats.org/officeDocument/2006/relationships/image" Target="media/image376.png"/><Relationship Id="rId422" Type="http://schemas.openxmlformats.org/officeDocument/2006/relationships/image" Target="media/image377.png"/><Relationship Id="rId423" Type="http://schemas.openxmlformats.org/officeDocument/2006/relationships/image" Target="media/image378.png"/><Relationship Id="rId424" Type="http://schemas.openxmlformats.org/officeDocument/2006/relationships/image" Target="media/image379.png"/><Relationship Id="rId425" Type="http://schemas.openxmlformats.org/officeDocument/2006/relationships/image" Target="media/image380.png"/><Relationship Id="rId426" Type="http://schemas.openxmlformats.org/officeDocument/2006/relationships/image" Target="media/image381.png"/><Relationship Id="rId427" Type="http://schemas.openxmlformats.org/officeDocument/2006/relationships/image" Target="media/image382.png"/><Relationship Id="rId428" Type="http://schemas.openxmlformats.org/officeDocument/2006/relationships/image" Target="media/image383.png"/><Relationship Id="rId429" Type="http://schemas.openxmlformats.org/officeDocument/2006/relationships/image" Target="media/image384.png"/><Relationship Id="rId430" Type="http://schemas.openxmlformats.org/officeDocument/2006/relationships/image" Target="media/image385.png"/><Relationship Id="rId431" Type="http://schemas.openxmlformats.org/officeDocument/2006/relationships/image" Target="media/image386.png"/><Relationship Id="rId432" Type="http://schemas.openxmlformats.org/officeDocument/2006/relationships/image" Target="media/image387.png"/><Relationship Id="rId433" Type="http://schemas.openxmlformats.org/officeDocument/2006/relationships/image" Target="media/image388.png"/><Relationship Id="rId434" Type="http://schemas.openxmlformats.org/officeDocument/2006/relationships/image" Target="media/image389.png"/><Relationship Id="rId353" Type="http://schemas.openxmlformats.org/officeDocument/2006/relationships/hyperlink" Target="https://www.sec.gov/Archives/edgar/data/1816736/000114036122032239/ny20005172x1_s4.htm#tANNEXA" TargetMode="External"/><Relationship Id="rId354" Type="http://schemas.openxmlformats.org/officeDocument/2006/relationships/hyperlink" Target="https://www.sec.gov/Archives/edgar/data/1816736/000121390021008478/ea135023ex3-1_gemini.htm" TargetMode="External"/><Relationship Id="rId355" Type="http://schemas.openxmlformats.org/officeDocument/2006/relationships/hyperlink" Target="https://www.sec.gov/Archives/edgar/data/1816736/000114036122047453/brhc10045896_ex3-1.htm" TargetMode="External"/><Relationship Id="rId356" Type="http://schemas.openxmlformats.org/officeDocument/2006/relationships/hyperlink" Target="https://www.sec.gov/Archives/edgar/data/1816736/000114036122047453/brhc10045896_ex3-2.htm" TargetMode="External"/><Relationship Id="rId357" Type="http://schemas.openxmlformats.org/officeDocument/2006/relationships/hyperlink" Target="https://www.sec.gov/Archives/edgar/data/1816736/000121390021002636/fs42021a5_fsdevelopment.htm#T53" TargetMode="External"/><Relationship Id="rId358" Type="http://schemas.openxmlformats.org/officeDocument/2006/relationships/hyperlink" Target="https://www.sec.gov/Archives/edgar/data/1816736/000095017022003288/gmtx-ex4_4.htm" TargetMode="External"/><Relationship Id="rId359" Type="http://schemas.openxmlformats.org/officeDocument/2006/relationships/hyperlink" Target="https://www.sec.gov/Archives/edgar/data/1816736/000114036122047453/brhc10045896_ex10-1.htm" TargetMode="External"/><Relationship Id="rId360" Type="http://schemas.openxmlformats.org/officeDocument/2006/relationships/hyperlink" Target="https://www.sec.gov/Archives/edgar/data/1816736/000121390021007091/ea134758ex10-1_gemini.htm" TargetMode="External"/><Relationship Id="rId361" Type="http://schemas.openxmlformats.org/officeDocument/2006/relationships/hyperlink" Target="https://www.sec.gov/Archives/edgar/data/1816736/000119312523037151/d289637dex41.htm" TargetMode="External"/><Relationship Id="rId362" Type="http://schemas.openxmlformats.org/officeDocument/2006/relationships/hyperlink" Target="https://www.sec.gov/Archives/edgar/data/1816736/000119312525012211/d833002dex41.htm" TargetMode="External"/><Relationship Id="rId363" Type="http://schemas.openxmlformats.org/officeDocument/2006/relationships/hyperlink" Target="https://www.sec.gov/Archives/edgar/data/1816736/000114036122032239/ny20005172x1_ex10-2.htm" TargetMode="External"/><Relationship Id="rId364" Type="http://schemas.openxmlformats.org/officeDocument/2006/relationships/hyperlink" Target="https://www.sec.gov/Archives/edgar/data/1816736/000114036122032239/ny20005172x1_ex10-3.htm" TargetMode="External"/><Relationship Id="rId365" Type="http://schemas.openxmlformats.org/officeDocument/2006/relationships/hyperlink" Target="https://www.sec.gov/Archives/edgar/data/1816736/000095017023021963/iron-ex10_1.htm" TargetMode="External"/><Relationship Id="rId366" Type="http://schemas.openxmlformats.org/officeDocument/2006/relationships/hyperlink" Target="https://www.sec.gov/Archives/edgar/data/1816736/000114036122032239/ny20005172x1_ex10-4.htm" TargetMode="External"/><Relationship Id="rId367" Type="http://schemas.openxmlformats.org/officeDocument/2006/relationships/hyperlink" Target="https://www.sec.gov/Archives/edgar/data/1816736/000114036122032239/ny20005172x1_ex10-5.htm" TargetMode="External"/><Relationship Id="rId370" Type="http://schemas.openxmlformats.org/officeDocument/2006/relationships/hyperlink" Target="https://www.sec.gov/Archives/edgar/data/1816736/000114036122032239/ny20005172x1_ex10-6.htm" TargetMode="External"/><Relationship Id="rId371" Type="http://schemas.openxmlformats.org/officeDocument/2006/relationships/hyperlink" Target="https://www.sec.gov/Archives/edgar/data/1816736/000114036122032239/ny20005172x1_ex10-7.htm" TargetMode="External"/><Relationship Id="rId372" Type="http://schemas.openxmlformats.org/officeDocument/2006/relationships/hyperlink" Target="https://www.sec.gov/Archives/edgar/data/1816736/000114036122039701/ny20005172x4_ex10-21.htm" TargetMode="External"/><Relationship Id="rId373" Type="http://schemas.openxmlformats.org/officeDocument/2006/relationships/hyperlink" Target="https://www.sec.gov/Archives/edgar/data/1816736/000114036122047453/brhc10045896_ex10-5.htm" TargetMode="External"/><Relationship Id="rId374" Type="http://schemas.openxmlformats.org/officeDocument/2006/relationships/hyperlink" Target="https://www.sec.gov/Archives/edgar/data/1816736/000114036122043047/ny20005172x6_ex10-22.htm" TargetMode="External"/><Relationship Id="rId375" Type="http://schemas.openxmlformats.org/officeDocument/2006/relationships/hyperlink" Target="https://www.sec.gov/Archives/edgar/data/1816736/000119312523009656/d435326dex991.htm" TargetMode="External"/><Relationship Id="rId376" Type="http://schemas.openxmlformats.org/officeDocument/2006/relationships/hyperlink" Target="https://www.sec.gov/Archives/edgar/data/1816736/000119312523009656/d435326dex992.htm" TargetMode="External"/><Relationship Id="rId377" Type="http://schemas.openxmlformats.org/officeDocument/2006/relationships/hyperlink" Target="https://www.sec.gov/Archives/edgar/data/1816736/000119312523009656/d435326dex993.htm" TargetMode="External"/><Relationship Id="rId378" Type="http://schemas.openxmlformats.org/officeDocument/2006/relationships/hyperlink" Target="https://www.sec.gov/Archives/edgar/data/1816736/000114036122047453/brhc10045896_ex10-9.htm" TargetMode="External"/><Relationship Id="rId379" Type="http://schemas.openxmlformats.org/officeDocument/2006/relationships/hyperlink" Target="https://www.sec.gov/Archives/edgar/data/1816736/000121390021021222/ea139346ex99-3_gemini.htm" TargetMode="External"/><Relationship Id="rId380" Type="http://schemas.openxmlformats.org/officeDocument/2006/relationships/hyperlink" Target="https://www.sec.gov/Archives/edgar/data/1816736/000114036122047453/brhc10045896_ex10-3.htm" TargetMode="External"/><Relationship Id="rId381" Type="http://schemas.openxmlformats.org/officeDocument/2006/relationships/hyperlink" Target="https://www.sec.gov/Archives/edgar/data/1816736/000114036122047453/brhc10045896_ex10-4.htm" TargetMode="External"/><Relationship Id="rId382" Type="http://schemas.openxmlformats.org/officeDocument/2006/relationships/hyperlink" Target="https://www.sec.gov/Archives/edgar/data/1816736/000114036122047453/brhc10045896_ex10-6.htm" TargetMode="External"/><Relationship Id="rId383" Type="http://schemas.openxmlformats.org/officeDocument/2006/relationships/hyperlink" Target="https://www.sec.gov/Archives/edgar/data/1816736/000095017023011139/iron-ex10_19.htm" TargetMode="External"/><Relationship Id="rId384" Type="http://schemas.openxmlformats.org/officeDocument/2006/relationships/hyperlink" Target="https://www.sec.gov/Archives/edgar/data/1816736/000095017023011139/iron-ex10_20.htm" TargetMode="External"/><Relationship Id="rId385" Type="http://schemas.openxmlformats.org/officeDocument/2006/relationships/hyperlink" Target="https://www.sec.gov/Archives/edgar/data/1816736/000119312524025951/d758257dex101.htm" TargetMode="External"/><Relationship Id="rId388" Type="http://schemas.openxmlformats.org/officeDocument/2006/relationships/hyperlink" Target="https://www.sec.gov/Archives/edgar/data/1816736/000119312524073358/d804404dex995.htm" TargetMode="External"/><Relationship Id="rId389" Type="http://schemas.openxmlformats.org/officeDocument/2006/relationships/hyperlink" Target="https://www.sec.gov/Archives/edgar/data/1816736/000119312524073358/d804404dex996.htm" TargetMode="External"/><Relationship Id="rId390" Type="http://schemas.openxmlformats.org/officeDocument/2006/relationships/hyperlink" Target="https://www.sec.gov/Archives/edgar/data/1816736/000095017024124650/iron-ex10_1.htm" TargetMode="External"/><Relationship Id="rId391" Type="http://schemas.openxmlformats.org/officeDocument/2006/relationships/hyperlink" Target="https://www.sec.gov/Archives/edgar/data/1816736/000095017024123718/iron-ex10_1.htm" TargetMode="External"/><Relationship Id="rId392" Type="http://schemas.openxmlformats.org/officeDocument/2006/relationships/hyperlink" Target="https://www.sec.gov/Archives/edgar/data/0001816736/000119312524259855/d913169dex11.htm" TargetMode="External"/><Relationship Id="rId393" Type="http://schemas.openxmlformats.org/officeDocument/2006/relationships/hyperlink" Target="https://www.sec.gov/Archives/edgar/data/1816736/000095017025028390/iron-ex10_27.htm" TargetMode="External"/><Relationship Id="rId394" Type="http://schemas.openxmlformats.org/officeDocument/2006/relationships/hyperlink" Target="https://www.sec.gov/Archives/edgar/data/1816736/000095017025028390/iron-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2026-02-26T07:46:31Z</dcterms:created>
  <dcterms:modified xsi:type="dcterms:W3CDTF">2026-02-26T07:46:31Z</dcterms:modified>
</cp:coreProperties>
</file>