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4000" w:type="dxa"/>
            <w:vAlign w:val="bottom"/>
          </w:tcPr>
          <w:p>
            <w:pPr>
              <w:jc w:val="center"/>
              <w:ind w:right="22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001-39438</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85-1612845</w:t>
            </w:r>
          </w:p>
        </w:tc>
      </w:tr>
      <w:tr>
        <w:trPr>
          <w:trHeight w:val="148"/>
        </w:trPr>
        <w:tc>
          <w:tcPr>
            <w:tcW w:w="4000" w:type="dxa"/>
            <w:vAlign w:val="bottom"/>
          </w:tcPr>
          <w:p>
            <w:pPr>
              <w:jc w:val="center"/>
              <w:ind w:right="228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26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3"/>
        </w:trPr>
        <w:tc>
          <w:tcPr>
            <w:tcW w:w="6320" w:type="dxa"/>
            <w:vAlign w:val="bottom"/>
            <w:gridSpan w:val="2"/>
          </w:tcPr>
          <w:p>
            <w:pPr>
              <w:jc w:val="center"/>
              <w:ind w:right="962"/>
              <w:spacing w:after="0"/>
              <w:rPr>
                <w:sz w:val="20"/>
                <w:szCs w:val="20"/>
                <w:color w:val="auto"/>
              </w:rPr>
            </w:pPr>
            <w:r>
              <w:rPr>
                <w:rFonts w:ascii="Times New Roman" w:cs="Times New Roman" w:eastAsia="Times New Roman" w:hAnsi="Times New Roman"/>
                <w:sz w:val="18"/>
                <w:szCs w:val="18"/>
                <w:b w:val="1"/>
                <w:bCs w:val="1"/>
                <w:color w:val="auto"/>
                <w:w w:val="99"/>
              </w:rPr>
              <w:t>321 Arsenal Street, Suite 101, Watertown, MA 02472</w:t>
            </w:r>
          </w:p>
        </w:tc>
        <w:tc>
          <w:tcPr>
            <w:tcW w:w="24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0"/>
        </w:trPr>
        <w:tc>
          <w:tcPr>
            <w:tcW w:w="4000" w:type="dxa"/>
            <w:vAlign w:val="bottom"/>
          </w:tcPr>
          <w:p>
            <w:pPr>
              <w:jc w:val="center"/>
              <w:ind w:left="12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On August 8, 2024, Disc Medicine, Inc. announced its financial results for the quarter ended June 30, 2024 and provided a corporate update. A copy of the press release in connection with the announcement is being furnished as Exhibit 99.1 to this Current Report on Form 8-K.</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exhibit relating to Item 2.02 of this Current Report on Form 8-K shall be deemed to be furnished and not filed: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Disc Medicine, Inc. on August 8, 2024</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20"/>
          </w:cols>
          <w:pgMar w:left="440" w:top="293" w:right="4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John Quisel, J.D. Ph.D.</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940"/>
          </w:cols>
          <w:pgMar w:left="440" w:top="293"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254250" cy="351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5425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Reports Second Quarter 2024 Financial Results and Provides Business Update</w:t>
      </w:r>
    </w:p>
    <w:p>
      <w:pPr>
        <w:spacing w:after="0" w:line="133" w:lineRule="exact"/>
        <w:rPr>
          <w:sz w:val="20"/>
          <w:szCs w:val="20"/>
          <w:color w:val="auto"/>
        </w:rPr>
      </w:pPr>
    </w:p>
    <w:p>
      <w:pPr>
        <w:ind w:left="420" w:right="120" w:hanging="316"/>
        <w:spacing w:after="0" w:line="267"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Presented positive data for all three programs at the European Hematology Association (EHA) 2024 Congress; demonstrated potential efficacy for bitopertin in erythropoietic protoporphyria (EPP) and DISC-0974 in anemia of myelofibrosis (MF), as well as proof of mechanism in a Phase 1 study for DISC-3405</w:t>
      </w:r>
    </w:p>
    <w:p>
      <w:pPr>
        <w:spacing w:after="0" w:line="20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 to provide an update on regulatory interactions for bitopertin in EPP and DISC-0974 in anemia of MF in the second half of 2024</w:t>
      </w:r>
    </w:p>
    <w:p>
      <w:pPr>
        <w:spacing w:after="0" w:line="252" w:lineRule="exact"/>
        <w:rPr>
          <w:rFonts w:ascii="Times New Roman" w:cs="Times New Roman" w:eastAsia="Times New Roman" w:hAnsi="Times New Roman"/>
          <w:sz w:val="18"/>
          <w:szCs w:val="18"/>
          <w:color w:val="auto"/>
        </w:rPr>
      </w:pPr>
    </w:p>
    <w:p>
      <w:pPr>
        <w:ind w:left="420" w:right="940" w:hanging="316"/>
        <w:spacing w:after="0" w:line="284"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Strengthened financial position through an underwritten offering of common stock for $178 million in gross proceeds, ending Q2 with $501 million in cash, cash equivalents, and marketable securities that is expected to fund operations well into 2027</w:t>
      </w:r>
    </w:p>
    <w:p>
      <w:pPr>
        <w:spacing w:after="0" w:line="16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WATERTOWN, Mass. (August 8, 2024) – Disc Medicine, Inc. (NASDAQ:IRON), a clinical-stage biopharmaceutical company focused on the discovery, development, and commercialization of novel treatments for patients suffering from serious hematologic diseases, today reported financial results for the second quarter ended June 30, 2024.</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data we presented at EHA this past quarter were highly encouraging and supportive of the therapeutic potential of our entire portfolio,” said John Quisel, J.D., Ph.D., President and Chief Executive Officer of Disc. “These data catalyzed the successful completion of a financing supported by a prestigious group of investors, which provides runway through key readouts across our programs over the next few years. We continue to make great progress and look forward to sharing updates on our regulatory interactions around bitopertin and DISC-0974 in the second half of the year.”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Business Highlights and Upcoming Milestones: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Bitopertin: GlyT1 Inhibitor (Heme Synthesis Modulator)</w:t>
      </w:r>
    </w:p>
    <w:p>
      <w:pPr>
        <w:spacing w:after="0" w:line="135" w:lineRule="exact"/>
        <w:rPr>
          <w:sz w:val="20"/>
          <w:szCs w:val="20"/>
          <w:color w:val="auto"/>
        </w:rPr>
      </w:pPr>
    </w:p>
    <w:p>
      <w:pPr>
        <w:ind w:left="960" w:right="20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updated results from AURORA showing that bitopertin had a meaningful impact on key aspects of EPP, and providing a range of potential efficacy endpoints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 of Phase 2 meeting to discuss optimal registrational endpoints moving forward in EPP is expected to occur in the second half of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DISC-0974: Anti-Hemojuvelin Antibody (Hepcidin Suppression)</w:t>
      </w:r>
    </w:p>
    <w:p>
      <w:pPr>
        <w:spacing w:after="0" w:line="135" w:lineRule="exact"/>
        <w:rPr>
          <w:sz w:val="20"/>
          <w:szCs w:val="20"/>
          <w:color w:val="auto"/>
        </w:rPr>
      </w:pPr>
    </w:p>
    <w:p>
      <w:pPr>
        <w:ind w:left="960" w:right="12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updated Phase 1b data from DISC-0974 in anemia of MF patients demonstrating a durable hemoglobin response in the majority of patients and a positive impact on transfusion burden across a broad range of participants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for interactions with regulators in the second half of 2024 to determine the optimal Phase 2 study design in anemia of MF</w:t>
      </w:r>
    </w:p>
    <w:p>
      <w:pPr>
        <w:spacing w:after="0" w:line="130"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Phase 1b data from DISC-0974 in anemia in non-dialysis-dependent chronic kidney disease (NDD-CKD) is expected to be shared in the second half of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DISC-3405: Anti-TMPRSS6 Antibody (Hepcidin Induction)</w:t>
      </w:r>
    </w:p>
    <w:p>
      <w:pPr>
        <w:spacing w:after="0" w:line="135" w:lineRule="exact"/>
        <w:rPr>
          <w:sz w:val="20"/>
          <w:szCs w:val="20"/>
          <w:color w:val="auto"/>
        </w:rPr>
      </w:pPr>
    </w:p>
    <w:p>
      <w:pPr>
        <w:ind w:left="960" w:right="58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initial data from the single-ascending dose (SAD) cohorts of the ongoing Phase 1 study in healthy volunteers, which demonstrated proof of mechanism with substantial increases in hepcidin levels and sustained reductions in serum iron supportive of monthly subcutaneous dosing, as well as positive impact on hematologic parameters at the highest dose</w:t>
      </w:r>
    </w:p>
    <w:p>
      <w:pPr>
        <w:sectPr>
          <w:pgSz w:w="11900" w:h="16838" w:orient="portrait"/>
          <w:cols w:equalWidth="0" w:num="1">
            <w:col w:w="11020"/>
          </w:cols>
          <w:pgMar w:left="440" w:top="117" w:right="439" w:bottom="1440" w:gutter="0" w:footer="0" w:header="0"/>
        </w:sectPr>
      </w:pPr>
    </w:p>
    <w:bookmarkStart w:id="4" w:name="page5"/>
    <w:bookmarkEnd w:id="4"/>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254250" cy="351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t>Data from the multiple ascending dose (MAD) cohorts of this study expected to be shared in the second half of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135" w:lineRule="exact"/>
        <w:rPr>
          <w:sz w:val="20"/>
          <w:szCs w:val="20"/>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an underwritten public offering of common stock in June 2024 for $178.0 million in gross proceeds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Second Quarter 2024 Financial Results:</w:t>
      </w:r>
    </w:p>
    <w:p>
      <w:pPr>
        <w:spacing w:after="0" w:line="131" w:lineRule="exact"/>
        <w:rPr>
          <w:sz w:val="20"/>
          <w:szCs w:val="20"/>
          <w:color w:val="auto"/>
        </w:rPr>
      </w:pPr>
    </w:p>
    <w:p>
      <w:pPr>
        <w:ind w:left="960" w:right="40" w:hanging="424"/>
        <w:spacing w:after="0" w:line="28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Cash, cash equivalents, and marketable securities were $500.9 million as of June 30, 2024, which are expected to fund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operational plans well into 2027.</w:t>
      </w:r>
    </w:p>
    <w:p>
      <w:pPr>
        <w:spacing w:after="0" w:line="6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R&amp;D expenses were $23.5 million for the quarter ended June 30, 2024, as compared to</w:t>
      </w:r>
    </w:p>
    <w:p>
      <w:pPr>
        <w:spacing w:after="0" w:line="31" w:lineRule="exact"/>
        <w:rPr>
          <w:rFonts w:ascii="Times New Roman" w:cs="Times New Roman" w:eastAsia="Times New Roman" w:hAnsi="Times New Roman"/>
          <w:sz w:val="18"/>
          <w:szCs w:val="18"/>
          <w:color w:val="auto"/>
        </w:rPr>
      </w:pPr>
    </w:p>
    <w:p>
      <w:pPr>
        <w:ind w:left="960" w:right="2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 million for the quarter ended June 30, 2023. The increase in R&amp;D expenses were primarily driven by the progression of Disc’s portfolio, including bitopertin’s clinical studies and drug manufacturing, and advancing our DISC-0974 and DISC-3405 programs in the clinic, and increased headcount.</w:t>
      </w:r>
    </w:p>
    <w:p>
      <w:pPr>
        <w:spacing w:after="0" w:line="87" w:lineRule="exact"/>
        <w:rPr>
          <w:rFonts w:ascii="Times New Roman" w:cs="Times New Roman" w:eastAsia="Times New Roman" w:hAnsi="Times New Roman"/>
          <w:sz w:val="18"/>
          <w:szCs w:val="18"/>
          <w:color w:val="auto"/>
        </w:rPr>
      </w:pPr>
    </w:p>
    <w:p>
      <w:pPr>
        <w:ind w:left="960" w:right="800" w:hanging="424"/>
        <w:spacing w:after="0" w:line="28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G&amp;A expenses were $7.4 million for the quarter ended June 30, 2024,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$5.2 million for the quarter ended June 30, 2023. The increase in G&amp;A expenses was primarily due to increased headcount.</w:t>
      </w:r>
    </w:p>
    <w:p>
      <w:pPr>
        <w:spacing w:after="0" w:line="60" w:lineRule="exact"/>
        <w:rPr>
          <w:rFonts w:ascii="Times New Roman" w:cs="Times New Roman" w:eastAsia="Times New Roman" w:hAnsi="Times New Roman"/>
          <w:sz w:val="18"/>
          <w:szCs w:val="18"/>
          <w:color w:val="auto"/>
        </w:rPr>
      </w:pPr>
    </w:p>
    <w:p>
      <w:pPr>
        <w:ind w:left="960" w:right="340" w:hanging="424"/>
        <w:spacing w:after="0" w:line="28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$26.4 million for the quarter ended June 30, 2024, as compared to $15.9 million for the quarter ended June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Disc Medicine</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Disc Medicine (NASDAQ:IRON)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www.discmedicine.com.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Disc announces material information to the public about the Company, its products and services, and other matters through a variety of means, including filings with the U.S. Securities and Exchange Commission (SEC), press releases, public conference calls, webcasts and the investor relations section of the Company website at ir.discmedicine.com in order to achieve broad, non-exclusionary distribution of information to the public and for complying with its disclosure obligations under Regulation FD.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 Cautionary Statement Regarding Forward-Looking Statements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but not limited to, express or implied statements regarding Disc’s expectations with respect to its AURORA Phase 2 and BEACON Phase 2 clinical trials of bitopertin and the results thereof, its Phase 1b/2 clinical trial of DISC-0974 in patients with MF and NDD-CKD patients with anemia, its initial SAD data in its Phase 1 clinical trial of DISC-3405 in healthy volunteers; and projected timelines for the initiation and completion of its clinical trials, anticipated timing of release of data, and other clinical activities; and Disc’s belief about operating expenses and that it will have capital to fund Disc well into 2027. The use of words such as, but not limited to, “believe,” “expect,” “estimate,” “project,” “intend,” “future,” “potential,” “continue,” “may,” “might,” “plan,” “will,” “should,” “seek,” “anticipate,” or “could” or the negative of these terms and other similar words or expressions that are</w:t>
      </w:r>
    </w:p>
    <w:p>
      <w:pPr>
        <w:sectPr>
          <w:pgSz w:w="11900" w:h="16838" w:orient="portrait"/>
          <w:cols w:equalWidth="0" w:num="1">
            <w:col w:w="10980"/>
          </w:cols>
          <w:pgMar w:left="440" w:top="972" w:right="479" w:bottom="1440" w:gutter="0" w:footer="0" w:header="0"/>
        </w:sectPr>
      </w:pPr>
    </w:p>
    <w:bookmarkStart w:id="5" w:name="page6"/>
    <w:bookmarkEnd w:id="5"/>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254250" cy="351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t>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8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preclinical studies and clinical trials may not be predictive of future results in connection with future studies or clinical trials and may not support further development and marketing approval; the other risks and uncertainties described in the “Risk Factors” section of our Annual Report on Form 10-K for the year ended December 31 2023, Quarterly Reports on Form 10-Q for the quarters ended March 31, 2024 and June 30, 2024, and other documents filed by Disc from time to time with the Securities and Exchange Commission (SEC), as well as discussions of potential risks, uncertainties, and other important factors in Disc’s subsequent filings with the SEC.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6"/>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6"/>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23,485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12,100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47,189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32,280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7,367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5,228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15,125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10,173</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(30,852)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(17,328)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(62,314)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(42,453)</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4,560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1,405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9,078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3,772</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(26,352</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(15,947</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(53,301</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outstanding-basic and 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25,649,043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8"/>
              </w:rPr>
              <w:t>21,484,955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w w:val="96"/>
              </w:rPr>
              <w:t>25,229,456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6"/>
              </w:rPr>
              <w:t>20,226,923</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972" w:right="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254250" cy="351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r>
      <w:tr>
        <w:trPr>
          <w:trHeight w:val="196"/>
        </w:trPr>
        <w:tc>
          <w:tcPr>
            <w:tcW w:w="9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500,945</w:t>
            </w:r>
          </w:p>
        </w:tc>
        <w:tc>
          <w:tcPr>
            <w:tcW w:w="2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360,382</w:t>
            </w:r>
          </w:p>
        </w:tc>
      </w:tr>
      <w:tr>
        <w:trPr>
          <w:trHeight w:val="216"/>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5,280</w:t>
            </w:r>
          </w:p>
        </w:tc>
      </w:tr>
      <w:tr>
        <w:trPr>
          <w:trHeight w:val="223"/>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508,241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365,662</w:t>
            </w:r>
          </w:p>
        </w:tc>
        <w:tc>
          <w:tcPr>
            <w:tcW w:w="60" w:type="dxa"/>
            <w:vAlign w:val="bottom"/>
          </w:tcPr>
          <w:p>
            <w:pPr>
              <w:spacing w:after="0"/>
              <w:rPr>
                <w:sz w:val="19"/>
                <w:szCs w:val="19"/>
                <w:color w:val="auto"/>
              </w:rPr>
            </w:pPr>
          </w:p>
        </w:tc>
      </w:tr>
      <w:tr>
        <w:trPr>
          <w:trHeight w:val="216"/>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2,334</w:t>
            </w:r>
          </w:p>
        </w:tc>
      </w:tr>
      <w:tr>
        <w:trPr>
          <w:trHeight w:val="223"/>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510,217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367,996</w:t>
            </w:r>
          </w:p>
        </w:tc>
        <w:tc>
          <w:tcPr>
            <w:tcW w:w="60" w:type="dxa"/>
            <w:vAlign w:val="bottom"/>
          </w:tcPr>
          <w:p>
            <w:pPr>
              <w:spacing w:after="0"/>
              <w:rPr>
                <w:sz w:val="19"/>
                <w:szCs w:val="19"/>
                <w:color w:val="auto"/>
              </w:rPr>
            </w:pPr>
          </w:p>
        </w:tc>
      </w:tr>
      <w:tr>
        <w:trPr>
          <w:trHeight w:val="20"/>
        </w:trPr>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20,310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21,439</w:t>
            </w:r>
          </w:p>
        </w:tc>
      </w:tr>
      <w:tr>
        <w:trPr>
          <w:trHeight w:val="216"/>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1,436</w:t>
            </w:r>
          </w:p>
        </w:tc>
      </w:tr>
      <w:tr>
        <w:trPr>
          <w:trHeight w:val="223"/>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22,875</w:t>
            </w:r>
          </w:p>
        </w:tc>
        <w:tc>
          <w:tcPr>
            <w:tcW w:w="60" w:type="dxa"/>
            <w:vAlign w:val="bottom"/>
          </w:tcPr>
          <w:p>
            <w:pPr>
              <w:spacing w:after="0"/>
              <w:rPr>
                <w:sz w:val="19"/>
                <w:szCs w:val="19"/>
                <w:color w:val="auto"/>
              </w:rPr>
            </w:pPr>
          </w:p>
        </w:tc>
      </w:tr>
      <w:tr>
        <w:trPr>
          <w:trHeight w:val="216"/>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488,829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345,121</w:t>
            </w:r>
          </w:p>
        </w:tc>
      </w:tr>
      <w:tr>
        <w:trPr>
          <w:trHeight w:val="223"/>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510,217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367,996</w:t>
            </w:r>
          </w:p>
        </w:tc>
        <w:tc>
          <w:tcPr>
            <w:tcW w:w="60" w:type="dxa"/>
            <w:vAlign w:val="bottom"/>
          </w:tcPr>
          <w:p>
            <w:pPr>
              <w:spacing w:after="0"/>
              <w:rPr>
                <w:sz w:val="19"/>
                <w:szCs w:val="19"/>
                <w:color w:val="auto"/>
              </w:rPr>
            </w:pPr>
          </w:p>
        </w:tc>
      </w:tr>
      <w:tr>
        <w:trPr>
          <w:trHeight w:val="20"/>
        </w:trPr>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 Rusconi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Verge Scientific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prusconi@vergescientific.com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Tartaglia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Stern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christina.tartaglia@sternir.com</w:t>
      </w:r>
    </w:p>
    <w:sectPr>
      <w:pgSz w:w="11900" w:h="16838" w:orient="portrait"/>
      <w:cols w:equalWidth="0" w:num="1">
        <w:col w:w="11020"/>
      </w:cols>
      <w:pgMar w:left="440" w:top="96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2024-08-08T07:18:04Z</dcterms:created>
  <dcterms:modified xsi:type="dcterms:W3CDTF">2024-08-08T07:18:04Z</dcterms:modified>
</cp:coreProperties>
</file>