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7" w:lineRule="exact"/>
        <w:rPr>
          <w:sz w:val="24"/>
          <w:szCs w:val="24"/>
          <w:color w:val="auto"/>
        </w:rPr>
      </w:pPr>
    </w:p>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9999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999990"/>
                    </a:xfrm>
                    <a:prstGeom prst="rect">
                      <a:avLst/>
                    </a:prstGeom>
                    <a:noFill/>
                  </pic:spPr>
                </pic:pic>
              </a:graphicData>
            </a:graphic>
          </wp:anchor>
        </w:drawing>
      </w:r>
    </w:p>
    <w:p>
      <w:pPr>
        <w:sectPr>
          <w:pgSz w:w="11900" w:h="16876"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Ashiya Mona</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300" w:type="dxa"/>
            <w:vAlign w:val="bottom"/>
            <w:tcBorders>
              <w:top w:val="single" w:sz="8" w:color="0000EE"/>
              <w:bottom w:val="single" w:sz="8" w:color="9A9A9A"/>
            </w:tcBorders>
          </w:tcPr>
          <w:p>
            <w:pPr>
              <w:spacing w:after="0"/>
              <w:rPr>
                <w:sz w:val="17"/>
                <w:szCs w:val="17"/>
                <w:color w:val="auto"/>
              </w:rPr>
            </w:pPr>
          </w:p>
        </w:tc>
        <w:tc>
          <w:tcPr>
            <w:tcW w:w="176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12/29/2022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Disc Medicine,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IRON</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76" w:orient="portrait"/>
          <w:cols w:equalWidth="0" w:num="2">
            <w:col w:w="4720" w:space="280"/>
            <w:col w:w="5940"/>
          </w:cols>
          <w:pgMar w:left="480" w:top="230" w:right="479" w:bottom="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80" w:type="dxa"/>
            <w:vAlign w:val="bottom"/>
          </w:tcPr>
          <w:p>
            <w:pPr>
              <w:ind w:left="280"/>
              <w:spacing w:after="0"/>
              <w:rPr>
                <w:sz w:val="20"/>
                <w:szCs w:val="20"/>
                <w:color w:val="auto"/>
              </w:rPr>
            </w:pPr>
            <w:r>
              <w:rPr>
                <w:rFonts w:ascii="Arial" w:cs="Arial" w:eastAsia="Arial" w:hAnsi="Arial"/>
                <w:sz w:val="15"/>
                <w:szCs w:val="15"/>
                <w:color w:val="auto"/>
              </w:rPr>
              <w:t>(First)</w:t>
            </w:r>
          </w:p>
        </w:tc>
        <w:tc>
          <w:tcPr>
            <w:tcW w:w="1240" w:type="dxa"/>
            <w:vAlign w:val="bottom"/>
          </w:tcPr>
          <w:p>
            <w:pPr>
              <w:jc w:val="right"/>
              <w:ind w:right="374"/>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C/O DISC MEDICINE, INC.</w:t>
            </w: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w w:val="98"/>
              </w:rPr>
              <w:t>321 ARSENAL STREET, SUITE 101</w:t>
            </w:r>
          </w:p>
        </w:tc>
      </w:tr>
      <w:tr>
        <w:trPr>
          <w:trHeight w:val="177"/>
        </w:trPr>
        <w:tc>
          <w:tcPr>
            <w:tcW w:w="78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240" w:type="dxa"/>
            <w:vAlign w:val="bottom"/>
            <w:tcBorders>
              <w:bottom w:val="single" w:sz="8" w:color="9A9A9A"/>
            </w:tcBorders>
          </w:tcPr>
          <w:p>
            <w:pPr>
              <w:spacing w:after="0"/>
              <w:rPr>
                <w:sz w:val="15"/>
                <w:szCs w:val="15"/>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65"/>
        </w:trPr>
        <w:tc>
          <w:tcPr>
            <w:tcW w:w="18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WATERTOWN MA</w:t>
            </w:r>
          </w:p>
        </w:tc>
        <w:tc>
          <w:tcPr>
            <w:tcW w:w="1240" w:type="dxa"/>
            <w:vAlign w:val="bottom"/>
          </w:tcPr>
          <w:p>
            <w:pPr>
              <w:jc w:val="right"/>
              <w:ind w:right="334"/>
              <w:spacing w:after="0"/>
              <w:rPr>
                <w:sz w:val="20"/>
                <w:szCs w:val="20"/>
                <w:color w:val="auto"/>
              </w:rPr>
            </w:pPr>
            <w:r>
              <w:rPr>
                <w:rFonts w:ascii="Times New Roman" w:cs="Times New Roman" w:eastAsia="Times New Roman" w:hAnsi="Times New Roman"/>
                <w:sz w:val="20"/>
                <w:szCs w:val="20"/>
                <w:color w:val="0000FF"/>
              </w:rPr>
              <w:t>02472</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3" w:lineRule="exact"/>
        <w:rPr>
          <w:sz w:val="24"/>
          <w:szCs w:val="24"/>
          <w:color w:val="auto"/>
        </w:rPr>
      </w:pPr>
    </w:p>
    <w:p>
      <w:pPr>
        <w:ind w:left="183"/>
        <w:spacing w:after="0"/>
        <w:tabs>
          <w:tab w:leader="none" w:pos="502" w:val="left"/>
          <w:tab w:leader="none" w:pos="1722" w:val="left"/>
          <w:tab w:leader="none" w:pos="2042" w:val="left"/>
        </w:tabs>
        <w:rPr>
          <w:sz w:val="20"/>
          <w:szCs w:val="20"/>
          <w:color w:val="auto"/>
        </w:rPr>
      </w:pP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10% Owner</w:t>
      </w:r>
    </w:p>
    <w:p>
      <w:pPr>
        <w:spacing w:after="0" w:line="71"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76" w:orient="portrait"/>
          <w:cols w:equalWidth="0" w:num="3">
            <w:col w:w="4277" w:space="720"/>
            <w:col w:w="3003" w:space="269"/>
            <w:col w:w="2671"/>
          </w:cols>
          <w:pgMar w:left="480" w:top="230" w:right="479" w:bottom="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c>
          <w:tcPr>
            <w:tcW w:w="20" w:type="dxa"/>
            <w:vAlign w:val="bottom"/>
          </w:tcPr>
          <w:p>
            <w:pPr>
              <w:spacing w:after="0"/>
              <w:rPr>
                <w:sz w:val="14"/>
                <w:szCs w:val="14"/>
                <w:color w:val="auto"/>
              </w:rPr>
            </w:pP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c>
          <w:tcPr>
            <w:tcW w:w="20" w:type="dxa"/>
            <w:vAlign w:val="bottom"/>
          </w:tcPr>
          <w:p>
            <w:pPr>
              <w:spacing w:after="0"/>
              <w:rPr>
                <w:sz w:val="14"/>
                <w:szCs w:val="14"/>
                <w:color w:val="auto"/>
              </w:rPr>
            </w:pP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4"/>
        </w:trPr>
        <w:tc>
          <w:tcPr>
            <w:tcW w:w="20" w:type="dxa"/>
            <w:vAlign w:val="bottom"/>
          </w:tcPr>
          <w:p>
            <w:pPr>
              <w:spacing w:after="0"/>
              <w:rPr>
                <w:sz w:val="3"/>
                <w:szCs w:val="3"/>
                <w:color w:val="auto"/>
              </w:rPr>
            </w:pPr>
          </w:p>
        </w:tc>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r>
      <w:tr>
        <w:trPr>
          <w:trHeight w:val="370"/>
        </w:trPr>
        <w:tc>
          <w:tcPr>
            <w:tcW w:w="20" w:type="dxa"/>
            <w:vAlign w:val="bottom"/>
          </w:tcPr>
          <w:p>
            <w:pPr>
              <w:spacing w:after="0"/>
              <w:rPr>
                <w:sz w:val="24"/>
                <w:szCs w:val="24"/>
                <w:color w:val="auto"/>
              </w:rPr>
            </w:pPr>
          </w:p>
        </w:tc>
        <w:tc>
          <w:tcPr>
            <w:tcW w:w="34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400" w:type="dxa"/>
            <w:vAlign w:val="bottom"/>
            <w:tcBorders>
              <w:bottom w:val="single" w:sz="8" w:color="2C2C2C"/>
            </w:tcBorders>
          </w:tcPr>
          <w:p>
            <w:pPr>
              <w:jc w:val="center"/>
              <w:ind w:left="1354"/>
              <w:spacing w:after="0"/>
              <w:rPr>
                <w:sz w:val="20"/>
                <w:szCs w:val="20"/>
                <w:color w:val="auto"/>
              </w:rPr>
            </w:pPr>
            <w:r>
              <w:rPr>
                <w:rFonts w:ascii="Times New Roman" w:cs="Times New Roman" w:eastAsia="Times New Roman" w:hAnsi="Times New Roman"/>
                <w:sz w:val="20"/>
                <w:szCs w:val="20"/>
                <w:color w:val="0000FF"/>
                <w:w w:val="98"/>
              </w:rPr>
              <w:t>284,876</w:t>
            </w:r>
          </w:p>
        </w:tc>
        <w:tc>
          <w:tcPr>
            <w:tcW w:w="1220" w:type="dxa"/>
            <w:vAlign w:val="bottom"/>
            <w:tcBorders>
              <w:bottom w:val="single" w:sz="8" w:color="2C2C2C"/>
            </w:tcBorders>
          </w:tcPr>
          <w:p>
            <w:pPr>
              <w:ind w:left="620"/>
              <w:spacing w:after="0"/>
              <w:rPr>
                <w:sz w:val="20"/>
                <w:szCs w:val="20"/>
                <w:color w:val="auto"/>
              </w:rPr>
            </w:pPr>
            <w:r>
              <w:rPr>
                <w:rFonts w:ascii="Times New Roman" w:cs="Times New Roman" w:eastAsia="Times New Roman" w:hAnsi="Times New Roman"/>
                <w:sz w:val="20"/>
                <w:szCs w:val="20"/>
                <w:color w:val="0000FF"/>
              </w:rPr>
              <w:t>I</w:t>
            </w:r>
          </w:p>
        </w:tc>
        <w:tc>
          <w:tcPr>
            <w:tcW w:w="28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0"/>
                <w:szCs w:val="20"/>
                <w:color w:val="0000FF"/>
              </w:rPr>
              <w:t>See footnote</w:t>
            </w:r>
            <w:r>
              <w:rPr>
                <w:rFonts w:ascii="Times New Roman" w:cs="Times New Roman" w:eastAsia="Times New Roman" w:hAnsi="Times New Roman"/>
                <w:sz w:val="25"/>
                <w:szCs w:val="25"/>
                <w:color w:val="008000"/>
                <w:vertAlign w:val="superscript"/>
              </w:rPr>
              <w:t>(1)(4)</w:t>
            </w:r>
          </w:p>
        </w:tc>
        <w:tc>
          <w:tcPr>
            <w:tcW w:w="20" w:type="dxa"/>
            <w:vAlign w:val="bottom"/>
          </w:tcPr>
          <w:p>
            <w:pPr>
              <w:spacing w:after="0"/>
              <w:rPr>
                <w:sz w:val="24"/>
                <w:szCs w:val="24"/>
                <w:color w:val="auto"/>
              </w:rPr>
            </w:pPr>
          </w:p>
        </w:tc>
      </w:tr>
      <w:tr>
        <w:trPr>
          <w:trHeight w:val="370"/>
        </w:trPr>
        <w:tc>
          <w:tcPr>
            <w:tcW w:w="20" w:type="dxa"/>
            <w:vAlign w:val="bottom"/>
          </w:tcPr>
          <w:p>
            <w:pPr>
              <w:spacing w:after="0"/>
              <w:rPr>
                <w:sz w:val="24"/>
                <w:szCs w:val="24"/>
                <w:color w:val="auto"/>
              </w:rPr>
            </w:pPr>
          </w:p>
        </w:tc>
        <w:tc>
          <w:tcPr>
            <w:tcW w:w="34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400" w:type="dxa"/>
            <w:vAlign w:val="bottom"/>
            <w:tcBorders>
              <w:bottom w:val="single" w:sz="8" w:color="2C2C2C"/>
            </w:tcBorders>
          </w:tcPr>
          <w:p>
            <w:pPr>
              <w:jc w:val="center"/>
              <w:ind w:left="1354"/>
              <w:spacing w:after="0"/>
              <w:rPr>
                <w:sz w:val="20"/>
                <w:szCs w:val="20"/>
                <w:color w:val="auto"/>
              </w:rPr>
            </w:pPr>
            <w:r>
              <w:rPr>
                <w:rFonts w:ascii="Times New Roman" w:cs="Times New Roman" w:eastAsia="Times New Roman" w:hAnsi="Times New Roman"/>
                <w:sz w:val="20"/>
                <w:szCs w:val="20"/>
                <w:color w:val="0000FF"/>
                <w:w w:val="98"/>
              </w:rPr>
              <w:t>736,558</w:t>
            </w:r>
          </w:p>
        </w:tc>
        <w:tc>
          <w:tcPr>
            <w:tcW w:w="1220" w:type="dxa"/>
            <w:vAlign w:val="bottom"/>
            <w:tcBorders>
              <w:bottom w:val="single" w:sz="8" w:color="2C2C2C"/>
            </w:tcBorders>
          </w:tcPr>
          <w:p>
            <w:pPr>
              <w:ind w:left="620"/>
              <w:spacing w:after="0"/>
              <w:rPr>
                <w:sz w:val="20"/>
                <w:szCs w:val="20"/>
                <w:color w:val="auto"/>
              </w:rPr>
            </w:pPr>
            <w:r>
              <w:rPr>
                <w:rFonts w:ascii="Times New Roman" w:cs="Times New Roman" w:eastAsia="Times New Roman" w:hAnsi="Times New Roman"/>
                <w:sz w:val="20"/>
                <w:szCs w:val="20"/>
                <w:color w:val="0000FF"/>
              </w:rPr>
              <w:t>I</w:t>
            </w:r>
          </w:p>
        </w:tc>
        <w:tc>
          <w:tcPr>
            <w:tcW w:w="28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0"/>
                <w:szCs w:val="20"/>
                <w:color w:val="0000FF"/>
              </w:rPr>
              <w:t>See footnote</w:t>
            </w:r>
            <w:r>
              <w:rPr>
                <w:rFonts w:ascii="Times New Roman" w:cs="Times New Roman" w:eastAsia="Times New Roman" w:hAnsi="Times New Roman"/>
                <w:sz w:val="25"/>
                <w:szCs w:val="25"/>
                <w:color w:val="008000"/>
                <w:vertAlign w:val="superscript"/>
              </w:rPr>
              <w:t>(2)(4)</w:t>
            </w:r>
          </w:p>
        </w:tc>
        <w:tc>
          <w:tcPr>
            <w:tcW w:w="20" w:type="dxa"/>
            <w:vAlign w:val="bottom"/>
          </w:tcPr>
          <w:p>
            <w:pPr>
              <w:spacing w:after="0"/>
              <w:rPr>
                <w:sz w:val="24"/>
                <w:szCs w:val="24"/>
                <w:color w:val="auto"/>
              </w:rPr>
            </w:pPr>
          </w:p>
        </w:tc>
      </w:tr>
      <w:tr>
        <w:trPr>
          <w:trHeight w:val="395"/>
        </w:trPr>
        <w:tc>
          <w:tcPr>
            <w:tcW w:w="20" w:type="dxa"/>
            <w:vAlign w:val="bottom"/>
            <w:tcBorders>
              <w:bottom w:val="single" w:sz="8" w:color="2C2C2C"/>
            </w:tcBorders>
          </w:tcPr>
          <w:p>
            <w:pPr>
              <w:spacing w:after="0"/>
              <w:rPr>
                <w:sz w:val="24"/>
                <w:szCs w:val="24"/>
                <w:color w:val="auto"/>
              </w:rPr>
            </w:pPr>
          </w:p>
        </w:tc>
        <w:tc>
          <w:tcPr>
            <w:tcW w:w="34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400" w:type="dxa"/>
            <w:vAlign w:val="bottom"/>
            <w:tcBorders>
              <w:bottom w:val="single" w:sz="8" w:color="2C2C2C"/>
            </w:tcBorders>
          </w:tcPr>
          <w:p>
            <w:pPr>
              <w:jc w:val="center"/>
              <w:ind w:left="1374"/>
              <w:spacing w:after="0"/>
              <w:rPr>
                <w:sz w:val="20"/>
                <w:szCs w:val="20"/>
                <w:color w:val="auto"/>
              </w:rPr>
            </w:pPr>
            <w:r>
              <w:rPr>
                <w:rFonts w:ascii="Times New Roman" w:cs="Times New Roman" w:eastAsia="Times New Roman" w:hAnsi="Times New Roman"/>
                <w:sz w:val="20"/>
                <w:szCs w:val="20"/>
                <w:color w:val="0000FF"/>
                <w:w w:val="97"/>
              </w:rPr>
              <w:t>1,139,507</w:t>
            </w:r>
          </w:p>
        </w:tc>
        <w:tc>
          <w:tcPr>
            <w:tcW w:w="1220" w:type="dxa"/>
            <w:vAlign w:val="bottom"/>
            <w:tcBorders>
              <w:bottom w:val="single" w:sz="8" w:color="2C2C2C"/>
            </w:tcBorders>
          </w:tcPr>
          <w:p>
            <w:pPr>
              <w:ind w:left="620"/>
              <w:spacing w:after="0"/>
              <w:rPr>
                <w:sz w:val="20"/>
                <w:szCs w:val="20"/>
                <w:color w:val="auto"/>
              </w:rPr>
            </w:pPr>
            <w:r>
              <w:rPr>
                <w:rFonts w:ascii="Times New Roman" w:cs="Times New Roman" w:eastAsia="Times New Roman" w:hAnsi="Times New Roman"/>
                <w:sz w:val="20"/>
                <w:szCs w:val="20"/>
                <w:color w:val="0000FF"/>
              </w:rPr>
              <w:t>I</w:t>
            </w:r>
          </w:p>
        </w:tc>
        <w:tc>
          <w:tcPr>
            <w:tcW w:w="28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0"/>
                <w:szCs w:val="20"/>
                <w:color w:val="0000FF"/>
              </w:rPr>
              <w:t>See footnote</w:t>
            </w:r>
            <w:r>
              <w:rPr>
                <w:rFonts w:ascii="Times New Roman" w:cs="Times New Roman" w:eastAsia="Times New Roman" w:hAnsi="Times New Roman"/>
                <w:sz w:val="25"/>
                <w:szCs w:val="25"/>
                <w:color w:val="008000"/>
                <w:vertAlign w:val="superscript"/>
              </w:rPr>
              <w:t>(3)(4)</w:t>
            </w:r>
          </w:p>
        </w:tc>
        <w:tc>
          <w:tcPr>
            <w:tcW w:w="20" w:type="dxa"/>
            <w:vAlign w:val="bottom"/>
            <w:tcBorders>
              <w:bottom w:val="single" w:sz="8" w:color="2C2C2C"/>
            </w:tcBorders>
          </w:tcPr>
          <w:p>
            <w:pPr>
              <w:spacing w:after="0"/>
              <w:rPr>
                <w:sz w:val="24"/>
                <w:szCs w:val="24"/>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120" w:firstLine="5"/>
        <w:spacing w:after="0" w:line="237"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securities are held of record by OrbiMed Genesis Master Fund, L.P. ("Genesis Master Fund"). OrbiMed Genesis GP LLC ("Genesis GP") is the general partner of Genesis Master Fund and OrbiMed Advisors LLC ("OrbiMed Advisors") is the managing member of Genesis GP. By virtue of such relationships, Genesis GP and OrbiMed Advisors may be deemed to have voting power and investment power over the securities held by Genesis Master Fund and as a result, may be deemed to have beneficial ownership over such securities. OrbiMed Advisors exercises voting and investment power through a management committee comprised of Carl L. Gordon, Sven H. Borho, and W. Carter Neild, each of whom disclaims beneficial ownership of the shares held by Genesis Master Fund.</w:t>
      </w:r>
    </w:p>
    <w:p>
      <w:pPr>
        <w:spacing w:after="0" w:line="33" w:lineRule="exact"/>
        <w:rPr>
          <w:rFonts w:ascii="Times New Roman" w:cs="Times New Roman" w:eastAsia="Times New Roman" w:hAnsi="Times New Roman"/>
          <w:sz w:val="15"/>
          <w:szCs w:val="15"/>
          <w:color w:val="008000"/>
        </w:rPr>
      </w:pPr>
    </w:p>
    <w:p>
      <w:pPr>
        <w:ind w:left="40" w:right="140" w:firstLine="5"/>
        <w:spacing w:after="0" w:line="237"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securities are held of record by OrbiMed Private Investments VI, LP ("OPI VI"). OrbiMed Capital GP VI LLC ("GP VI") is the general partner of OPI VI and OrbiMed Advisors is the managing member of GP VI. The Reporting Person is an employee of OrbiMed Advisors. By virtue of such relationships, GP VI and OrbiMed Advisors may be deemed to have voting power and investment power over the securities held by OPI VI and as a result, may be deemed to have beneficial ownership over such securities. OrbiMed Advisors exercises voting and investment power through a management committee comprised of Carl L. Gordon, Sven H. Borho, and W. Carter Neild, each of whom disclaims beneficial ownership of the shares held by OPI VI.</w:t>
      </w:r>
    </w:p>
    <w:p>
      <w:pPr>
        <w:spacing w:after="0" w:line="33" w:lineRule="exact"/>
        <w:rPr>
          <w:rFonts w:ascii="Times New Roman" w:cs="Times New Roman" w:eastAsia="Times New Roman" w:hAnsi="Times New Roman"/>
          <w:sz w:val="15"/>
          <w:szCs w:val="15"/>
          <w:color w:val="008000"/>
        </w:rPr>
      </w:pPr>
    </w:p>
    <w:p>
      <w:pPr>
        <w:ind w:left="40" w:right="280" w:firstLine="5"/>
        <w:spacing w:after="0" w:line="235"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securities are held of record by OrbiMed Private Investments VIII, LP ("OPI VIII"). OrbiMed Capital GP VIII LLC ("GP VIII") is the general partner of OPI VIII and OrbiMed Advisors is the managing member of GP VIII. By virtue of such relationships, GP VIII and OrbiMed Advisors may be deemed to have voting power and investment power over the securities held by OPI VIII and as a result, may be deemed to have beneficial ownership over such securities. OrbiMed Advisors exercises voting and investment power through a management committee comprised of Carl L. Gordon, Sven H. Borho, and W. Carter Neild, each of whom disclaims beneficial ownership of the shares held by</w:t>
      </w:r>
    </w:p>
    <w:p>
      <w:pPr>
        <w:ind w:left="40"/>
        <w:spacing w:after="0"/>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OPI VIII.</w:t>
      </w:r>
    </w:p>
    <w:p>
      <w:pPr>
        <w:spacing w:after="0" w:line="36" w:lineRule="exact"/>
        <w:rPr>
          <w:rFonts w:ascii="Times New Roman" w:cs="Times New Roman" w:eastAsia="Times New Roman" w:hAnsi="Times New Roman"/>
          <w:sz w:val="15"/>
          <w:szCs w:val="15"/>
          <w:color w:val="008000"/>
        </w:rPr>
      </w:pPr>
    </w:p>
    <w:p>
      <w:pPr>
        <w:jc w:val="both"/>
        <w:ind w:left="40" w:right="120" w:firstLine="5"/>
        <w:spacing w:after="0" w:line="23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of the Reporting Person, Genesis GP, GP VI, GP VIII and OrbiMed Advisors disclaims beneficial ownership of the securities reported herein for purposes of Rule 16a-1(a) under the Securities Exchange Act of 1934, as amended (the "Exchange Act"), except to the extent of his or its pecuniary interest therein, if any. This report on Form 3 shall not be deemed an admission that any of the Reporting Person, GP VII, Genesis GP, or OrbiMed Advisors is a beneficial owner of such securities for the purpose of Section 16 of the Exchange Act, or for any other purpose.</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42"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Rahul Khara, attorney-</w:t>
            </w:r>
          </w:p>
        </w:tc>
        <w:tc>
          <w:tcPr>
            <w:tcW w:w="16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01/03/2023</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90"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ectPr>
          <w:pgSz w:w="11900" w:h="16876" w:orient="portrait"/>
          <w:cols w:equalWidth="0" w:num="1">
            <w:col w:w="10940"/>
          </w:cols>
          <w:pgMar w:left="480" w:top="230" w:right="479" w:bottom="0" w:gutter="0" w:footer="0" w:header="0"/>
          <w:type w:val="continuous"/>
        </w:sectPr>
      </w:pPr>
    </w:p>
    <w:bookmarkStart w:id="1" w:name="page2"/>
    <w:bookmarkEnd w:id="1"/>
    <w:p>
      <w:pPr>
        <w:spacing w:after="0" w:line="277"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20"/>
          </w:cols>
          <w:pgMar w:left="520" w:top="124" w:right="559" w:bottom="1440" w:gutter="0" w:footer="0" w:header="0"/>
        </w:sectPr>
      </w:pPr>
    </w:p>
    <w:bookmarkStart w:id="2" w:name="page3"/>
    <w:bookmarkEnd w:id="2"/>
    <w:p>
      <w:pPr>
        <w:ind w:left="7840"/>
        <w:spacing w:after="0"/>
        <w:rPr>
          <w:sz w:val="20"/>
          <w:szCs w:val="20"/>
          <w:color w:val="auto"/>
        </w:rPr>
      </w:pPr>
      <w:r>
        <w:rPr>
          <w:rFonts w:ascii="Courier New" w:cs="Courier New" w:eastAsia="Courier New" w:hAnsi="Courier New"/>
          <w:sz w:val="20"/>
          <w:szCs w:val="20"/>
          <w:color w:val="auto"/>
        </w:rPr>
        <w:t>Exhibit 24</w:t>
      </w:r>
    </w:p>
    <w:p>
      <w:pPr>
        <w:spacing w:after="0" w:line="224" w:lineRule="exact"/>
        <w:rPr>
          <w:sz w:val="20"/>
          <w:szCs w:val="20"/>
          <w:color w:val="auto"/>
        </w:rPr>
      </w:pPr>
    </w:p>
    <w:p>
      <w:pPr>
        <w:jc w:val="center"/>
        <w:ind w:right="499"/>
        <w:spacing w:after="0"/>
        <w:rPr>
          <w:sz w:val="20"/>
          <w:szCs w:val="20"/>
          <w:color w:val="auto"/>
        </w:rPr>
      </w:pPr>
      <w:r>
        <w:rPr>
          <w:rFonts w:ascii="Courier New" w:cs="Courier New" w:eastAsia="Courier New" w:hAnsi="Courier New"/>
          <w:sz w:val="20"/>
          <w:szCs w:val="20"/>
          <w:color w:val="auto"/>
        </w:rPr>
        <w:t>LIMITED POWER OF ATTORNEY</w:t>
      </w:r>
    </w:p>
    <w:p>
      <w:pPr>
        <w:spacing w:after="0" w:line="224" w:lineRule="exact"/>
        <w:rPr>
          <w:sz w:val="20"/>
          <w:szCs w:val="20"/>
          <w:color w:val="auto"/>
        </w:rPr>
      </w:pPr>
    </w:p>
    <w:p>
      <w:pPr>
        <w:jc w:val="both"/>
        <w:ind w:right="1079" w:firstLine="936"/>
        <w:spacing w:after="0" w:line="339" w:lineRule="auto"/>
        <w:rPr>
          <w:sz w:val="20"/>
          <w:szCs w:val="20"/>
          <w:color w:val="auto"/>
        </w:rPr>
      </w:pPr>
      <w:r>
        <w:rPr>
          <w:rFonts w:ascii="Courier New" w:cs="Courier New" w:eastAsia="Courier New" w:hAnsi="Courier New"/>
          <w:sz w:val="18"/>
          <w:szCs w:val="18"/>
          <w:color w:val="auto"/>
        </w:rPr>
        <w:t>The undersigned hereby constitutes and appoints each of John Daniel Quisel, Joanne Bryce and Rahul Khara, signing singly, and with full power of substitution, the undersigned's true and lawful attorney-in-fact to:</w:t>
      </w:r>
    </w:p>
    <w:p>
      <w:pPr>
        <w:spacing w:after="0" w:line="36" w:lineRule="exact"/>
        <w:rPr>
          <w:sz w:val="20"/>
          <w:szCs w:val="20"/>
          <w:color w:val="auto"/>
        </w:rPr>
      </w:pPr>
    </w:p>
    <w:p>
      <w:pPr>
        <w:ind w:right="839" w:firstLine="936"/>
        <w:spacing w:after="0" w:line="275" w:lineRule="auto"/>
        <w:tabs>
          <w:tab w:leader="none" w:pos="1639"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officer and/or director of Disc Medicine, Inc. (the "Company"), from time to time the following U.S. Securities and Exchange Commission ("SEC") forms: (i) Form ID, including any attached documents (such as Update Passphrase Authentication), to effect the assignment of codes to the undersigned to be used in the transmission of information to the SEC using the EDGAR System; (ii) Form 3, Initial Statement of Beneficial Ownership of Securities, including any attached documents; (iii) Form 4, Statement of Changes in Beneficial Ownership of Securities, including any attached documents; (iv) Form 5, Annual Statement of Beneficial Ownership of Securities in accordance with Section 16(a) of the Securities Exchange Act of 1934, as amended, and the rules thereunder, including any attached documents; (v) Schedules 13D and 13G; and (vi) amendments of each thereof, in accordance with the Securities Exchange Act of 1934, as amended, and the rules thereunder, including any attached documents;</w:t>
      </w:r>
    </w:p>
    <w:p>
      <w:pPr>
        <w:spacing w:after="0" w:line="330" w:lineRule="exact"/>
        <w:rPr>
          <w:rFonts w:ascii="Courier New" w:cs="Courier New" w:eastAsia="Courier New" w:hAnsi="Courier New"/>
          <w:sz w:val="18"/>
          <w:szCs w:val="18"/>
          <w:color w:val="auto"/>
        </w:rPr>
      </w:pPr>
    </w:p>
    <w:p>
      <w:pPr>
        <w:ind w:right="1199" w:firstLine="936"/>
        <w:spacing w:after="0" w:line="265" w:lineRule="auto"/>
        <w:tabs>
          <w:tab w:leader="none" w:pos="1639"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 3, 4 or 5, Schedule 13D or 13G, or any amendment(s) thereto and timely file such form(s) with the SEC and any securities exchange, national association or similar authority; and</w:t>
      </w:r>
    </w:p>
    <w:p>
      <w:pPr>
        <w:spacing w:after="0" w:line="99" w:lineRule="exact"/>
        <w:rPr>
          <w:rFonts w:ascii="Courier New" w:cs="Courier New" w:eastAsia="Courier New" w:hAnsi="Courier New"/>
          <w:sz w:val="20"/>
          <w:szCs w:val="20"/>
          <w:color w:val="auto"/>
        </w:rPr>
      </w:pPr>
    </w:p>
    <w:p>
      <w:pPr>
        <w:ind w:right="739" w:firstLine="936"/>
        <w:spacing w:after="0" w:line="256" w:lineRule="auto"/>
        <w:tabs>
          <w:tab w:leader="none" w:pos="1639"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09" w:lineRule="exact"/>
        <w:rPr>
          <w:sz w:val="20"/>
          <w:szCs w:val="20"/>
          <w:color w:val="auto"/>
        </w:rPr>
      </w:pPr>
    </w:p>
    <w:p>
      <w:pPr>
        <w:ind w:right="739" w:firstLine="936"/>
        <w:spacing w:after="0" w:line="275" w:lineRule="auto"/>
        <w:rPr>
          <w:sz w:val="20"/>
          <w:szCs w:val="20"/>
          <w:color w:val="auto"/>
        </w:rPr>
      </w:pPr>
      <w:r>
        <w:rPr>
          <w:rFonts w:ascii="Courier New" w:cs="Courier New" w:eastAsia="Courier New" w:hAnsi="Courier New"/>
          <w:sz w:val="18"/>
          <w:szCs w:val="18"/>
          <w:color w:val="auto"/>
        </w:rPr>
        <w:t>The undersigned hereby grants to each such attorney-in-fact, acting singly,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attorneys-in-fact and the Company from and against any demand, damage, loss, cost or expense arising from any false or misleading information provided by the undersigned to the attorneys-in-fact.</w:t>
      </w:r>
    </w:p>
    <w:p>
      <w:pPr>
        <w:spacing w:after="0" w:line="322" w:lineRule="exact"/>
        <w:rPr>
          <w:sz w:val="20"/>
          <w:szCs w:val="20"/>
          <w:color w:val="auto"/>
        </w:rPr>
      </w:pPr>
    </w:p>
    <w:p>
      <w:pPr>
        <w:ind w:right="739" w:firstLine="936"/>
        <w:spacing w:after="0" w:line="252"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such forms with respect to the undersigned's holdings of and transactions in securities issued by the Company, unless earlier revoked by the undersigned in a signed writing delivered to the foregoing attorneys-in-fact. This Power of Attorney supersedes any prior power of attorney in connection with the undersigned's capacity as an officer and/or director of the Company. This Power of Attorney shall expire as to any individual attorney-in-fact if such attorney-in-fact ceases to be an employee of the Company.</w:t>
      </w:r>
    </w:p>
    <w:p>
      <w:pPr>
        <w:spacing w:after="0" w:line="110" w:lineRule="exact"/>
        <w:rPr>
          <w:sz w:val="20"/>
          <w:szCs w:val="20"/>
          <w:color w:val="auto"/>
        </w:rPr>
      </w:pPr>
    </w:p>
    <w:p>
      <w:pPr>
        <w:ind w:right="959" w:firstLine="936"/>
        <w:spacing w:after="0" w:line="348"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December 23, 2022.</w:t>
      </w:r>
    </w:p>
    <w:p>
      <w:pPr>
        <w:spacing w:after="0" w:line="18" w:lineRule="exact"/>
        <w:rPr>
          <w:sz w:val="20"/>
          <w:szCs w:val="20"/>
          <w:color w:val="auto"/>
        </w:rPr>
      </w:pPr>
    </w:p>
    <w:p>
      <w:pPr>
        <w:ind w:left="4100"/>
        <w:spacing w:after="0"/>
        <w:rPr>
          <w:sz w:val="20"/>
          <w:szCs w:val="20"/>
          <w:color w:val="auto"/>
        </w:rPr>
      </w:pPr>
      <w:r>
        <w:rPr>
          <w:rFonts w:ascii="Courier New" w:cs="Courier New" w:eastAsia="Courier New" w:hAnsi="Courier New"/>
          <w:sz w:val="20"/>
          <w:szCs w:val="20"/>
          <w:color w:val="auto"/>
        </w:rPr>
        <w:t>/s/ Mona Ashiya</w:t>
      </w:r>
    </w:p>
    <w:p>
      <w:pPr>
        <w:spacing w:after="0" w:line="33" w:lineRule="exact"/>
        <w:rPr>
          <w:sz w:val="20"/>
          <w:szCs w:val="20"/>
          <w:color w:val="auto"/>
        </w:rPr>
      </w:pPr>
    </w:p>
    <w:p>
      <w:pPr>
        <w:ind w:left="4100"/>
        <w:spacing w:after="0"/>
        <w:rPr>
          <w:sz w:val="20"/>
          <w:szCs w:val="20"/>
          <w:color w:val="auto"/>
        </w:rPr>
      </w:pPr>
      <w:r>
        <w:rPr>
          <w:rFonts w:ascii="Courier New" w:cs="Courier New" w:eastAsia="Courier New" w:hAnsi="Courier New"/>
          <w:sz w:val="20"/>
          <w:szCs w:val="20"/>
          <w:color w:val="auto"/>
        </w:rPr>
        <w:t>-------------------------------</w:t>
      </w:r>
    </w:p>
    <w:p>
      <w:pPr>
        <w:ind w:left="4100"/>
        <w:spacing w:after="0"/>
        <w:rPr>
          <w:sz w:val="20"/>
          <w:szCs w:val="20"/>
          <w:color w:val="auto"/>
        </w:rPr>
      </w:pPr>
      <w:r>
        <w:rPr>
          <w:rFonts w:ascii="Courier New" w:cs="Courier New" w:eastAsia="Courier New" w:hAnsi="Courier New"/>
          <w:sz w:val="20"/>
          <w:szCs w:val="20"/>
          <w:color w:val="auto"/>
        </w:rPr>
        <w:t>Signature</w:t>
      </w:r>
    </w:p>
    <w:p>
      <w:pPr>
        <w:sectPr>
          <w:pgSz w:w="11900" w:h="16838" w:orient="portrait"/>
          <w:cols w:equalWidth="0" w:num="1">
            <w:col w:w="9979"/>
          </w:cols>
          <w:pgMar w:left="480" w:top="106" w:right="1440" w:bottom="148" w:gutter="0" w:footer="0" w:header="0"/>
        </w:sectPr>
      </w:pPr>
    </w:p>
    <w:bookmarkStart w:id="3" w:name="page4"/>
    <w:bookmarkEnd w:id="3"/>
    <w:p>
      <w:pPr>
        <w:ind w:left="3140"/>
        <w:spacing w:after="0"/>
        <w:rPr>
          <w:sz w:val="20"/>
          <w:szCs w:val="20"/>
          <w:color w:val="auto"/>
        </w:rPr>
      </w:pPr>
      <w:r>
        <w:rPr>
          <w:rFonts w:ascii="Courier New" w:cs="Courier New" w:eastAsia="Courier New" w:hAnsi="Courier New"/>
          <w:sz w:val="20"/>
          <w:szCs w:val="20"/>
          <w:color w:val="auto"/>
        </w:rPr>
        <w:t>Mona Ashiya</w:t>
      </w:r>
    </w:p>
    <w:p>
      <w:pPr>
        <w:spacing w:after="0" w:line="35" w:lineRule="exact"/>
        <w:rPr>
          <w:sz w:val="20"/>
          <w:szCs w:val="20"/>
          <w:color w:val="auto"/>
        </w:rPr>
      </w:pPr>
    </w:p>
    <w:p>
      <w:pPr>
        <w:ind w:left="3140"/>
        <w:spacing w:after="0"/>
        <w:rPr>
          <w:sz w:val="20"/>
          <w:szCs w:val="20"/>
          <w:color w:val="auto"/>
        </w:rPr>
      </w:pPr>
      <w:r>
        <w:rPr>
          <w:rFonts w:ascii="Courier New" w:cs="Courier New" w:eastAsia="Courier New" w:hAnsi="Courier New"/>
          <w:sz w:val="18"/>
          <w:szCs w:val="18"/>
          <w:color w:val="auto"/>
        </w:rPr>
        <w:t>-------------------------------</w:t>
      </w:r>
    </w:p>
    <w:p>
      <w:pPr>
        <w:spacing w:after="0" w:line="21" w:lineRule="exact"/>
        <w:rPr>
          <w:sz w:val="20"/>
          <w:szCs w:val="20"/>
          <w:color w:val="auto"/>
        </w:rPr>
      </w:pPr>
    </w:p>
    <w:p>
      <w:pPr>
        <w:ind w:left="3140"/>
        <w:spacing w:after="0"/>
        <w:rPr>
          <w:sz w:val="20"/>
          <w:szCs w:val="20"/>
          <w:color w:val="auto"/>
        </w:rPr>
      </w:pPr>
      <w:r>
        <w:rPr>
          <w:rFonts w:ascii="Courier New" w:cs="Courier New" w:eastAsia="Courier New" w:hAnsi="Courier New"/>
          <w:sz w:val="20"/>
          <w:szCs w:val="20"/>
          <w:color w:val="auto"/>
        </w:rPr>
        <w:t>Print Name</w:t>
      </w:r>
    </w:p>
    <w:sectPr>
      <w:pgSz w:w="11900" w:h="16838" w:orient="portrait"/>
      <w:cols w:equalWidth="0" w:num="1">
        <w:col w:w="9019"/>
      </w:cols>
      <w:pgMar w:left="144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794070" TargetMode="External"/><Relationship Id="rId11" Type="http://schemas.openxmlformats.org/officeDocument/2006/relationships/hyperlink" Target="http://www.sec.gov/cgi-bin/browse-edgar?action=getcompany&amp;CIK=00018167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2023-01-03T20:24:53Z</dcterms:created>
  <dcterms:modified xsi:type="dcterms:W3CDTF">2023-01-03T20:24:53Z</dcterms:modified>
</cp:coreProperties>
</file>