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7"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(Amendment No. ____)*</w:t>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Disc Medicine,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254604101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September 14, 2023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254604101</w:t>
      </w:r>
    </w:p>
    <w:p>
      <w:pPr>
        <w:spacing w:after="0" w:line="225" w:lineRule="exact"/>
        <w:rPr>
          <w:sz w:val="20"/>
          <w:szCs w:val="20"/>
          <w:color w:val="auto"/>
        </w:rPr>
      </w:pPr>
    </w:p>
    <w:p>
      <w:pPr>
        <w:ind w:left="340" w:right="7339" w:hanging="332"/>
        <w:spacing w:after="0" w:line="56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Paradigm BioCapital Advisors LP</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60" w:type="dxa"/>
            <w:vAlign w:val="bottom"/>
          </w:tcPr>
          <w:p>
            <w:pPr>
              <w:ind w:left="30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0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1,235,918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EACH REPORTING</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0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1,235,918</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3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999" w:hanging="332"/>
        <w:spacing w:after="0" w:line="47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1,235,918</w:t>
      </w:r>
    </w:p>
    <w:p>
      <w:pPr>
        <w:ind w:left="340" w:hanging="332"/>
        <w:spacing w:after="0" w:line="207" w:lineRule="exact"/>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60" w:lineRule="exact"/>
        <w:rPr>
          <w:rFonts w:ascii="Arial" w:cs="Arial" w:eastAsia="Arial" w:hAnsi="Arial"/>
          <w:sz w:val="18"/>
          <w:szCs w:val="18"/>
          <w:color w:val="auto"/>
        </w:rPr>
      </w:pPr>
    </w:p>
    <w:p>
      <w:pPr>
        <w:ind w:left="4940" w:right="919" w:hanging="4614"/>
        <w:spacing w:after="0" w:line="778" w:lineRule="auto"/>
        <w:rPr>
          <w:rFonts w:ascii="Arial" w:cs="Arial" w:eastAsia="Arial" w:hAnsi="Arial"/>
          <w:sz w:val="18"/>
          <w:szCs w:val="18"/>
          <w:color w:val="auto"/>
        </w:rPr>
      </w:pPr>
      <w:r>
        <w:rPr>
          <w:rFonts w:ascii="Arial" w:cs="Arial" w:eastAsia="Arial" w:hAnsi="Arial"/>
          <w:sz w:val="18"/>
          <w:szCs w:val="18"/>
          <w:color w:val="auto"/>
        </w:rPr>
        <w:t>* The information above is given as of the end of business on September 25, 2023, the filing date of this Schedule 13G. 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857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254604101</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Paradigm BioCapital Advisors GP LLC</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60" w:type="dxa"/>
            <w:vAlign w:val="bottom"/>
          </w:tcPr>
          <w:p>
            <w:pPr>
              <w:ind w:left="30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NUMBER OF</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0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1060" w:type="dxa"/>
            <w:vAlign w:val="bottom"/>
          </w:tcPr>
          <w:p>
            <w:pPr>
              <w:jc w:val="right"/>
              <w:spacing w:after="0"/>
              <w:rPr>
                <w:sz w:val="20"/>
                <w:szCs w:val="20"/>
                <w:color w:val="auto"/>
              </w:rPr>
            </w:pPr>
            <w:r>
              <w:rPr>
                <w:rFonts w:ascii="Arial" w:cs="Arial" w:eastAsia="Arial" w:hAnsi="Arial"/>
                <w:sz w:val="18"/>
                <w:szCs w:val="18"/>
                <w:color w:val="auto"/>
              </w:rPr>
              <w:t>1,235,918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BENEFICIALLY</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OWNED BY</w:t>
            </w:r>
          </w:p>
        </w:tc>
        <w:tc>
          <w:tcPr>
            <w:tcW w:w="5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EACH REPORTING</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0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1060" w:type="dxa"/>
            <w:vAlign w:val="bottom"/>
          </w:tcPr>
          <w:p>
            <w:pPr>
              <w:jc w:val="right"/>
              <w:spacing w:after="0"/>
              <w:rPr>
                <w:sz w:val="20"/>
                <w:szCs w:val="20"/>
                <w:color w:val="auto"/>
              </w:rPr>
            </w:pPr>
            <w:r>
              <w:rPr>
                <w:rFonts w:ascii="Arial" w:cs="Arial" w:eastAsia="Arial" w:hAnsi="Arial"/>
                <w:sz w:val="18"/>
                <w:szCs w:val="18"/>
                <w:color w:val="auto"/>
              </w:rPr>
              <w:t>1,235,918</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PERSON WITH:</w:t>
            </w:r>
          </w:p>
        </w:tc>
        <w:tc>
          <w:tcPr>
            <w:tcW w:w="52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3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999" w:hanging="332"/>
        <w:spacing w:after="0" w:line="47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1,235,918</w:t>
      </w:r>
    </w:p>
    <w:p>
      <w:pPr>
        <w:ind w:left="340" w:hanging="332"/>
        <w:spacing w:after="0" w:line="207" w:lineRule="exact"/>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60" w:lineRule="exact"/>
        <w:rPr>
          <w:rFonts w:ascii="Arial" w:cs="Arial" w:eastAsia="Arial" w:hAnsi="Arial"/>
          <w:sz w:val="18"/>
          <w:szCs w:val="18"/>
          <w:color w:val="auto"/>
        </w:rPr>
      </w:pPr>
    </w:p>
    <w:p>
      <w:pPr>
        <w:ind w:left="4940" w:right="919" w:hanging="4614"/>
        <w:spacing w:after="0" w:line="778" w:lineRule="auto"/>
        <w:rPr>
          <w:rFonts w:ascii="Arial" w:cs="Arial" w:eastAsia="Arial" w:hAnsi="Arial"/>
          <w:sz w:val="18"/>
          <w:szCs w:val="18"/>
          <w:color w:val="auto"/>
        </w:rPr>
      </w:pPr>
      <w:r>
        <w:rPr>
          <w:rFonts w:ascii="Arial" w:cs="Arial" w:eastAsia="Arial" w:hAnsi="Arial"/>
          <w:sz w:val="18"/>
          <w:szCs w:val="18"/>
          <w:color w:val="auto"/>
        </w:rPr>
        <w:t>* The information above is given as of the end of business on September 25, 2023, the filing date of this Schedule 13G. 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857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254604101</w:t>
      </w:r>
    </w:p>
    <w:p>
      <w:pPr>
        <w:spacing w:after="0" w:line="225" w:lineRule="exact"/>
        <w:rPr>
          <w:sz w:val="20"/>
          <w:szCs w:val="20"/>
          <w:color w:val="auto"/>
        </w:rPr>
      </w:pPr>
    </w:p>
    <w:p>
      <w:pPr>
        <w:ind w:left="340" w:right="7739" w:hanging="332"/>
        <w:spacing w:after="0" w:line="56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Senai Asefaw, M.D.</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60" w:type="dxa"/>
            <w:vAlign w:val="bottom"/>
            <w:gridSpan w:val="2"/>
          </w:tcPr>
          <w:p>
            <w:pPr>
              <w:ind w:left="300"/>
              <w:spacing w:after="0"/>
              <w:rPr>
                <w:sz w:val="20"/>
                <w:szCs w:val="20"/>
                <w:color w:val="auto"/>
              </w:rPr>
            </w:pPr>
            <w:r>
              <w:rPr>
                <w:rFonts w:ascii="Arial" w:cs="Arial" w:eastAsia="Arial" w:hAnsi="Arial"/>
                <w:sz w:val="18"/>
                <w:szCs w:val="18"/>
                <w:color w:val="auto"/>
                <w:w w:val="97"/>
              </w:rPr>
              <w:t>United States of America</w:t>
            </w: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0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1,235,918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EACH REPORTING</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0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1,235,918</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3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999" w:hanging="332"/>
        <w:spacing w:after="0" w:line="47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1,235,918</w:t>
      </w:r>
    </w:p>
    <w:p>
      <w:pPr>
        <w:ind w:left="340" w:hanging="332"/>
        <w:spacing w:after="0" w:line="207" w:lineRule="exact"/>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9"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60" w:lineRule="exact"/>
        <w:rPr>
          <w:rFonts w:ascii="Arial" w:cs="Arial" w:eastAsia="Arial" w:hAnsi="Arial"/>
          <w:sz w:val="18"/>
          <w:szCs w:val="18"/>
          <w:color w:val="auto"/>
        </w:rPr>
      </w:pPr>
    </w:p>
    <w:p>
      <w:pPr>
        <w:ind w:left="4940" w:right="919" w:hanging="4614"/>
        <w:spacing w:after="0" w:line="778" w:lineRule="auto"/>
        <w:rPr>
          <w:rFonts w:ascii="Arial" w:cs="Arial" w:eastAsia="Arial" w:hAnsi="Arial"/>
          <w:sz w:val="18"/>
          <w:szCs w:val="18"/>
          <w:color w:val="auto"/>
        </w:rPr>
      </w:pPr>
      <w:r>
        <w:rPr>
          <w:rFonts w:ascii="Arial" w:cs="Arial" w:eastAsia="Arial" w:hAnsi="Arial"/>
          <w:sz w:val="18"/>
          <w:szCs w:val="18"/>
          <w:color w:val="auto"/>
        </w:rPr>
        <w:t>* The information above is given as of the end of business on September 25, 2023, the filing date of this Schedule 13G. 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857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254604101</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Paradigm BioCapital International Fund Ltd.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660" w:hanging="328"/>
        <w:spacing w:after="0" w:line="207" w:lineRule="exact"/>
        <w:tabs>
          <w:tab w:leader="none" w:pos="6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60" w:type="dxa"/>
            <w:vAlign w:val="bottom"/>
          </w:tcPr>
          <w:p>
            <w:pPr>
              <w:ind w:left="300"/>
              <w:spacing w:after="0"/>
              <w:rPr>
                <w:sz w:val="20"/>
                <w:szCs w:val="20"/>
                <w:color w:val="auto"/>
              </w:rPr>
            </w:pPr>
            <w:r>
              <w:rPr>
                <w:rFonts w:ascii="Arial" w:cs="Arial" w:eastAsia="Arial" w:hAnsi="Arial"/>
                <w:sz w:val="18"/>
                <w:szCs w:val="18"/>
                <w:color w:val="auto"/>
              </w:rPr>
              <w:t>Cayman Islands</w:t>
            </w:r>
          </w:p>
        </w:tc>
        <w:tc>
          <w:tcPr>
            <w:tcW w:w="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6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30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1,030,317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SHARES</w:t>
            </w: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0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EACH REPORTING</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0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1,030,317</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302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999" w:hanging="332"/>
        <w:spacing w:after="0" w:line="47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1,030,317</w:t>
      </w:r>
    </w:p>
    <w:p>
      <w:pPr>
        <w:ind w:left="340" w:hanging="332"/>
        <w:spacing w:after="0" w:line="207" w:lineRule="exact"/>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6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60" w:lineRule="exact"/>
        <w:rPr>
          <w:rFonts w:ascii="Arial" w:cs="Arial" w:eastAsia="Arial" w:hAnsi="Arial"/>
          <w:sz w:val="18"/>
          <w:szCs w:val="18"/>
          <w:color w:val="auto"/>
        </w:rPr>
      </w:pPr>
    </w:p>
    <w:p>
      <w:pPr>
        <w:ind w:left="4940" w:right="919" w:hanging="4614"/>
        <w:spacing w:after="0" w:line="778" w:lineRule="auto"/>
        <w:rPr>
          <w:rFonts w:ascii="Arial" w:cs="Arial" w:eastAsia="Arial" w:hAnsi="Arial"/>
          <w:sz w:val="18"/>
          <w:szCs w:val="18"/>
          <w:color w:val="auto"/>
        </w:rPr>
      </w:pPr>
      <w:r>
        <w:rPr>
          <w:rFonts w:ascii="Arial" w:cs="Arial" w:eastAsia="Arial" w:hAnsi="Arial"/>
          <w:sz w:val="18"/>
          <w:szCs w:val="18"/>
          <w:color w:val="auto"/>
        </w:rPr>
        <w:t>* The information above is given as of the end of business on September 25, 2023, the filing date of this Schedule 13G. 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857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of the issuer is Disc Medicine, Inc. (the “</w:t>
      </w:r>
      <w:r>
        <w:rPr>
          <w:rFonts w:ascii="Arial" w:cs="Arial" w:eastAsia="Arial" w:hAnsi="Arial"/>
          <w:sz w:val="18"/>
          <w:szCs w:val="18"/>
          <w:i w:val="1"/>
          <w:iCs w:val="1"/>
          <w:color w:val="auto"/>
        </w:rPr>
        <w:t>Issuer”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executive offices of the Issuer are located at 321 Arsenal Street, Suite 101, Watertown, MA 02472.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jc w:val="both"/>
        <w:ind w:left="660" w:hanging="652"/>
        <w:spacing w:after="0" w:line="271"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Schedule 13G is filed by the following (the “</w:t>
      </w:r>
      <w:r>
        <w:rPr>
          <w:rFonts w:ascii="Arial" w:cs="Arial" w:eastAsia="Arial" w:hAnsi="Arial"/>
          <w:sz w:val="17"/>
          <w:szCs w:val="17"/>
          <w:i w:val="1"/>
          <w:iCs w:val="1"/>
          <w:color w:val="auto"/>
        </w:rPr>
        <w:t>Reporting Persons</w:t>
      </w:r>
      <w:r>
        <w:rPr>
          <w:rFonts w:ascii="Arial" w:cs="Arial" w:eastAsia="Arial" w:hAnsi="Arial"/>
          <w:sz w:val="17"/>
          <w:szCs w:val="17"/>
          <w:color w:val="auto"/>
        </w:rPr>
        <w:t>”): (1) Paradigm BioCapital Advisors LP (the “</w:t>
      </w:r>
      <w:r>
        <w:rPr>
          <w:rFonts w:ascii="Arial" w:cs="Arial" w:eastAsia="Arial" w:hAnsi="Arial"/>
          <w:sz w:val="17"/>
          <w:szCs w:val="17"/>
          <w:i w:val="1"/>
          <w:iCs w:val="1"/>
          <w:color w:val="auto"/>
        </w:rPr>
        <w:t>Adviser</w:t>
      </w:r>
      <w:r>
        <w:rPr>
          <w:rFonts w:ascii="Arial" w:cs="Arial" w:eastAsia="Arial" w:hAnsi="Arial"/>
          <w:sz w:val="17"/>
          <w:szCs w:val="17"/>
          <w:color w:val="auto"/>
        </w:rPr>
        <w:t>”); (2) Paradigm BioCapital Advisors GP LLC (the “</w:t>
      </w:r>
      <w:r>
        <w:rPr>
          <w:rFonts w:ascii="Arial" w:cs="Arial" w:eastAsia="Arial" w:hAnsi="Arial"/>
          <w:sz w:val="17"/>
          <w:szCs w:val="17"/>
          <w:i w:val="1"/>
          <w:iCs w:val="1"/>
          <w:color w:val="auto"/>
        </w:rPr>
        <w:t>Adviser GP</w:t>
      </w:r>
      <w:r>
        <w:rPr>
          <w:rFonts w:ascii="Arial" w:cs="Arial" w:eastAsia="Arial" w:hAnsi="Arial"/>
          <w:sz w:val="17"/>
          <w:szCs w:val="17"/>
          <w:color w:val="auto"/>
        </w:rPr>
        <w:t>”); (3) Senai Asefaw, M.D. (“</w:t>
      </w:r>
      <w:r>
        <w:rPr>
          <w:rFonts w:ascii="Arial" w:cs="Arial" w:eastAsia="Arial" w:hAnsi="Arial"/>
          <w:sz w:val="17"/>
          <w:szCs w:val="17"/>
          <w:i w:val="1"/>
          <w:iCs w:val="1"/>
          <w:color w:val="auto"/>
        </w:rPr>
        <w:t>Senai Asefaw</w:t>
      </w:r>
      <w:r>
        <w:rPr>
          <w:rFonts w:ascii="Arial" w:cs="Arial" w:eastAsia="Arial" w:hAnsi="Arial"/>
          <w:sz w:val="17"/>
          <w:szCs w:val="17"/>
          <w:color w:val="auto"/>
        </w:rPr>
        <w:t>”); and (4) Paradigm BioCapital International Fund Ltd. (the “</w:t>
      </w:r>
      <w:r>
        <w:rPr>
          <w:rFonts w:ascii="Arial" w:cs="Arial" w:eastAsia="Arial" w:hAnsi="Arial"/>
          <w:sz w:val="17"/>
          <w:szCs w:val="17"/>
          <w:i w:val="1"/>
          <w:iCs w:val="1"/>
          <w:color w:val="auto"/>
        </w:rPr>
        <w:t>Fund</w:t>
      </w:r>
      <w:r>
        <w:rPr>
          <w:rFonts w:ascii="Arial" w:cs="Arial" w:eastAsia="Arial" w:hAnsi="Arial"/>
          <w:sz w:val="17"/>
          <w:szCs w:val="17"/>
          <w:color w:val="auto"/>
        </w:rPr>
        <w:t>”). The Fund is a private investment vehicle. The Fund and one or more separately managed accounts managed by the Adviser (the “</w:t>
      </w:r>
      <w:r>
        <w:rPr>
          <w:rFonts w:ascii="Arial" w:cs="Arial" w:eastAsia="Arial" w:hAnsi="Arial"/>
          <w:sz w:val="17"/>
          <w:szCs w:val="17"/>
          <w:i w:val="1"/>
          <w:iCs w:val="1"/>
          <w:color w:val="auto"/>
        </w:rPr>
        <w:t>Account</w:t>
      </w:r>
      <w:r>
        <w:rPr>
          <w:rFonts w:ascii="Arial" w:cs="Arial" w:eastAsia="Arial" w:hAnsi="Arial"/>
          <w:sz w:val="17"/>
          <w:szCs w:val="17"/>
          <w:color w:val="auto"/>
        </w:rPr>
        <w:t>”) directly beneficially own the Common Stock (as defined below)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p>
      <w:pPr>
        <w:spacing w:after="0" w:line="158" w:lineRule="exact"/>
        <w:rPr>
          <w:rFonts w:ascii="Arial" w:cs="Arial" w:eastAsia="Arial" w:hAnsi="Arial"/>
          <w:sz w:val="17"/>
          <w:szCs w:val="17"/>
          <w:color w:val="auto"/>
        </w:rPr>
      </w:pPr>
    </w:p>
    <w:p>
      <w:pPr>
        <w:ind w:left="660" w:hanging="652"/>
        <w:spacing w:after="0"/>
        <w:tabs>
          <w:tab w:leader="none" w:pos="660" w:val="left"/>
        </w:tabs>
        <w:numPr>
          <w:ilvl w:val="0"/>
          <w:numId w:val="14"/>
        </w:numPr>
        <w:rPr>
          <w:rFonts w:ascii="Arial" w:cs="Arial" w:eastAsia="Arial" w:hAnsi="Arial"/>
          <w:sz w:val="36"/>
          <w:szCs w:val="36"/>
          <w:color w:val="auto"/>
          <w:vertAlign w:val="superscript"/>
        </w:rPr>
      </w:pPr>
      <w:r>
        <w:rPr>
          <w:rFonts w:ascii="Arial" w:cs="Arial" w:eastAsia="Arial" w:hAnsi="Arial"/>
          <w:sz w:val="18"/>
          <w:szCs w:val="18"/>
          <w:color w:val="auto"/>
        </w:rPr>
        <w:t>The principal business office of the Reporting Persons is 767 Third Avenue,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78" w:lineRule="exact"/>
        <w:rPr>
          <w:rFonts w:ascii="Arial" w:cs="Arial" w:eastAsia="Arial" w:hAnsi="Arial"/>
          <w:sz w:val="36"/>
          <w:szCs w:val="36"/>
          <w:color w:val="auto"/>
          <w:vertAlign w:val="superscript"/>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citizenship information see Item 4 of the cover page of each Reporting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statement relates to the Common Stock, $0.0001 par value per share, of the Issuer (the “</w:t>
      </w: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CUSIP Number of the Common Stock is 254604101.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9" w:lineRule="exact"/>
        <w:rPr>
          <w:rFonts w:ascii="Arial" w:cs="Arial" w:eastAsia="Arial" w:hAnsi="Arial"/>
          <w:sz w:val="18"/>
          <w:szCs w:val="18"/>
          <w:color w:val="auto"/>
        </w:rPr>
      </w:pPr>
    </w:p>
    <w:p>
      <w:pPr>
        <w:ind w:left="680" w:right="120" w:hanging="672"/>
        <w:spacing w:after="0" w:line="250" w:lineRule="auto"/>
        <w:tabs>
          <w:tab w:leader="none" w:pos="3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   A non-U.S. institution in accordance with §240.13d-1(b)(1)(ii)(J);</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   Group, in accordance with §240.13d-1(b)(1)(ii)(K).</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filing as a non-U.S. institution in accordance with §240.13d-1(b)(1)(ii)(J), please specify the type of institution:______________________</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Items 5-9 and 11 on the cover page for each Reporting Person, and Item 2, which information is given as of the close of business on September 25, 2023, the date of filing of this Schedule 13G.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close of business on the Event Date of September 14, 2023, the Reporting Persons collectively beneficially owned 1,143,882 shares of Common Stock (938,281 of which was held by the Fund and 205,601 of which was held by the Account), representing 5.0% of all of the outstanding shares of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percentages of beneficial ownership contained herein are based on 22,877,552 shares of Common Stock outstanding as of August 8, 2023, as reported by the Issuer in its Form 10-Q filed with the SEC on August 11,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520"/>
        <w:spacing w:after="0" w:line="26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b w:val="1"/>
          <w:bCs w:val="1"/>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Paradigm BioCapital Advisors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Paradigm BioCapital International Fund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432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K.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Senai Asefaw, M.D.</w:t>
      </w: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9" w:name="page10"/>
    <w:bookmarkEnd w:id="9"/>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29" w:lineRule="exact"/>
        <w:rPr>
          <w:sz w:val="20"/>
          <w:szCs w:val="20"/>
          <w:color w:val="auto"/>
        </w:rPr>
      </w:pPr>
    </w:p>
    <w:p>
      <w:pPr>
        <w:ind w:left="1360" w:hanging="1190"/>
        <w:spacing w:after="0"/>
        <w:tabs>
          <w:tab w:leader="none" w:pos="1360" w:val="left"/>
        </w:tabs>
        <w:numPr>
          <w:ilvl w:val="0"/>
          <w:numId w:val="18"/>
        </w:numPr>
        <w:rPr>
          <w:rFonts w:ascii="Arial" w:cs="Arial" w:eastAsia="Arial" w:hAnsi="Arial"/>
          <w:sz w:val="18"/>
          <w:szCs w:val="18"/>
          <w:u w:val="single" w:color="auto"/>
          <w:color w:val="0000EE"/>
        </w:rPr>
      </w:pPr>
      <w:r>
        <w:rPr>
          <w:rFonts w:ascii="Arial" w:cs="Arial" w:eastAsia="Arial" w:hAnsi="Arial"/>
          <w:sz w:val="18"/>
          <w:szCs w:val="18"/>
          <w:u w:val="single" w:color="auto"/>
          <w:color w:val="0000EE"/>
        </w:rPr>
        <w:t>Joint Filing Agreement</w:t>
      </w:r>
    </w:p>
    <w:p>
      <w:pPr>
        <w:spacing w:after="0" w:line="200" w:lineRule="exact"/>
        <w:rPr>
          <w:sz w:val="20"/>
          <w:szCs w:val="20"/>
          <w:color w:val="auto"/>
        </w:rPr>
      </w:pPr>
    </w:p>
    <w:p>
      <w:pPr>
        <w:spacing w:after="0" w:line="241" w:lineRule="exact"/>
        <w:rPr>
          <w:sz w:val="20"/>
          <w:szCs w:val="20"/>
          <w:color w:val="auto"/>
        </w:rPr>
      </w:pPr>
    </w:p>
    <w:p>
      <w:pPr>
        <w:jc w:val="right"/>
        <w:ind w:right="3779"/>
        <w:spacing w:after="0"/>
        <w:rPr>
          <w:sz w:val="20"/>
          <w:szCs w:val="20"/>
          <w:color w:val="auto"/>
        </w:rPr>
      </w:pPr>
      <w:r>
        <w:rPr>
          <w:rFonts w:ascii="Arial" w:cs="Arial" w:eastAsia="Arial" w:hAnsi="Arial"/>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Stock, $0.0001 par value per share, of Disc Medicine, Inc., and further agree that this Joint Filing Agreement be included as an Exhibit to such joint filing. In evidence thereof, the undersigned hereby execute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Paradigm BioCapital Advisors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Paradigm BioCapital Advisors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Paradigm BioCapital International Fund Ltd.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David K.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K.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Senai Asefaw,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lvl w:ilvl="1">
      <w:lvlJc w:val="left"/>
      <w:lvlText w:val="(%2)"/>
      <w:numFmt w:val="lowerLetter"/>
      <w:start w:val="1"/>
    </w:lvl>
  </w:abstractNum>
  <w:abstractNum w:abstractNumId="5">
    <w:nsid w:val="66EF438D"/>
    <w:multiLevelType w:val="hybridMultilevel"/>
    <w:lvl w:ilvl="0">
      <w:lvlJc w:val="left"/>
      <w:lvlText w:val="%1."/>
      <w:numFmt w:val="decimal"/>
      <w:start w:val="9"/>
    </w:lvl>
    <w:lvl w:ilvl="1">
      <w:lvlJc w:val="left"/>
      <w:lvlText w:val="*"/>
      <w:numFmt w:val="bullet"/>
      <w:start w:val="1"/>
    </w:lvl>
  </w:abstractNum>
  <w:abstractNum w:abstractNumId="6">
    <w:nsid w:val="140E0F76"/>
    <w:multiLevelType w:val="hybridMultilevel"/>
    <w:lvl w:ilvl="0">
      <w:lvlJc w:val="left"/>
      <w:lvlText w:val="%1."/>
      <w:numFmt w:val="decimal"/>
      <w:start w:val="1"/>
    </w:lvl>
    <w:lvl w:ilvl="1">
      <w:lvlJc w:val="left"/>
      <w:lvlText w:val="(%2)"/>
      <w:numFmt w:val="lowerLetter"/>
      <w:start w:val="1"/>
    </w:lvl>
  </w:abstractNum>
  <w:abstractNum w:abstractNumId="7">
    <w:nsid w:val="3352255A"/>
    <w:multiLevelType w:val="hybridMultilevel"/>
    <w:lvl w:ilvl="0">
      <w:lvlJc w:val="left"/>
      <w:lvlText w:val="%1."/>
      <w:numFmt w:val="decimal"/>
      <w:start w:val="9"/>
    </w:lvl>
    <w:lvl w:ilvl="1">
      <w:lvlJc w:val="left"/>
      <w:lvlText w:val="*"/>
      <w:numFmt w:val="bullet"/>
      <w:start w:val="1"/>
    </w:lvl>
  </w:abstractNum>
  <w:abstractNum w:abstractNumId="8">
    <w:nsid w:val="109CF92E"/>
    <w:multiLevelType w:val="hybridMultilevel"/>
    <w:lvl w:ilvl="0">
      <w:lvlJc w:val="left"/>
      <w:lvlText w:val="%1."/>
      <w:numFmt w:val="decimal"/>
      <w:start w:val="1"/>
    </w:lvl>
    <w:lvl w:ilvl="1">
      <w:lvlJc w:val="left"/>
      <w:lvlText w:val="(%2)"/>
      <w:numFmt w:val="lowerLetter"/>
      <w:start w:val="1"/>
    </w:lvl>
  </w:abstractNum>
  <w:abstractNum w:abstractNumId="9">
    <w:nsid w:val="DED7263"/>
    <w:multiLevelType w:val="hybridMultilevel"/>
    <w:lvl w:ilvl="0">
      <w:lvlJc w:val="left"/>
      <w:lvlText w:val="%1."/>
      <w:numFmt w:val="decimal"/>
      <w:start w:val="9"/>
    </w:lvl>
    <w:lvl w:ilvl="1">
      <w:lvlJc w:val="left"/>
      <w:lvlText w:val="*"/>
      <w:numFmt w:val="bullet"/>
      <w:start w:val="1"/>
    </w:lvl>
  </w:abstractNum>
  <w:abstractNum w:abstractNumId="10">
    <w:nsid w:val="7FDCC233"/>
    <w:multiLevelType w:val="hybridMultilevel"/>
    <w:lvl w:ilvl="0">
      <w:lvlJc w:val="left"/>
      <w:lvlText w:val="%1."/>
      <w:numFmt w:val="decimal"/>
      <w:start w:val="1"/>
    </w:lvl>
    <w:lvl w:ilvl="1">
      <w:lvlJc w:val="left"/>
      <w:lvlText w:val="(%2)"/>
      <w:numFmt w:val="lowerLetter"/>
      <w:start w:val="1"/>
    </w:lvl>
  </w:abstractNum>
  <w:abstractNum w:abstractNumId="11">
    <w:nsid w:val="1BEFD79F"/>
    <w:multiLevelType w:val="hybridMultilevel"/>
    <w:lvl w:ilvl="0">
      <w:lvlJc w:val="left"/>
      <w:lvlText w:val="%1."/>
      <w:numFmt w:val="decimal"/>
      <w:start w:val="9"/>
    </w:lvl>
    <w:lvl w:ilvl="1">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7"/>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2023-09-25T16:02:53Z</dcterms:created>
  <dcterms:modified xsi:type="dcterms:W3CDTF">2023-09-25T16:02:53Z</dcterms:modified>
</cp:coreProperties>
</file>