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November 23, 2022</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Via EDGAR Submission</w:t>
      </w:r>
    </w:p>
    <w:p>
      <w:pPr>
        <w:spacing w:after="0" w:line="239" w:lineRule="exact"/>
        <w:rPr>
          <w:sz w:val="24"/>
          <w:szCs w:val="24"/>
          <w:color w:val="auto"/>
        </w:rPr>
      </w:pPr>
    </w:p>
    <w:p>
      <w:pPr>
        <w:spacing w:after="0"/>
        <w:rPr>
          <w:sz w:val="20"/>
          <w:szCs w:val="20"/>
          <w:color w:val="auto"/>
        </w:rPr>
      </w:pPr>
      <w:r>
        <w:rPr>
          <w:rFonts w:ascii="Arial" w:cs="Arial" w:eastAsia="Arial" w:hAnsi="Arial"/>
          <w:sz w:val="21"/>
          <w:szCs w:val="21"/>
          <w:color w:val="auto"/>
        </w:rPr>
        <w:t>United States Securities and Exchange Commission</w:t>
      </w:r>
    </w:p>
    <w:p>
      <w:pPr>
        <w:spacing w:after="0" w:line="20" w:lineRule="exact"/>
        <w:rPr>
          <w:sz w:val="24"/>
          <w:szCs w:val="24"/>
          <w:color w:val="auto"/>
        </w:rPr>
      </w:pPr>
    </w:p>
    <w:p>
      <w:pPr>
        <w:spacing w:after="0"/>
        <w:rPr>
          <w:sz w:val="20"/>
          <w:szCs w:val="20"/>
          <w:color w:val="auto"/>
        </w:rPr>
      </w:pPr>
      <w:r>
        <w:rPr>
          <w:rFonts w:ascii="Arial" w:cs="Arial" w:eastAsia="Arial" w:hAnsi="Arial"/>
          <w:sz w:val="19"/>
          <w:szCs w:val="19"/>
          <w:color w:val="auto"/>
        </w:rPr>
        <w:t>Division of Corporation Finance – Office of Life Sciences</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ectPr>
          <w:pgSz w:w="11900" w:h="16838" w:orient="portrait"/>
          <w:cols w:equalWidth="0" w:num="1">
            <w:col w:w="11240"/>
          </w:cols>
          <w:pgMar w:left="320" w:top="469" w:right="339" w:bottom="144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Jessica Ansart</w:t>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color w:val="auto"/>
        </w:rPr>
        <w:t>Abby Adams</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Tara Harkins</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Brian Cascio</w:t>
      </w:r>
    </w:p>
    <w:p>
      <w:pPr>
        <w:spacing w:after="0" w:line="200" w:lineRule="exact"/>
        <w:rPr>
          <w:sz w:val="24"/>
          <w:szCs w:val="24"/>
          <w:color w:val="auto"/>
        </w:rPr>
      </w:pPr>
    </w:p>
    <w:p>
      <w:pPr>
        <w:sectPr>
          <w:pgSz w:w="11900" w:h="16838" w:orient="portrait"/>
          <w:cols w:equalWidth="0" w:num="2">
            <w:col w:w="380" w:space="280"/>
            <w:col w:w="10580"/>
          </w:cols>
          <w:pgMar w:left="320" w:top="469" w:right="339" w:bottom="1440" w:gutter="0" w:footer="0" w:header="0"/>
          <w:type w:val="continuous"/>
        </w:sectPr>
      </w:pP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 2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November 3,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333-267276</w:t>
      </w:r>
    </w:p>
    <w:p>
      <w:pPr>
        <w:spacing w:after="0" w:line="200" w:lineRule="exact"/>
        <w:rPr>
          <w:sz w:val="24"/>
          <w:szCs w:val="24"/>
          <w:color w:val="auto"/>
        </w:rPr>
      </w:pPr>
    </w:p>
    <w:p>
      <w:pPr>
        <w:sectPr>
          <w:pgSz w:w="11900" w:h="16838" w:orient="portrait"/>
          <w:cols w:equalWidth="0" w:num="2">
            <w:col w:w="260" w:space="320"/>
            <w:col w:w="10660"/>
          </w:cols>
          <w:pgMar w:left="320" w:top="469" w:right="3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9"/>
          <w:szCs w:val="19"/>
          <w:color w:val="auto"/>
        </w:rPr>
        <w:t>This letter is being submitted on behalf of Gemini Therapeutics, Inc. (the “Company”) in response to the comments of the staff (the “Staff”) of the Office of Life Sciences of the Division of Corporation Finance of the United States Securities and Exchange Commission with respect to the Company’s Amendment No. 2 to the Registration Statement on Form S-4, filed on November 3, 2022 (the “Second Amended Registration Statement”), as set forth in the Staff’s letter dated November 17, 2022 to Georges Gemayel, Ph.D., Interim President and Chief Executive Officer of the Company (this “Comment Letter”). The Company is concurrently filing its Amendment No. 3 to the Registration Statement (the “Third Amended Registration Statement”), which includes changes to reflect responses to the Staff’s comments and other updates.</w:t>
      </w:r>
    </w:p>
    <w:p>
      <w:pPr>
        <w:spacing w:after="0" w:line="179" w:lineRule="exact"/>
        <w:rPr>
          <w:sz w:val="24"/>
          <w:szCs w:val="24"/>
          <w:color w:val="auto"/>
        </w:rPr>
      </w:pPr>
    </w:p>
    <w:p>
      <w:pPr>
        <w:jc w:val="both"/>
        <w:ind w:firstLine="648"/>
        <w:spacing w:after="0" w:line="246" w:lineRule="auto"/>
        <w:rPr>
          <w:sz w:val="20"/>
          <w:szCs w:val="20"/>
          <w:color w:val="auto"/>
        </w:rPr>
      </w:pPr>
      <w:r>
        <w:rPr>
          <w:rFonts w:ascii="Arial" w:cs="Arial" w:eastAsia="Arial" w:hAnsi="Arial"/>
          <w:sz w:val="21"/>
          <w:szCs w:val="21"/>
          <w:color w:val="auto"/>
        </w:rPr>
        <w:t>For reference purposes, the text of this Comment Letter has been reproduced and italicized herein with the response below the numbered comment. Unless otherwise indicated, the page references in the description of the Staff’s comment refer to the Second Amended Registration Statement, and the page references in the response refer to the Third Amended Registration Statement. Where appropriate, the Company has responded to the Staff’s comments by making changes to the disclosure in the Third Amended Registration Statement. All capitalized terms used and not otherwise defined herein shall have the meanings set forth in the Third Amended Registration Statement. The response provided herein is based upon information provided to Wilmer Cutler Pickering Hale and Dorr LLP by the Company.</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22"/>
          <w:szCs w:val="22"/>
          <w:color w:val="auto"/>
        </w:rPr>
        <w:t>On behalf of the Company, we advise you as follows: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Cover Page</w:t>
      </w:r>
    </w:p>
    <w:p>
      <w:pPr>
        <w:spacing w:after="0" w:line="240" w:lineRule="exact"/>
        <w:rPr>
          <w:sz w:val="24"/>
          <w:szCs w:val="24"/>
          <w:color w:val="auto"/>
        </w:rPr>
      </w:pPr>
    </w:p>
    <w:p>
      <w:pPr>
        <w:ind w:left="500" w:hanging="49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Refer to comment 2. The investors in the Disc pre-closing financing made their investment decision in a private offering and the sale must close privately. Remove the Disc pre-merger financing shares from the registration statement.</w:t>
      </w:r>
    </w:p>
    <w:p>
      <w:pPr>
        <w:spacing w:after="0" w:line="184" w:lineRule="exact"/>
        <w:rPr>
          <w:sz w:val="24"/>
          <w:szCs w:val="24"/>
          <w:color w:val="auto"/>
        </w:rPr>
      </w:pPr>
    </w:p>
    <w:p>
      <w:pPr>
        <w:ind w:firstLine="648"/>
        <w:spacing w:after="0" w:line="280"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shares of Gemini common stock to be issued in exchange for shares of Disc common stock which will</w:t>
      </w:r>
      <w:r>
        <w:rPr>
          <w:rFonts w:ascii="Arial" w:cs="Arial" w:eastAsia="Arial" w:hAnsi="Arial"/>
          <w:sz w:val="19"/>
          <w:szCs w:val="19"/>
          <w:b w:val="1"/>
          <w:bCs w:val="1"/>
          <w:color w:val="auto"/>
        </w:rPr>
        <w:t xml:space="preserve"> </w:t>
      </w:r>
      <w:r>
        <w:rPr>
          <w:rFonts w:ascii="Arial" w:cs="Arial" w:eastAsia="Arial" w:hAnsi="Arial"/>
          <w:sz w:val="19"/>
          <w:szCs w:val="19"/>
          <w:color w:val="auto"/>
        </w:rPr>
        <w:t>have been previously issued in the Disc pre-closing financing have been removed from the registration statement.</w:t>
      </w:r>
    </w:p>
    <w:p>
      <w:pPr>
        <w:spacing w:after="0" w:line="230" w:lineRule="auto"/>
        <w:rPr>
          <w:sz w:val="20"/>
          <w:szCs w:val="20"/>
          <w:color w:val="auto"/>
        </w:rPr>
      </w:pPr>
      <w:r>
        <w:rPr>
          <w:rFonts w:ascii="Arial" w:cs="Arial" w:eastAsia="Arial" w:hAnsi="Arial"/>
          <w:sz w:val="22"/>
          <w:szCs w:val="22"/>
          <w:u w:val="single" w:color="auto"/>
          <w:color w:val="auto"/>
        </w:rPr>
        <w:t>Risk Factors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Risks Related to the Merger, page 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type w:val="continuous"/>
        </w:sectPr>
      </w:pPr>
    </w:p>
    <w:bookmarkStart w:id="1" w:name="page2"/>
    <w:bookmarkEnd w:id="1"/>
    <w:p>
      <w:pPr>
        <w:ind w:left="500" w:right="2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provide a separate risk factor discussion disclosing that the fairness opinion relies on Financial Projections provided by Gemini, which extend 19 years and do not consider the possibility that Disc product candidates do not receive FDA approval.</w:t>
      </w:r>
    </w:p>
    <w:p>
      <w:pPr>
        <w:spacing w:after="0" w:line="184"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Company respectfully advises the Staff that the Company has revised the disclosure on page 26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Third Amended Registration Statement in response to the Staff's comment, as well as in light of discussion with the Staff.</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Gemini Reasons for the Merger, page 149</w:t>
      </w:r>
    </w:p>
    <w:p>
      <w:pPr>
        <w:spacing w:after="0" w:line="240" w:lineRule="exact"/>
        <w:rPr>
          <w:sz w:val="20"/>
          <w:szCs w:val="20"/>
          <w:color w:val="auto"/>
        </w:rPr>
      </w:pPr>
    </w:p>
    <w:p>
      <w:pPr>
        <w:jc w:val="both"/>
        <w:ind w:left="500" w:hanging="492"/>
        <w:spacing w:after="0" w:line="279"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note your response to comment 4 and revised disclosure on pages 149 and 150. Further clarify in your disclosure on page 149 where you cite the "applicable projections period" that the Special Committee and Gemini Board believed was reasonable, that this period extends out through 2041. Additionally, expand your disclosure on page 150 to disclose whether, and if so, how, the Gemini Board’s consideration of projections that extended beyond the next two years may have differed from its consideration of the extended projections out to 2041.</w:t>
      </w:r>
    </w:p>
    <w:p>
      <w:pPr>
        <w:spacing w:after="0" w:line="185"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Company respectfully advises the Staff that the Company has revised the disclosure on page 150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Third Amended Registration Statement in response to the Staff's comment, as well as in light of discussion with the Staff.</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Summary of Financial Analysis, page 157</w:t>
      </w:r>
    </w:p>
    <w:p>
      <w:pPr>
        <w:spacing w:after="0" w:line="240" w:lineRule="exact"/>
        <w:rPr>
          <w:sz w:val="20"/>
          <w:szCs w:val="20"/>
          <w:color w:val="auto"/>
        </w:rPr>
      </w:pPr>
    </w:p>
    <w:p>
      <w:pPr>
        <w:jc w:val="both"/>
        <w:ind w:left="500" w:hanging="492"/>
        <w:spacing w:after="0" w:line="25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your response to comment 6 and reissue the comment in part. Clarify why the financial advisor felt it was appropriate to include a discounted cash flow analysis using the full projections through 2041, given Disc’s development status, and did not propose a shorter time period. Please also disclose the interest rate used for the projections. Additionally, discuss whether the projections factored in the possibility of FDA approval of new competitive products. Ensure that these additional assumptions, to the extent there are any, are also disclosed in the section titled, "Certain Unaudited Financial Projections" beginning on page 159.</w:t>
      </w:r>
    </w:p>
    <w:p>
      <w:pPr>
        <w:spacing w:after="0" w:line="202"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The Company respectfully advises the Staff that the Company has revised the disclosure on pages 157-158 of</w:t>
      </w:r>
      <w:r>
        <w:rPr>
          <w:rFonts w:ascii="Arial" w:cs="Arial" w:eastAsia="Arial" w:hAnsi="Arial"/>
          <w:sz w:val="22"/>
          <w:szCs w:val="22"/>
          <w:b w:val="1"/>
          <w:bCs w:val="1"/>
          <w:color w:val="auto"/>
        </w:rPr>
        <w:t xml:space="preserve"> </w:t>
      </w:r>
      <w:r>
        <w:rPr>
          <w:rFonts w:ascii="Arial" w:cs="Arial" w:eastAsia="Arial" w:hAnsi="Arial"/>
          <w:sz w:val="22"/>
          <w:szCs w:val="22"/>
          <w:color w:val="auto"/>
        </w:rPr>
        <w:t>the Third Amended Registration Statement in response to the Staff's comment.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Certain Unaudited Financial Projections, page 159</w:t>
      </w:r>
    </w:p>
    <w:p>
      <w:pPr>
        <w:spacing w:after="0" w:line="240" w:lineRule="exact"/>
        <w:rPr>
          <w:sz w:val="20"/>
          <w:szCs w:val="20"/>
          <w:color w:val="auto"/>
        </w:rPr>
      </w:pPr>
    </w:p>
    <w:p>
      <w:pPr>
        <w:jc w:val="both"/>
        <w:ind w:left="500" w:hanging="492"/>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reissue comment 9 in part. Revise to further clarify why, or on what basis, Gemini believed the Disc forecasts needed to be adjusted. Furthermore, please revise this section to provide additional detail of the assumptions underlying the projections, quantifying the information to the extent possible. For example:</w:t>
      </w:r>
    </w:p>
    <w:p>
      <w:pPr>
        <w:spacing w:after="0" w:line="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where you describe the loss of patent exclusivity, clarify when in the 19 years the 10 and 12 year changes take place;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 the second bullet point, clarify what product candidates are addressed;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 the third bullet point, quantify the adjustment to Disc's probabilities;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quantify the downward adjustment to Disc's projected net sales;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eliminate the non-exclusive list of "additional assumptions" and clarify that you have disclosed all material assumptions underlying the projections.</w:t>
      </w:r>
    </w:p>
    <w:p>
      <w:pPr>
        <w:spacing w:after="0" w:line="29" w:lineRule="exact"/>
        <w:rPr>
          <w:sz w:val="20"/>
          <w:szCs w:val="20"/>
          <w:color w:val="auto"/>
        </w:rPr>
      </w:pPr>
    </w:p>
    <w:p>
      <w:pPr>
        <w:jc w:val="both"/>
        <w:spacing w:after="0" w:line="243" w:lineRule="auto"/>
        <w:rPr>
          <w:sz w:val="20"/>
          <w:szCs w:val="20"/>
          <w:color w:val="auto"/>
        </w:rPr>
      </w:pPr>
      <w:r>
        <w:rPr>
          <w:rFonts w:ascii="Arial" w:cs="Arial" w:eastAsia="Arial" w:hAnsi="Arial"/>
          <w:sz w:val="21"/>
          <w:szCs w:val="21"/>
          <w:i w:val="1"/>
          <w:iCs w:val="1"/>
          <w:color w:val="auto"/>
        </w:rPr>
        <w:t>Shareholders should be able to discern the assumptions underlying the forecasts that were not altered and what adjustments Gemini made. In addition, include the explanation of the probability of success analysis from page 157, and explain how the probabilities affected the projected free cash flows used in the discounted cash flows analysis through the period ended 2041. Please also explain why Gemini management did not consider the separate possibility that one or more of the Disc product candidates will not successfully complete clinical trials. Finally, revise to further explain the limitations of the projections, including how the projections would be impacted if the assumptions relating to FDA approval, including the timing of FDA approval and the competitive landscape, are not realized.</w:t>
      </w:r>
    </w:p>
    <w:p>
      <w:pPr>
        <w:spacing w:after="0" w:line="208"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Company respectfully advises the Staff that the Company has revised the disclosure on pages 161-163 of</w:t>
      </w:r>
      <w:r>
        <w:rPr>
          <w:rFonts w:ascii="Arial" w:cs="Arial" w:eastAsia="Arial" w:hAnsi="Arial"/>
          <w:sz w:val="19"/>
          <w:szCs w:val="19"/>
          <w:b w:val="1"/>
          <w:bCs w:val="1"/>
          <w:color w:val="auto"/>
        </w:rPr>
        <w:t xml:space="preserve"> </w:t>
      </w:r>
      <w:r>
        <w:rPr>
          <w:rFonts w:ascii="Arial" w:cs="Arial" w:eastAsia="Arial" w:hAnsi="Arial"/>
          <w:sz w:val="19"/>
          <w:szCs w:val="19"/>
          <w:color w:val="auto"/>
        </w:rPr>
        <w:t>the Third Amended Registration Statement in response to the Staff's comment, as well as in light of discussion with the Staff.</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Disc's Business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Disc's Pipeline, page 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 w:name="page3"/>
    <w:bookmarkEnd w:id="2"/>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Refer to comment 10. Revise the pipeline table so the all the fonts are legible, including the footnotes. It is unclear the purpose of the "Development Stage" column, as nothing is indicated below. Generally, that column would be the preclinical stage, and should be no wider than the columns for Phases 1, 2 and 3. Please revise accordingly or advise.</w:t>
      </w:r>
    </w:p>
    <w:p>
      <w:pPr>
        <w:spacing w:after="0" w:line="197"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The Company respectfully advises the Staff that the Company has revised the Disc product pipeline table on</w:t>
      </w:r>
      <w:r>
        <w:rPr>
          <w:rFonts w:ascii="Arial" w:cs="Arial" w:eastAsia="Arial" w:hAnsi="Arial"/>
          <w:sz w:val="22"/>
          <w:szCs w:val="22"/>
          <w:b w:val="1"/>
          <w:bCs w:val="1"/>
          <w:color w:val="auto"/>
        </w:rPr>
        <w:t xml:space="preserve"> </w:t>
      </w:r>
      <w:r>
        <w:rPr>
          <w:rFonts w:ascii="Arial" w:cs="Arial" w:eastAsia="Arial" w:hAnsi="Arial"/>
          <w:sz w:val="22"/>
          <w:szCs w:val="22"/>
          <w:color w:val="auto"/>
        </w:rPr>
        <w:t>page 266 of the Third Amended Registration Statement in response to the Staff’s comment.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2019 Exclusive License Agreement with AbbVie Deutschland GmbH &amp; Co. KG, page 293</w:t>
      </w:r>
    </w:p>
    <w:p>
      <w:pPr>
        <w:spacing w:after="0" w:line="240" w:lineRule="exact"/>
        <w:rPr>
          <w:sz w:val="20"/>
          <w:szCs w:val="20"/>
          <w:color w:val="auto"/>
        </w:rPr>
      </w:pPr>
    </w:p>
    <w:p>
      <w:pPr>
        <w:jc w:val="both"/>
        <w:ind w:left="500" w:hanging="492"/>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note your disclosure on page F-16 that as part of your arrangement with AbbVie, you entered into a stock purchase agreement with AbbVie. Please revise your disclosure here to include a summary of the material terms of this stock purchase agreement. Please also file the stock purchase agreement as an exhibit to the registration statement or, alternatively, provide your analysis supporting your belief that such filing is not required. See Item 601(b)(10) of Regulation S-K.</w:t>
      </w:r>
    </w:p>
    <w:p>
      <w:pPr>
        <w:spacing w:after="0" w:line="20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Company respectfully advises the Staff that the Company has revised the disclosure on pages 295 and F-16 of the Third Amended Registration Statement in response to the Staff’s comment. The Company further advises the Staff that the Company has filed a copy of the stock purchase agreement as Exhibit 10.22 to the Third Amended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Intellectual Property, page 295</w:t>
      </w:r>
    </w:p>
    <w:p>
      <w:pPr>
        <w:spacing w:after="0" w:line="240" w:lineRule="exact"/>
        <w:rPr>
          <w:sz w:val="20"/>
          <w:szCs w:val="20"/>
          <w:color w:val="auto"/>
        </w:rPr>
      </w:pPr>
    </w:p>
    <w:p>
      <w:pPr>
        <w:jc w:val="both"/>
        <w:ind w:left="500" w:hanging="492"/>
        <w:spacing w:after="0" w:line="25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note your response to comment 11 and your revisions to the tabular presentation of your patent applications related to Disc's bitopertin program. We also note that the sixth patent family presented in the table here appears to be in-licensed and will expire in 2032. This patent family does not, however, appear to be described in the paragraph above where you indicate that all six of Disc's patent families are owned and will expire between 2041 and 2043. Please revise your disclosure here so that the summary in tabular form aligns with the disclosure above. Additionally, for each of your patent applications, please indicate the corresponding jurisdictions in which these patents will be issued should the applications be granted. Finally, clarify whether there is a distinction between the United States and the other jurisdictions you provide with respect to your sixth in-licensed patent family.</w:t>
      </w:r>
    </w:p>
    <w:p>
      <w:pPr>
        <w:spacing w:after="0" w:line="20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Company respectfully advises the Staff that the Company has revised each of the four tables in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Intellectual Property </w:t>
      </w:r>
      <w:r>
        <w:rPr>
          <w:rFonts w:ascii="Arial" w:cs="Arial" w:eastAsia="Arial" w:hAnsi="Arial"/>
          <w:sz w:val="19"/>
          <w:szCs w:val="19"/>
          <w:color w:val="auto"/>
        </w:rPr>
        <w:t>section beginning on page 298 of the Third Amended Registration Statement in response to the Staff’s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comment. The Company further advises the staff that it has replaced the first table in the </w:t>
      </w:r>
      <w:r>
        <w:rPr>
          <w:rFonts w:ascii="Arial" w:cs="Arial" w:eastAsia="Arial" w:hAnsi="Arial"/>
          <w:sz w:val="19"/>
          <w:szCs w:val="19"/>
          <w:i w:val="1"/>
          <w:iCs w:val="1"/>
          <w:color w:val="auto"/>
        </w:rPr>
        <w:t>Intellectual Property</w:t>
      </w:r>
      <w:r>
        <w:rPr>
          <w:rFonts w:ascii="Arial" w:cs="Arial" w:eastAsia="Arial" w:hAnsi="Arial"/>
          <w:sz w:val="19"/>
          <w:szCs w:val="19"/>
          <w:color w:val="auto"/>
        </w:rPr>
        <w:t xml:space="preserve"> section beginning on page 298 of the Third Amended Registration Statement to correct an inadvertent error and has further updated the third table in the </w:t>
      </w:r>
      <w:r>
        <w:rPr>
          <w:rFonts w:ascii="Arial" w:cs="Arial" w:eastAsia="Arial" w:hAnsi="Arial"/>
          <w:sz w:val="19"/>
          <w:szCs w:val="19"/>
          <w:i w:val="1"/>
          <w:iCs w:val="1"/>
          <w:color w:val="auto"/>
        </w:rPr>
        <w:t>Intellectual Property</w:t>
      </w:r>
      <w:r>
        <w:rPr>
          <w:rFonts w:ascii="Arial" w:cs="Arial" w:eastAsia="Arial" w:hAnsi="Arial"/>
          <w:sz w:val="19"/>
          <w:szCs w:val="19"/>
          <w:color w:val="auto"/>
        </w:rPr>
        <w:t xml:space="preserve"> section on page 301 in response to the Staff’s specific comments related to such table.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If you require additional information, please telephone the undersigned at (617) 526-6405. Thank you for your assistance.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Nylen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Nylen, Esq.</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cc:</w:t>
      </w:r>
    </w:p>
    <w:p>
      <w:pPr>
        <w:spacing w:after="0" w:line="238" w:lineRule="auto"/>
        <w:rPr>
          <w:sz w:val="20"/>
          <w:szCs w:val="20"/>
          <w:color w:val="auto"/>
        </w:rPr>
      </w:pPr>
      <w:r>
        <w:rPr>
          <w:rFonts w:ascii="Arial" w:cs="Arial" w:eastAsia="Arial" w:hAnsi="Arial"/>
          <w:sz w:val="22"/>
          <w:szCs w:val="22"/>
          <w:color w:val="auto"/>
        </w:rPr>
        <w:t>Georges Gemayel, Ph.D.</w:t>
      </w:r>
    </w:p>
    <w:p>
      <w:pPr>
        <w:spacing w:after="0" w:line="230" w:lineRule="auto"/>
        <w:rPr>
          <w:sz w:val="20"/>
          <w:szCs w:val="20"/>
          <w:color w:val="auto"/>
        </w:rPr>
      </w:pPr>
      <w:r>
        <w:rPr>
          <w:rFonts w:ascii="Arial" w:cs="Arial" w:eastAsia="Arial" w:hAnsi="Arial"/>
          <w:sz w:val="22"/>
          <w:szCs w:val="22"/>
          <w:color w:val="auto"/>
        </w:rPr>
        <w:t>Interim President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Gemini Therapeutics, Inc. /DE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Christopher D. Barnstable-Brown, Esq.</w:t>
      </w:r>
    </w:p>
    <w:p>
      <w:pPr>
        <w:spacing w:after="0" w:line="238" w:lineRule="auto"/>
        <w:rPr>
          <w:sz w:val="20"/>
          <w:szCs w:val="20"/>
          <w:color w:val="auto"/>
        </w:rPr>
      </w:pPr>
      <w:r>
        <w:rPr>
          <w:rFonts w:ascii="Arial" w:cs="Arial" w:eastAsia="Arial" w:hAnsi="Arial"/>
          <w:sz w:val="22"/>
          <w:szCs w:val="22"/>
          <w:color w:val="auto"/>
        </w:rPr>
        <w:t>Stuart M. Falber, Esq.</w:t>
      </w:r>
    </w:p>
    <w:p>
      <w:pPr>
        <w:spacing w:after="0"/>
        <w:rPr>
          <w:sz w:val="20"/>
          <w:szCs w:val="20"/>
          <w:color w:val="auto"/>
        </w:rPr>
      </w:pPr>
      <w:r>
        <w:rPr>
          <w:rFonts w:ascii="Arial" w:cs="Arial" w:eastAsia="Arial" w:hAnsi="Arial"/>
          <w:sz w:val="22"/>
          <w:szCs w:val="22"/>
          <w:i w:val="1"/>
          <w:iCs w:val="1"/>
          <w:color w:val="auto"/>
        </w:rPr>
        <w:t>Wilmer Cutler Pickering Hale and Dorr LLP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William D. Collins, Esq.</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Goodwin Procter LLP</w:t>
      </w:r>
    </w:p>
    <w:sectPr>
      <w:pgSz w:w="11900" w:h="16838" w:orient="portrait"/>
      <w:cols w:equalWidth="0" w:num="1">
        <w:col w:w="10540"/>
      </w:cols>
      <w:pgMar w:left="320" w:top="847"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2023-01-09T00:13:28Z</dcterms:created>
  <dcterms:modified xsi:type="dcterms:W3CDTF">2023-01-09T00:13:28Z</dcterms:modified>
</cp:coreProperties>
</file>