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FS Development Corp.</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600 Montgomery Street, Suite 4500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San Francisco, California 94111</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January 19, 2021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Office of Telecommunications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40"/>
          </w:cols>
          <w:pgMar w:left="320" w:top="449" w:right="339" w:bottom="1440" w:gutter="0" w:footer="0" w:header="0"/>
        </w:sectPr>
      </w:pPr>
    </w:p>
    <w:p>
      <w:pPr>
        <w:spacing w:after="0" w:line="211" w:lineRule="exact"/>
        <w:rPr>
          <w:sz w:val="24"/>
          <w:szCs w:val="24"/>
          <w:color w:val="auto"/>
        </w:rPr>
      </w:pPr>
    </w:p>
    <w:p>
      <w:pPr>
        <w:ind w:left="60"/>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FS Development Corp.</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Amendment No. 5 to Registration Statement on Form S-4</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Filed on January 19, 2021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Registration No. 333-249785</w:t>
      </w:r>
    </w:p>
    <w:p>
      <w:pPr>
        <w:spacing w:after="0" w:line="200" w:lineRule="exact"/>
        <w:rPr>
          <w:sz w:val="24"/>
          <w:szCs w:val="24"/>
          <w:color w:val="auto"/>
        </w:rPr>
      </w:pPr>
    </w:p>
    <w:p>
      <w:pPr>
        <w:sectPr>
          <w:pgSz w:w="11900" w:h="16838" w:orient="portrait"/>
          <w:cols w:equalWidth="0" w:num="2">
            <w:col w:w="320" w:space="500"/>
            <w:col w:w="10420"/>
          </w:cols>
          <w:pgMar w:left="320" w:top="449" w:right="3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120"/>
        <w:spacing w:after="0" w:line="259" w:lineRule="auto"/>
        <w:rPr>
          <w:sz w:val="20"/>
          <w:szCs w:val="20"/>
          <w:color w:val="auto"/>
        </w:rPr>
      </w:pPr>
      <w:r>
        <w:rPr>
          <w:rFonts w:ascii="Arial" w:cs="Arial" w:eastAsia="Arial" w:hAnsi="Arial"/>
          <w:sz w:val="18"/>
          <w:szCs w:val="18"/>
          <w:color w:val="auto"/>
        </w:rPr>
        <w:t>Pursuant to Rule 461 of the General Rules and Regulations of the Securities and Exchange Commission promulgated under the Securities Act of 1933, as amended, FS Development Corp. hereby respectfully requests that the effective date of the above-captioned Registration Statement on Form S-4, as amended (the “Registration Statement”) be accelerated to, and that the Registration Statement be declared effective at, 3:00 p.m., prevailing Eastern Time, on January 19, 2021, or as soon as practicable thereafter.</w:t>
      </w:r>
    </w:p>
    <w:p>
      <w:pPr>
        <w:spacing w:after="0" w:line="187" w:lineRule="exact"/>
        <w:rPr>
          <w:sz w:val="24"/>
          <w:szCs w:val="24"/>
          <w:color w:val="auto"/>
        </w:rPr>
      </w:pPr>
    </w:p>
    <w:p>
      <w:pPr>
        <w:spacing w:after="0"/>
        <w:rPr>
          <w:sz w:val="20"/>
          <w:szCs w:val="20"/>
          <w:color w:val="auto"/>
        </w:rPr>
      </w:pPr>
      <w:r>
        <w:rPr>
          <w:rFonts w:ascii="Arial" w:cs="Arial" w:eastAsia="Arial" w:hAnsi="Arial"/>
          <w:sz w:val="16"/>
          <w:szCs w:val="16"/>
          <w:color w:val="auto"/>
        </w:rPr>
        <w:t>Please contact Joel Rubinstein (joel.rubinstein@whitecase.com / telephone: (212) 819-7642), Bryan J. Luchs (bryan.luchs@whitecase.com / telephone:</w:t>
      </w:r>
    </w:p>
    <w:p>
      <w:pPr>
        <w:spacing w:after="0" w:line="46" w:lineRule="exact"/>
        <w:rPr>
          <w:sz w:val="24"/>
          <w:szCs w:val="24"/>
          <w:color w:val="auto"/>
        </w:rPr>
      </w:pPr>
    </w:p>
    <w:p>
      <w:pPr>
        <w:ind w:right="120" w:firstLine="8"/>
        <w:spacing w:after="0" w:line="260" w:lineRule="auto"/>
        <w:tabs>
          <w:tab w:leader="none" w:pos="435" w:val="left"/>
        </w:tabs>
        <w:numPr>
          <w:ilvl w:val="0"/>
          <w:numId w:val="1"/>
        </w:numPr>
        <w:rPr>
          <w:rFonts w:ascii="Arial" w:cs="Arial" w:eastAsia="Arial" w:hAnsi="Arial"/>
          <w:sz w:val="18"/>
          <w:szCs w:val="18"/>
          <w:color w:val="auto"/>
        </w:rPr>
      </w:pPr>
      <w:r>
        <w:rPr>
          <w:rFonts w:ascii="Arial" w:cs="Arial" w:eastAsia="Arial" w:hAnsi="Arial"/>
          <w:sz w:val="18"/>
          <w:szCs w:val="18"/>
          <w:color w:val="auto"/>
        </w:rPr>
        <w:t>819-7848) or Patti Marks (patti.marks@whitecase.com / telephone: (212) 819-7019) of White &amp; Case LLP with any questions and please notify one or more of them when this request for acceleration has been granted.</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 w:name="page2"/>
    <w:bookmarkEnd w:id="1"/>
    <w:p>
      <w:pPr>
        <w:ind w:left="6752"/>
        <w:spacing w:after="0"/>
        <w:rPr>
          <w:sz w:val="20"/>
          <w:szCs w:val="20"/>
          <w:color w:val="auto"/>
        </w:rPr>
      </w:pPr>
      <w:r>
        <w:rPr>
          <w:rFonts w:ascii="Arial" w:cs="Arial" w:eastAsia="Arial" w:hAnsi="Arial"/>
          <w:sz w:val="18"/>
          <w:szCs w:val="18"/>
          <w:color w:val="auto"/>
        </w:rPr>
        <w:t>Sincerely,</w:t>
      </w:r>
    </w:p>
    <w:p>
      <w:pPr>
        <w:spacing w:after="0" w:line="235" w:lineRule="exact"/>
        <w:rPr>
          <w:sz w:val="20"/>
          <w:szCs w:val="20"/>
          <w:color w:val="auto"/>
        </w:rPr>
      </w:pPr>
    </w:p>
    <w:p>
      <w:pPr>
        <w:ind w:left="6752"/>
        <w:spacing w:after="0"/>
        <w:rPr>
          <w:sz w:val="20"/>
          <w:szCs w:val="20"/>
          <w:color w:val="auto"/>
        </w:rPr>
      </w:pPr>
      <w:r>
        <w:rPr>
          <w:rFonts w:ascii="Arial" w:cs="Arial" w:eastAsia="Arial" w:hAnsi="Arial"/>
          <w:sz w:val="18"/>
          <w:szCs w:val="18"/>
          <w:b w:val="1"/>
          <w:bCs w:val="1"/>
          <w:color w:val="auto"/>
        </w:rPr>
        <w:t>FS Development Corp.</w:t>
      </w:r>
    </w:p>
    <w:p>
      <w:pPr>
        <w:spacing w:after="0" w:line="243" w:lineRule="exact"/>
        <w:rPr>
          <w:sz w:val="20"/>
          <w:szCs w:val="20"/>
          <w:color w:val="auto"/>
        </w:rPr>
      </w:pPr>
    </w:p>
    <w:p>
      <w:pPr>
        <w:ind w:left="6752"/>
        <w:spacing w:after="0"/>
        <w:tabs>
          <w:tab w:leader="none" w:pos="7292"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Dennis Ryan</w:t>
      </w:r>
    </w:p>
    <w:p>
      <w:pPr>
        <w:spacing w:after="0" w:line="36" w:lineRule="exact"/>
        <w:rPr>
          <w:sz w:val="20"/>
          <w:szCs w:val="20"/>
          <w:color w:val="auto"/>
        </w:rPr>
      </w:pPr>
    </w:p>
    <w:p>
      <w:pPr>
        <w:ind w:left="6752"/>
        <w:spacing w:after="0"/>
        <w:rPr>
          <w:sz w:val="20"/>
          <w:szCs w:val="20"/>
          <w:color w:val="auto"/>
        </w:rPr>
      </w:pPr>
      <w:r>
        <w:rPr>
          <w:rFonts w:ascii="Arial" w:cs="Arial" w:eastAsia="Arial" w:hAnsi="Arial"/>
          <w:sz w:val="18"/>
          <w:szCs w:val="18"/>
          <w:color w:val="auto"/>
        </w:rPr>
        <w:t>Name: Dennis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4637405</wp:posOffset>
            </wp:positionH>
            <wp:positionV relativeFrom="paragraph">
              <wp:posOffset>-130175</wp:posOffset>
            </wp:positionV>
            <wp:extent cx="24942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jc w:val="right"/>
        <w:ind w:right="1099"/>
        <w:spacing w:after="0"/>
        <w:tabs>
          <w:tab w:leader="none" w:pos="1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11" w:lineRule="exact"/>
        <w:rPr>
          <w:sz w:val="20"/>
          <w:szCs w:val="20"/>
          <w:color w:val="auto"/>
        </w:rPr>
      </w:pPr>
    </w:p>
    <w:p>
      <w:pPr>
        <w:ind w:left="652" w:hanging="652"/>
        <w:spacing w:after="0"/>
        <w:tabs>
          <w:tab w:leader="none" w:pos="652" w:val="left"/>
        </w:tabs>
        <w:numPr>
          <w:ilvl w:val="0"/>
          <w:numId w:val="2"/>
        </w:numPr>
        <w:rPr>
          <w:rFonts w:ascii="Arial" w:cs="Arial" w:eastAsia="Arial" w:hAnsi="Arial"/>
          <w:sz w:val="18"/>
          <w:szCs w:val="18"/>
          <w:color w:val="auto"/>
        </w:rPr>
      </w:pPr>
      <w:r>
        <w:rPr>
          <w:rFonts w:ascii="Arial" w:cs="Arial" w:eastAsia="Arial" w:hAnsi="Arial"/>
          <w:sz w:val="18"/>
          <w:szCs w:val="18"/>
          <w:color w:val="auto"/>
        </w:rPr>
        <w:t>Jim Tananbaum</w:t>
      </w:r>
    </w:p>
    <w:p>
      <w:pPr>
        <w:spacing w:after="0" w:line="23"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(FS Development Corp.)</w:t>
      </w:r>
    </w:p>
    <w:p>
      <w:pPr>
        <w:spacing w:after="0" w:line="210" w:lineRule="exact"/>
        <w:rPr>
          <w:rFonts w:ascii="Arial" w:cs="Arial" w:eastAsia="Arial" w:hAnsi="Arial"/>
          <w:sz w:val="18"/>
          <w:szCs w:val="18"/>
          <w:color w:val="auto"/>
        </w:rPr>
      </w:pPr>
    </w:p>
    <w:p>
      <w:pPr>
        <w:ind w:left="652" w:right="7979"/>
        <w:spacing w:after="0" w:line="259" w:lineRule="auto"/>
        <w:rPr>
          <w:rFonts w:ascii="Arial" w:cs="Arial" w:eastAsia="Arial" w:hAnsi="Arial"/>
          <w:sz w:val="18"/>
          <w:szCs w:val="18"/>
          <w:color w:val="auto"/>
        </w:rPr>
      </w:pPr>
      <w:r>
        <w:rPr>
          <w:rFonts w:ascii="Arial" w:cs="Arial" w:eastAsia="Arial" w:hAnsi="Arial"/>
          <w:sz w:val="18"/>
          <w:szCs w:val="18"/>
          <w:color w:val="auto"/>
        </w:rPr>
        <w:t>Joel Rubinstein Bryan Luchs Patti Marks (White &amp; Case LLP)</w:t>
      </w:r>
    </w:p>
    <w:p>
      <w:pPr>
        <w:spacing w:after="0" w:line="186" w:lineRule="exact"/>
        <w:rPr>
          <w:rFonts w:ascii="Arial" w:cs="Arial" w:eastAsia="Arial" w:hAnsi="Arial"/>
          <w:sz w:val="18"/>
          <w:szCs w:val="18"/>
          <w:color w:val="auto"/>
        </w:rPr>
      </w:pPr>
    </w:p>
    <w:p>
      <w:pPr>
        <w:ind w:left="652" w:right="7759"/>
        <w:spacing w:after="0" w:line="279" w:lineRule="auto"/>
        <w:rPr>
          <w:rFonts w:ascii="Arial" w:cs="Arial" w:eastAsia="Arial" w:hAnsi="Arial"/>
          <w:sz w:val="18"/>
          <w:szCs w:val="18"/>
          <w:color w:val="auto"/>
        </w:rPr>
      </w:pPr>
      <w:r>
        <w:rPr>
          <w:rFonts w:ascii="Arial" w:cs="Arial" w:eastAsia="Arial" w:hAnsi="Arial"/>
          <w:sz w:val="17"/>
          <w:szCs w:val="17"/>
          <w:color w:val="auto"/>
        </w:rPr>
        <w:t>Mitchell S. Bloom Jocelyn Arel Laurie A. Burlingame (Goodwin Procter LLP)</w:t>
      </w:r>
    </w:p>
    <w:p>
      <w:pPr>
        <w:spacing w:after="0" w:line="171" w:lineRule="exact"/>
        <w:rPr>
          <w:sz w:val="20"/>
          <w:szCs w:val="20"/>
          <w:color w:val="auto"/>
        </w:rPr>
      </w:pPr>
    </w:p>
    <w:p>
      <w:pPr>
        <w:ind w:left="32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No. 5 to S-4 Acceleration Request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288925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1"/>
      </w:cols>
      <w:pgMar w:left="328"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2"/>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2021-02-17T23:07:41Z</dcterms:created>
  <dcterms:modified xsi:type="dcterms:W3CDTF">2021-02-17T23:07:41Z</dcterms:modified>
</cp:coreProperties>
</file>