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September 30, 2023</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9"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For the transition period from __________________ to 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Disc Medicine, Inc.</w:t>
      </w:r>
    </w:p>
    <w:p>
      <w:pPr>
        <w:sectPr>
          <w:pgSz w:w="11900" w:h="16838" w:orient="portrait"/>
          <w:cols w:equalWidth="0" w:num="1">
            <w:col w:w="11240"/>
          </w:cols>
          <w:pgMar w:left="320" w:top="646" w:right="339" w:bottom="1440" w:gutter="0" w:footer="0" w:header="0"/>
        </w:sectPr>
      </w:pPr>
    </w:p>
    <w:p>
      <w:pPr>
        <w:spacing w:after="0" w:line="46"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9"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Delaware</w:t>
      </w:r>
    </w:p>
    <w:p>
      <w:pPr>
        <w:spacing w:after="0" w:line="33"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spacing w:after="0" w:line="4"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85-1612845</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5" w:lineRule="exact"/>
        <w:rPr>
          <w:sz w:val="24"/>
          <w:szCs w:val="24"/>
          <w:color w:val="auto"/>
        </w:rPr>
      </w:pPr>
    </w:p>
    <w:p>
      <w:pPr>
        <w:sectPr>
          <w:pgSz w:w="11900" w:h="16838" w:orient="portrait"/>
          <w:cols w:equalWidth="0" w:num="2">
            <w:col w:w="7520" w:space="340"/>
            <w:col w:w="3380"/>
          </w:cols>
          <w:pgMar w:left="320" w:top="64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320" w:type="dxa"/>
            <w:vAlign w:val="bottom"/>
            <w:gridSpan w:val="8"/>
          </w:tcPr>
          <w:p>
            <w:pPr>
              <w:jc w:val="center"/>
              <w:ind w:right="1700"/>
              <w:spacing w:after="0"/>
              <w:rPr>
                <w:sz w:val="20"/>
                <w:szCs w:val="20"/>
                <w:color w:val="auto"/>
              </w:rPr>
            </w:pPr>
            <w:r>
              <w:rPr>
                <w:rFonts w:ascii="Arial" w:cs="Arial" w:eastAsia="Arial" w:hAnsi="Arial"/>
                <w:sz w:val="17"/>
                <w:szCs w:val="17"/>
                <w:b w:val="1"/>
                <w:bCs w:val="1"/>
                <w:color w:val="auto"/>
                <w:w w:val="90"/>
              </w:rPr>
              <w:t>321 Arsenal Street, Suite 101</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jc w:val="center"/>
              <w:ind w:left="1760"/>
              <w:spacing w:after="0"/>
              <w:rPr>
                <w:sz w:val="20"/>
                <w:szCs w:val="20"/>
                <w:color w:val="auto"/>
              </w:rPr>
            </w:pPr>
            <w:r>
              <w:rPr>
                <w:rFonts w:ascii="Arial" w:cs="Arial" w:eastAsia="Arial" w:hAnsi="Arial"/>
                <w:sz w:val="17"/>
                <w:szCs w:val="17"/>
                <w:b w:val="1"/>
                <w:bCs w:val="1"/>
                <w:color w:val="auto"/>
                <w:w w:val="89"/>
              </w:rPr>
              <w:t>Watertown, Massachusetts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20" w:type="dxa"/>
            <w:vAlign w:val="bottom"/>
          </w:tcPr>
          <w:p>
            <w:pPr>
              <w:jc w:val="right"/>
              <w:ind w:right="2521"/>
              <w:spacing w:after="0"/>
              <w:rPr>
                <w:sz w:val="20"/>
                <w:szCs w:val="20"/>
                <w:color w:val="auto"/>
              </w:rPr>
            </w:pPr>
            <w:r>
              <w:rPr>
                <w:rFonts w:ascii="Arial" w:cs="Arial" w:eastAsia="Arial" w:hAnsi="Arial"/>
                <w:sz w:val="17"/>
                <w:szCs w:val="17"/>
                <w:b w:val="1"/>
                <w:bCs w:val="1"/>
                <w:color w:val="auto"/>
              </w:rPr>
              <w:t>02472</w:t>
            </w:r>
          </w:p>
        </w:tc>
        <w:tc>
          <w:tcPr>
            <w:tcW w:w="0" w:type="dxa"/>
            <w:vAlign w:val="bottom"/>
          </w:tcPr>
          <w:p>
            <w:pPr>
              <w:spacing w:after="0"/>
              <w:rPr>
                <w:sz w:val="1"/>
                <w:szCs w:val="1"/>
                <w:color w:val="auto"/>
              </w:rPr>
            </w:pPr>
          </w:p>
        </w:tc>
      </w:tr>
      <w:tr>
        <w:trPr>
          <w:trHeight w:val="195"/>
        </w:trPr>
        <w:tc>
          <w:tcPr>
            <w:tcW w:w="7320" w:type="dxa"/>
            <w:vAlign w:val="bottom"/>
            <w:gridSpan w:val="8"/>
          </w:tcPr>
          <w:p>
            <w:pPr>
              <w:jc w:val="center"/>
              <w:ind w:right="1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20" w:type="dxa"/>
            <w:vAlign w:val="bottom"/>
          </w:tcPr>
          <w:p>
            <w:pPr>
              <w:jc w:val="center"/>
              <w:ind w:right="162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3"/>
                <w:szCs w:val="23"/>
                <w:color w:val="auto"/>
              </w:rPr>
            </w:pPr>
          </w:p>
        </w:tc>
        <w:tc>
          <w:tcPr>
            <w:tcW w:w="2400" w:type="dxa"/>
            <w:vAlign w:val="bottom"/>
            <w:gridSpan w:val="5"/>
          </w:tcPr>
          <w:p>
            <w:pPr>
              <w:jc w:val="right"/>
              <w:ind w:right="40"/>
              <w:spacing w:after="0"/>
              <w:rPr>
                <w:sz w:val="20"/>
                <w:szCs w:val="20"/>
                <w:color w:val="auto"/>
              </w:rPr>
            </w:pPr>
            <w:r>
              <w:rPr>
                <w:rFonts w:ascii="Arial" w:cs="Arial" w:eastAsia="Arial" w:hAnsi="Arial"/>
                <w:sz w:val="17"/>
                <w:szCs w:val="17"/>
                <w:b w:val="1"/>
                <w:bCs w:val="1"/>
                <w:color w:val="auto"/>
              </w:rPr>
              <w:t>(617) 674-9274</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3520" w:type="dxa"/>
            <w:vAlign w:val="bottom"/>
            <w:gridSpan w:val="7"/>
          </w:tcPr>
          <w:p>
            <w:pPr>
              <w:jc w:val="center"/>
              <w:ind w:left="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800" w:type="dxa"/>
            <w:vAlign w:val="bottom"/>
          </w:tcPr>
          <w:p>
            <w:pPr>
              <w:spacing w:after="0"/>
              <w:rPr>
                <w:sz w:val="21"/>
                <w:szCs w:val="21"/>
                <w:color w:val="auto"/>
              </w:rPr>
            </w:pPr>
          </w:p>
        </w:tc>
        <w:tc>
          <w:tcPr>
            <w:tcW w:w="7440" w:type="dxa"/>
            <w:vAlign w:val="bottom"/>
            <w:gridSpan w:val="8"/>
          </w:tcPr>
          <w:p>
            <w:pPr>
              <w:ind w:left="20"/>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4"/>
        </w:trPr>
        <w:tc>
          <w:tcPr>
            <w:tcW w:w="3800" w:type="dxa"/>
            <w:vAlign w:val="bottom"/>
            <w:vMerge w:val="restart"/>
          </w:tcPr>
          <w:p>
            <w:pPr>
              <w:jc w:val="center"/>
              <w:ind w:left="400"/>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7"/>
              </w:rPr>
              <w:t>Trading</w:t>
            </w:r>
          </w:p>
        </w:tc>
        <w:tc>
          <w:tcPr>
            <w:tcW w:w="3920" w:type="dxa"/>
            <w:vAlign w:val="bottom"/>
            <w:vMerge w:val="restart"/>
          </w:tcPr>
          <w:p>
            <w:pPr>
              <w:jc w:val="center"/>
              <w:ind w:right="1041"/>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1"/>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800" w:type="dxa"/>
            <w:vAlign w:val="bottom"/>
            <w:tcBorders>
              <w:top w:val="single" w:sz="8" w:color="auto"/>
            </w:tcBorders>
          </w:tcPr>
          <w:p>
            <w:pPr>
              <w:jc w:val="center"/>
              <w:ind w:left="420"/>
              <w:spacing w:after="0"/>
              <w:rPr>
                <w:sz w:val="20"/>
                <w:szCs w:val="20"/>
                <w:color w:val="auto"/>
              </w:rPr>
            </w:pPr>
            <w:r>
              <w:rPr>
                <w:rFonts w:ascii="Arial" w:cs="Arial" w:eastAsia="Arial" w:hAnsi="Arial"/>
                <w:sz w:val="17"/>
                <w:szCs w:val="17"/>
                <w:b w:val="1"/>
                <w:bCs w:val="1"/>
                <w:color w:val="auto"/>
                <w:w w:val="91"/>
              </w:rPr>
              <w:t>Common Stock, $0.0001 Par Value</w:t>
            </w: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24"/>
              <w:spacing w:after="0"/>
              <w:rPr>
                <w:sz w:val="20"/>
                <w:szCs w:val="20"/>
                <w:color w:val="auto"/>
              </w:rPr>
            </w:pPr>
            <w:r>
              <w:rPr>
                <w:rFonts w:ascii="Arial" w:cs="Arial" w:eastAsia="Arial" w:hAnsi="Arial"/>
                <w:sz w:val="17"/>
                <w:szCs w:val="17"/>
                <w:b w:val="1"/>
                <w:bCs w:val="1"/>
                <w:color w:val="auto"/>
              </w:rPr>
              <w:t>IRON</w:t>
            </w:r>
          </w:p>
        </w:tc>
        <w:tc>
          <w:tcPr>
            <w:tcW w:w="12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18"/>
                <w:szCs w:val="18"/>
                <w:color w:val="auto"/>
              </w:rPr>
            </w:pPr>
          </w:p>
        </w:tc>
        <w:tc>
          <w:tcPr>
            <w:tcW w:w="3920" w:type="dxa"/>
            <w:vAlign w:val="bottom"/>
            <w:tcBorders>
              <w:top w:val="single" w:sz="8" w:color="auto"/>
            </w:tcBorders>
          </w:tcPr>
          <w:p>
            <w:pPr>
              <w:jc w:val="center"/>
              <w:ind w:right="1041"/>
              <w:spacing w:after="0"/>
              <w:rPr>
                <w:sz w:val="20"/>
                <w:szCs w:val="20"/>
                <w:color w:val="auto"/>
              </w:rPr>
            </w:pPr>
            <w:r>
              <w:rPr>
                <w:rFonts w:ascii="Arial" w:cs="Arial" w:eastAsia="Arial" w:hAnsi="Arial"/>
                <w:sz w:val="17"/>
                <w:szCs w:val="17"/>
                <w:b w:val="1"/>
                <w:bCs w:val="1"/>
                <w:color w:val="auto"/>
                <w:w w:val="93"/>
              </w:rPr>
              <w:t>The Nasdaq Global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80" w:firstLine="599"/>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220" w:firstLine="599"/>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1" w:lineRule="exact"/>
        <w:rPr>
          <w:sz w:val="24"/>
          <w:szCs w:val="24"/>
          <w:color w:val="auto"/>
        </w:rPr>
      </w:pPr>
    </w:p>
    <w:p>
      <w:pPr>
        <w:jc w:val="both"/>
        <w:ind w:right="260" w:firstLine="599"/>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4"/>
        </w:trPr>
        <w:tc>
          <w:tcPr>
            <w:tcW w:w="1900" w:type="dxa"/>
            <w:vAlign w:val="bottom"/>
          </w:tcPr>
          <w:p>
            <w:pPr>
              <w:spacing w:after="0" w:line="174" w:lineRule="exact"/>
              <w:rPr>
                <w:sz w:val="20"/>
                <w:szCs w:val="20"/>
                <w:color w:val="auto"/>
              </w:rPr>
            </w:pPr>
            <w:r>
              <w:rPr>
                <w:rFonts w:ascii="Arial" w:cs="Arial" w:eastAsia="Arial" w:hAnsi="Arial"/>
                <w:sz w:val="17"/>
                <w:szCs w:val="17"/>
                <w:color w:val="auto"/>
              </w:rPr>
              <w:t>Large accelerated filer</w:t>
            </w:r>
          </w:p>
        </w:tc>
        <w:tc>
          <w:tcPr>
            <w:tcW w:w="36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line="174" w:lineRule="exact"/>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Non-accelerated filer</w:t>
            </w:r>
          </w:p>
        </w:tc>
        <w:tc>
          <w:tcPr>
            <w:tcW w:w="36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19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1" w:lineRule="exact"/>
        <w:rPr>
          <w:sz w:val="24"/>
          <w:szCs w:val="24"/>
          <w:color w:val="auto"/>
        </w:rPr>
      </w:pPr>
    </w:p>
    <w:p>
      <w:pPr>
        <w:ind w:right="120" w:firstLine="599"/>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600" w:right="1760"/>
        <w:spacing w:after="0" w:line="25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7, 2023, there were 24,140,428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9"/>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425"/>
        </w:trPr>
        <w:tc>
          <w:tcPr>
            <w:tcW w:w="10440" w:type="dxa"/>
            <w:vAlign w:val="bottom"/>
            <w:gridSpan w:val="26"/>
          </w:tcPr>
          <w:p>
            <w:pPr>
              <w:spacing w:after="0"/>
              <w:rPr>
                <w:sz w:val="20"/>
                <w:szCs w:val="20"/>
                <w:color w:val="auto"/>
              </w:rPr>
            </w:pPr>
            <w:r>
              <w:rPr>
                <w:rFonts w:ascii="Arial" w:cs="Arial" w:eastAsia="Arial" w:hAnsi="Arial"/>
                <w:sz w:val="18"/>
                <w:szCs w:val="18"/>
                <w:b w:val="1"/>
                <w:bCs w:val="1"/>
                <w:color w:val="0000FF"/>
              </w:rPr>
              <w:t>RISK FACTOR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440" w:type="dxa"/>
            <w:vAlign w:val="bottom"/>
            <w:gridSpan w:val="26"/>
          </w:tcPr>
          <w:p>
            <w:pPr>
              <w:spacing w:after="0"/>
              <w:rPr>
                <w:sz w:val="20"/>
                <w:szCs w:val="20"/>
                <w:color w:val="auto"/>
              </w:rPr>
            </w:pPr>
            <w:r>
              <w:rPr>
                <w:rFonts w:ascii="Arial" w:cs="Arial" w:eastAsia="Arial" w:hAnsi="Arial"/>
                <w:sz w:val="18"/>
                <w:szCs w:val="18"/>
                <w:b w:val="1"/>
                <w:bCs w:val="1"/>
                <w:color w:val="0000FF"/>
              </w:rPr>
              <w:t>FORWARD LOOKING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FINANCIAL INFORMATION</w:t>
            </w:r>
          </w:p>
        </w:tc>
        <w:tc>
          <w:tcPr>
            <w:tcW w:w="40" w:type="dxa"/>
            <w:vAlign w:val="bottom"/>
            <w:tcBorders>
              <w:bottom w:val="single" w:sz="8" w:color="0000EE"/>
            </w:tcBorders>
          </w:tcPr>
          <w:p>
            <w:pPr>
              <w:spacing w:after="0"/>
              <w:rPr>
                <w:sz w:val="24"/>
                <w:szCs w:val="24"/>
                <w:color w:val="auto"/>
              </w:rPr>
            </w:pPr>
          </w:p>
        </w:tc>
        <w:tc>
          <w:tcPr>
            <w:tcW w:w="68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4"/>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4"/>
          </w:tcPr>
          <w:p>
            <w:pPr>
              <w:spacing w:after="0"/>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8"/>
              </w:rPr>
              <w:t>Condensed Consolidated Statements of Operations and Comprehensive Loss</w:t>
            </w:r>
          </w:p>
        </w:tc>
        <w:tc>
          <w:tcPr>
            <w:tcW w:w="20" w:type="dxa"/>
            <w:vAlign w:val="bottom"/>
            <w:tcBorders>
              <w:bottom w:val="single" w:sz="8" w:color="0000EE"/>
            </w:tcBorders>
          </w:tcPr>
          <w:p>
            <w:pPr>
              <w:spacing w:after="0"/>
              <w:rPr>
                <w:sz w:val="19"/>
                <w:szCs w:val="19"/>
                <w:color w:val="auto"/>
              </w:rPr>
            </w:pPr>
          </w:p>
        </w:tc>
        <w:tc>
          <w:tcPr>
            <w:tcW w:w="37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Condensed Consolidated Statements of Preferred Stock and Stockholders’ Equity (Deficit)</w:t>
            </w:r>
          </w:p>
        </w:tc>
        <w:tc>
          <w:tcPr>
            <w:tcW w:w="2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9"/>
                <w:szCs w:val="19"/>
                <w:color w:val="auto"/>
              </w:rPr>
            </w:pPr>
          </w:p>
        </w:tc>
        <w:tc>
          <w:tcPr>
            <w:tcW w:w="448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5"/>
          </w:tcPr>
          <w:p>
            <w:pPr>
              <w:spacing w:after="0"/>
              <w:rPr>
                <w:sz w:val="19"/>
                <w:szCs w:val="19"/>
                <w:color w:val="auto"/>
              </w:rPr>
            </w:pPr>
          </w:p>
        </w:tc>
        <w:tc>
          <w:tcPr>
            <w:tcW w:w="28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19"/>
                <w:szCs w:val="19"/>
                <w:color w:val="auto"/>
              </w:rPr>
            </w:pPr>
          </w:p>
        </w:tc>
        <w:tc>
          <w:tcPr>
            <w:tcW w:w="750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4"/>
          </w:tcPr>
          <w:p>
            <w:pPr>
              <w:spacing w:after="0"/>
              <w:rPr>
                <w:sz w:val="20"/>
                <w:szCs w:val="20"/>
                <w:color w:val="auto"/>
              </w:rPr>
            </w:pPr>
            <w:r>
              <w:rPr>
                <w:rFonts w:ascii="Arial" w:cs="Arial" w:eastAsia="Arial" w:hAnsi="Arial"/>
                <w:sz w:val="18"/>
                <w:szCs w:val="18"/>
                <w:b w:val="1"/>
                <w:bCs w:val="1"/>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Legal Proceedings</w:t>
            </w:r>
          </w:p>
        </w:tc>
        <w:tc>
          <w:tcPr>
            <w:tcW w:w="728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3"/>
          </w:tcPr>
          <w:p>
            <w:pPr>
              <w:spacing w:after="0"/>
              <w:rPr>
                <w:sz w:val="19"/>
                <w:szCs w:val="19"/>
                <w:color w:val="auto"/>
              </w:rPr>
            </w:pPr>
          </w:p>
        </w:tc>
        <w:tc>
          <w:tcPr>
            <w:tcW w:w="796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19"/>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57"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net losses since our inception and anticipate that we will continue to incur losses for the foreseeable future.</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have not generated any revenue from product sales.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62" w:lineRule="exact"/>
        <w:rPr>
          <w:rFonts w:ascii="Arial" w:cs="Arial" w:eastAsia="Arial" w:hAnsi="Arial"/>
          <w:sz w:val="18"/>
          <w:szCs w:val="18"/>
          <w:color w:val="auto"/>
        </w:rPr>
      </w:pPr>
    </w:p>
    <w:p>
      <w:pPr>
        <w:ind w:left="760" w:right="2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5" w:lineRule="exact"/>
        <w:rPr>
          <w:rFonts w:ascii="Arial" w:cs="Arial" w:eastAsia="Arial" w:hAnsi="Arial"/>
          <w:sz w:val="16"/>
          <w:szCs w:val="16"/>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15" w:lineRule="exact"/>
        <w:rPr>
          <w:rFonts w:ascii="Arial" w:cs="Arial" w:eastAsia="Arial" w:hAnsi="Arial"/>
          <w:sz w:val="16"/>
          <w:szCs w:val="16"/>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2"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8"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38"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75"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15" w:lineRule="exact"/>
        <w:rPr>
          <w:rFonts w:ascii="Arial" w:cs="Arial" w:eastAsia="Arial" w:hAnsi="Arial"/>
          <w:sz w:val="16"/>
          <w:szCs w:val="16"/>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5"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62"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Phase 2 clinical trials of bitopertin, Phase 1b/2 clinical trials of DISC-0974 and Phase 1 clinical trial of DISC-3405 (formerly known as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760"/>
        <w:spacing w:after="0" w:line="277" w:lineRule="auto"/>
        <w:rPr>
          <w:sz w:val="20"/>
          <w:szCs w:val="20"/>
          <w:color w:val="auto"/>
        </w:rPr>
      </w:pPr>
      <w:r>
        <w:rPr>
          <w:rFonts w:ascii="Arial" w:cs="Arial" w:eastAsia="Arial" w:hAnsi="Arial"/>
          <w:sz w:val="18"/>
          <w:szCs w:val="18"/>
          <w:color w:val="auto"/>
        </w:rPr>
        <w:t>expected deadlines, we may not be able to obtain regulatory approval for or commercialize our product candidates and our business could be substantially harmed.</w:t>
      </w:r>
    </w:p>
    <w:p>
      <w:pPr>
        <w:spacing w:after="0" w:line="62" w:lineRule="exact"/>
        <w:rPr>
          <w:sz w:val="20"/>
          <w:szCs w:val="20"/>
          <w:color w:val="auto"/>
        </w:rPr>
      </w:pPr>
    </w:p>
    <w:p>
      <w:pPr>
        <w:ind w:left="760" w:right="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might not realize the anticipated benefits of our current collaborations with Mabwell or NIH, or any other collaborations we enter into in the future.</w:t>
      </w:r>
    </w:p>
    <w:p>
      <w:pPr>
        <w:spacing w:after="0" w:line="62"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8"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8"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obtain or grant licenses or sublicenses to intellectual property rights in all markets on equally or sufficiently favorable terms with third parties.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experienced scientists and to attract, retain and motivate qualified personnel.</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global economic conditions could adversely affect our business, financial condition or results of operations.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price of our common stock is expected to be volatile.</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incur additional costs and increased demands upon management as a result of complying with the laws and regulations affecting public companies.</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75"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170"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This section contains forward-looking statements. You should refer to the explanation of the qualifications and limitations on forward-looking statements under the caption “Forward Looking Statements” of this Quarterly Report on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jc w:val="both"/>
        <w:ind w:left="760" w:hanging="378"/>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7"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efficiently discover and develop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obtain funding for our operations necessary to complete further development and commercialization of our product candidates;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jc w:val="both"/>
        <w:ind w:left="760" w:hanging="378"/>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76"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of downturns in the economy and the possibility of rapid change in the highly competitive industry in which we operate;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risk that we will need to raise additional capital to execute our business plan, which may not be available on acceptable terms or at all; and</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we experience difficulties in managing our growth and expanding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7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370,541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194,611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374,263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198,491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operating leases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376,497</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8,496</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16,162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22,578</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value right liability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17,523</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23,605</w:t>
            </w:r>
          </w:p>
        </w:tc>
        <w:tc>
          <w:tcPr>
            <w:tcW w:w="100" w:type="dxa"/>
            <w:vAlign w:val="bottom"/>
            <w:tcBorders>
              <w:top w:val="single" w:sz="8" w:color="CFF0FC"/>
            </w:tcBorders>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100,000,000 shares authorized as of</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2023 and December 31, 2022; 24,139,078 and 17,405,231</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issued September 30, 2023 and December 31, 2022, respectively;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24,139,078 and 17,403,315 shares outstanding as of September 30,</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2023 and December 31, 2022,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524,038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288,814</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(165,066 )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(112,216 )</w:t>
            </w:r>
          </w:p>
        </w:tc>
      </w:tr>
      <w:tr>
        <w:trPr>
          <w:trHeight w:val="237"/>
        </w:trPr>
        <w:tc>
          <w:tcPr>
            <w:tcW w:w="77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358,974</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176,600</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376,497</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-3102610</wp:posOffset>
            </wp:positionV>
            <wp:extent cx="122555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5550" cy="1803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-1833880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-351155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2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14,419</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7,886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46,699</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23,421</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4,539</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14,712</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18,958</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32,454</w:t>
            </w: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(61,411</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Change in fair value of contingent value right liability</w:t>
            </w:r>
          </w:p>
        </w:tc>
        <w:tc>
          <w:tcPr>
            <w:tcW w:w="22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(1,500 )</w:t>
            </w:r>
          </w:p>
        </w:tc>
        <w:tc>
          <w:tcPr>
            <w:tcW w:w="36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(5,940 )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(3,450 )</w:t>
            </w: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(14,102 )</w:t>
            </w:r>
          </w:p>
        </w:tc>
        <w:tc>
          <w:tcPr>
            <w:tcW w:w="36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(16,150 )</w:t>
            </w:r>
          </w:p>
        </w:tc>
        <w:tc>
          <w:tcPr>
            <w:tcW w:w="2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(52,783 )</w:t>
            </w: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(35,583 )</w:t>
            </w:r>
          </w:p>
        </w:tc>
      </w:tr>
      <w:tr>
        <w:trPr>
          <w:trHeight w:val="24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(20 )</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(67 )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(14,122 )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(16,150 )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(52,850 )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(35,583 )</w:t>
            </w: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stockholders-basic and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(52,850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outstanding-basic and diluted</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24,316,817</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960,317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21,605,202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943,058</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Net loss per share attributable to common stockholders-basic and diluted</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-2305685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-2305685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-2305685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-2305685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-1045210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-1045210</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-1045210</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-728345</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-728345</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-728345</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-385445</wp:posOffset>
            </wp:positionV>
            <wp:extent cx="269176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91765" cy="2057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130175</wp:posOffset>
            </wp:positionV>
            <wp:extent cx="5915025" cy="570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15025" cy="57023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40" w:type="dxa"/>
            <w:vAlign w:val="bottom"/>
          </w:tcPr>
          <w:p>
            <w:pPr>
              <w:ind w:left="1980"/>
              <w:spacing w:after="0"/>
              <w:rPr>
                <w:sz w:val="20"/>
                <w:szCs w:val="20"/>
                <w:color w:val="auto"/>
              </w:rPr>
            </w:pPr>
            <w:r>
              <w:rPr>
                <w:rFonts w:ascii="Arial" w:cs="Arial" w:eastAsia="Arial" w:hAnsi="Arial"/>
                <w:sz w:val="9"/>
                <w:szCs w:val="9"/>
                <w:color w:val="auto"/>
              </w:rPr>
              <w:t>​</w:t>
            </w: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5"/>
          </w:tcPr>
          <w:p>
            <w:pPr>
              <w:jc w:val="center"/>
              <w:ind w:right="75"/>
              <w:spacing w:after="0"/>
              <w:rPr>
                <w:sz w:val="20"/>
                <w:szCs w:val="20"/>
                <w:color w:val="auto"/>
              </w:rPr>
            </w:pPr>
            <w:r>
              <w:rPr>
                <w:rFonts w:ascii="Arial" w:cs="Arial" w:eastAsia="Arial" w:hAnsi="Arial"/>
                <w:sz w:val="9"/>
                <w:szCs w:val="9"/>
                <w:b w:val="1"/>
                <w:bCs w:val="1"/>
                <w:color w:val="auto"/>
                <w:w w:val="90"/>
              </w:rPr>
              <w:t>Convertible Preferred Stock</w:t>
            </w: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40" w:type="dxa"/>
            <w:vAlign w:val="bottom"/>
          </w:tcPr>
          <w:p>
            <w:pPr>
              <w:spacing w:after="0"/>
              <w:rPr>
                <w:sz w:val="8"/>
                <w:szCs w:val="8"/>
                <w:color w:val="auto"/>
              </w:rPr>
            </w:pPr>
          </w:p>
        </w:tc>
        <w:tc>
          <w:tcPr>
            <w:tcW w:w="940" w:type="dxa"/>
            <w:vAlign w:val="bottom"/>
            <w:gridSpan w:val="2"/>
          </w:tcPr>
          <w:p>
            <w:pPr>
              <w:jc w:val="right"/>
              <w:spacing w:after="0" w:line="102" w:lineRule="exact"/>
              <w:rPr>
                <w:sz w:val="20"/>
                <w:szCs w:val="20"/>
                <w:color w:val="auto"/>
              </w:rPr>
            </w:pPr>
            <w:r>
              <w:rPr>
                <w:rFonts w:ascii="Arial" w:cs="Arial" w:eastAsia="Arial" w:hAnsi="Arial"/>
                <w:sz w:val="9"/>
                <w:szCs w:val="9"/>
                <w:b w:val="1"/>
                <w:bCs w:val="1"/>
                <w:color w:val="auto"/>
              </w:rPr>
              <w:t>Series Seed</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left="535"/>
              <w:spacing w:after="0" w:line="102" w:lineRule="exact"/>
              <w:rPr>
                <w:sz w:val="20"/>
                <w:szCs w:val="20"/>
                <w:color w:val="auto"/>
              </w:rPr>
            </w:pPr>
            <w:r>
              <w:rPr>
                <w:rFonts w:ascii="Arial" w:cs="Arial" w:eastAsia="Arial" w:hAnsi="Arial"/>
                <w:sz w:val="9"/>
                <w:szCs w:val="9"/>
                <w:b w:val="1"/>
                <w:bCs w:val="1"/>
                <w:color w:val="auto"/>
                <w:w w:val="88"/>
              </w:rPr>
              <w:t>Series A</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left="395"/>
              <w:spacing w:after="0" w:line="102" w:lineRule="exact"/>
              <w:rPr>
                <w:sz w:val="20"/>
                <w:szCs w:val="20"/>
                <w:color w:val="auto"/>
              </w:rPr>
            </w:pPr>
            <w:r>
              <w:rPr>
                <w:rFonts w:ascii="Arial" w:cs="Arial" w:eastAsia="Arial" w:hAnsi="Arial"/>
                <w:sz w:val="9"/>
                <w:szCs w:val="9"/>
                <w:b w:val="1"/>
                <w:bCs w:val="1"/>
                <w:color w:val="auto"/>
                <w:w w:val="83"/>
              </w:rPr>
              <w:t>Series B</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3"/>
          </w:tcPr>
          <w:p>
            <w:pPr>
              <w:jc w:val="center"/>
              <w:ind w:left="175"/>
              <w:spacing w:after="0" w:line="102" w:lineRule="exact"/>
              <w:rPr>
                <w:sz w:val="20"/>
                <w:szCs w:val="20"/>
                <w:color w:val="auto"/>
              </w:rPr>
            </w:pPr>
            <w:r>
              <w:rPr>
                <w:rFonts w:ascii="Arial" w:cs="Arial" w:eastAsia="Arial" w:hAnsi="Arial"/>
                <w:sz w:val="9"/>
                <w:szCs w:val="9"/>
                <w:b w:val="1"/>
                <w:bCs w:val="1"/>
                <w:color w:val="auto"/>
                <w:w w:val="90"/>
              </w:rPr>
              <w:t>Common Stock</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center"/>
              <w:ind w:right="135"/>
              <w:spacing w:after="0" w:line="102" w:lineRule="exact"/>
              <w:rPr>
                <w:sz w:val="20"/>
                <w:szCs w:val="20"/>
                <w:color w:val="auto"/>
              </w:rPr>
            </w:pPr>
            <w:r>
              <w:rPr>
                <w:rFonts w:ascii="Arial" w:cs="Arial" w:eastAsia="Arial" w:hAnsi="Arial"/>
                <w:sz w:val="9"/>
                <w:szCs w:val="9"/>
                <w:b w:val="1"/>
                <w:bCs w:val="1"/>
                <w:color w:val="auto"/>
                <w:w w:val="95"/>
              </w:rPr>
              <w:t>Additional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center"/>
              <w:ind w:right="175"/>
              <w:spacing w:after="0" w:line="102"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8"/>
        </w:trPr>
        <w:tc>
          <w:tcPr>
            <w:tcW w:w="2040" w:type="dxa"/>
            <w:vAlign w:val="bottom"/>
          </w:tcPr>
          <w:p>
            <w:pPr>
              <w:ind w:left="1980"/>
              <w:spacing w:after="0"/>
              <w:rPr>
                <w:sz w:val="20"/>
                <w:szCs w:val="20"/>
                <w:color w:val="auto"/>
              </w:rPr>
            </w:pPr>
            <w:r>
              <w:rPr>
                <w:rFonts w:ascii="Arial" w:cs="Arial" w:eastAsia="Arial" w:hAnsi="Arial"/>
                <w:sz w:val="9"/>
                <w:szCs w:val="9"/>
                <w:color w:val="auto"/>
              </w:rPr>
              <w:t>​</w:t>
            </w:r>
          </w:p>
        </w:tc>
        <w:tc>
          <w:tcPr>
            <w:tcW w:w="10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9"/>
                <w:szCs w:val="9"/>
                <w:b w:val="1"/>
                <w:bCs w:val="1"/>
                <w:color w:val="auto"/>
              </w:rPr>
              <w:t>$0.0001 Par Value</w:t>
            </w: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Borders>
              <w:bottom w:val="single" w:sz="8" w:color="auto"/>
            </w:tcBorders>
            <w:gridSpan w:val="5"/>
          </w:tcPr>
          <w:p>
            <w:pPr>
              <w:jc w:val="center"/>
              <w:ind w:right="95"/>
              <w:spacing w:after="0"/>
              <w:rPr>
                <w:sz w:val="20"/>
                <w:szCs w:val="20"/>
                <w:color w:val="auto"/>
              </w:rPr>
            </w:pPr>
            <w:r>
              <w:rPr>
                <w:rFonts w:ascii="Arial" w:cs="Arial" w:eastAsia="Arial" w:hAnsi="Arial"/>
                <w:sz w:val="9"/>
                <w:szCs w:val="9"/>
                <w:b w:val="1"/>
                <w:bCs w:val="1"/>
                <w:color w:val="auto"/>
                <w:w w:val="91"/>
              </w:rPr>
              <w:t>$0.0001 Par Value</w:t>
            </w:r>
          </w:p>
        </w:tc>
        <w:tc>
          <w:tcPr>
            <w:tcW w:w="100" w:type="dxa"/>
            <w:vAlign w:val="bottom"/>
          </w:tcPr>
          <w:p>
            <w:pPr>
              <w:spacing w:after="0"/>
              <w:rPr>
                <w:sz w:val="9"/>
                <w:szCs w:val="9"/>
                <w:color w:val="auto"/>
              </w:rPr>
            </w:pPr>
          </w:p>
        </w:tc>
        <w:tc>
          <w:tcPr>
            <w:tcW w:w="1080" w:type="dxa"/>
            <w:vAlign w:val="bottom"/>
            <w:tcBorders>
              <w:bottom w:val="single" w:sz="8" w:color="auto"/>
            </w:tcBorders>
            <w:gridSpan w:val="3"/>
          </w:tcPr>
          <w:p>
            <w:pPr>
              <w:jc w:val="center"/>
              <w:ind w:left="255"/>
              <w:spacing w:after="0"/>
              <w:rPr>
                <w:sz w:val="20"/>
                <w:szCs w:val="20"/>
                <w:color w:val="auto"/>
              </w:rPr>
            </w:pPr>
            <w:r>
              <w:rPr>
                <w:rFonts w:ascii="Arial" w:cs="Arial" w:eastAsia="Arial" w:hAnsi="Arial"/>
                <w:sz w:val="9"/>
                <w:szCs w:val="9"/>
                <w:b w:val="1"/>
                <w:bCs w:val="1"/>
                <w:color w:val="auto"/>
                <w:w w:val="91"/>
              </w:rPr>
              <w:t>$0.0001 Par Value</w:t>
            </w:r>
          </w:p>
        </w:tc>
        <w:tc>
          <w:tcPr>
            <w:tcW w:w="400" w:type="dxa"/>
            <w:vAlign w:val="bottom"/>
            <w:tcBorders>
              <w:bottom w:val="single" w:sz="8" w:color="auto"/>
            </w:tcBorders>
          </w:tcPr>
          <w:p>
            <w:pPr>
              <w:spacing w:after="0"/>
              <w:rPr>
                <w:sz w:val="9"/>
                <w:szCs w:val="9"/>
                <w:color w:val="auto"/>
              </w:rPr>
            </w:pPr>
          </w:p>
        </w:tc>
        <w:tc>
          <w:tcPr>
            <w:tcW w:w="22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1140" w:type="dxa"/>
            <w:vAlign w:val="bottom"/>
            <w:tcBorders>
              <w:bottom w:val="single" w:sz="8" w:color="auto"/>
            </w:tcBorders>
            <w:gridSpan w:val="3"/>
          </w:tcPr>
          <w:p>
            <w:pPr>
              <w:jc w:val="center"/>
              <w:ind w:left="175"/>
              <w:spacing w:after="0"/>
              <w:rPr>
                <w:sz w:val="20"/>
                <w:szCs w:val="20"/>
                <w:color w:val="auto"/>
              </w:rPr>
            </w:pPr>
            <w:r>
              <w:rPr>
                <w:rFonts w:ascii="Arial" w:cs="Arial" w:eastAsia="Arial" w:hAnsi="Arial"/>
                <w:sz w:val="9"/>
                <w:szCs w:val="9"/>
                <w:b w:val="1"/>
                <w:bCs w:val="1"/>
                <w:color w:val="auto"/>
                <w:w w:val="89"/>
              </w:rPr>
              <w:t>$0.0001 Par Value</w:t>
            </w: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center"/>
              <w:ind w:right="115"/>
              <w:spacing w:after="0"/>
              <w:rPr>
                <w:sz w:val="20"/>
                <w:szCs w:val="20"/>
                <w:color w:val="auto"/>
              </w:rPr>
            </w:pPr>
            <w:r>
              <w:rPr>
                <w:rFonts w:ascii="Arial" w:cs="Arial" w:eastAsia="Arial" w:hAnsi="Arial"/>
                <w:sz w:val="9"/>
                <w:szCs w:val="9"/>
                <w:b w:val="1"/>
                <w:bCs w:val="1"/>
                <w:color w:val="auto"/>
                <w:w w:val="93"/>
              </w:rPr>
              <w:t>Paid-In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155"/>
              <w:spacing w:after="0"/>
              <w:rPr>
                <w:sz w:val="20"/>
                <w:szCs w:val="20"/>
                <w:color w:val="auto"/>
              </w:rPr>
            </w:pPr>
            <w:r>
              <w:rPr>
                <w:rFonts w:ascii="Arial" w:cs="Arial" w:eastAsia="Arial" w:hAnsi="Arial"/>
                <w:sz w:val="9"/>
                <w:szCs w:val="9"/>
                <w:b w:val="1"/>
                <w:bCs w:val="1"/>
                <w:color w:val="auto"/>
                <w:w w:val="88"/>
              </w:rPr>
              <w:t>Accumulated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ind w:right="175"/>
              <w:spacing w:after="0"/>
              <w:rPr>
                <w:sz w:val="20"/>
                <w:szCs w:val="20"/>
                <w:color w:val="auto"/>
              </w:rPr>
            </w:pPr>
            <w:r>
              <w:rPr>
                <w:rFonts w:ascii="Arial" w:cs="Arial" w:eastAsia="Arial" w:hAnsi="Arial"/>
                <w:sz w:val="9"/>
                <w:szCs w:val="9"/>
                <w:b w:val="1"/>
                <w:bCs w:val="1"/>
                <w:color w:val="auto"/>
                <w:w w:val="87"/>
              </w:rPr>
              <w:t>Stockholders’</w:t>
            </w:r>
          </w:p>
        </w:tc>
        <w:tc>
          <w:tcPr>
            <w:tcW w:w="0" w:type="dxa"/>
            <w:vAlign w:val="bottom"/>
          </w:tcPr>
          <w:p>
            <w:pPr>
              <w:spacing w:after="0"/>
              <w:rPr>
                <w:sz w:val="1"/>
                <w:szCs w:val="1"/>
                <w:color w:val="auto"/>
              </w:rPr>
            </w:pPr>
          </w:p>
        </w:tc>
      </w:tr>
      <w:tr>
        <w:trPr>
          <w:trHeight w:val="115"/>
        </w:trPr>
        <w:tc>
          <w:tcPr>
            <w:tcW w:w="2040" w:type="dxa"/>
            <w:vAlign w:val="bottom"/>
          </w:tcPr>
          <w:p>
            <w:pPr>
              <w:ind w:left="1980"/>
              <w:spacing w:after="0"/>
              <w:rPr>
                <w:sz w:val="20"/>
                <w:szCs w:val="20"/>
                <w:color w:val="auto"/>
              </w:rPr>
            </w:pPr>
            <w:r>
              <w:rPr>
                <w:rFonts w:ascii="Arial" w:cs="Arial" w:eastAsia="Arial" w:hAnsi="Arial"/>
                <w:sz w:val="9"/>
                <w:szCs w:val="9"/>
                <w:color w:val="auto"/>
              </w:rPr>
              <w:t>​</w:t>
            </w: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9"/>
                <w:szCs w:val="9"/>
                <w:b w:val="1"/>
                <w:bCs w:val="1"/>
                <w:color w:val="auto"/>
                <w:w w:val="99"/>
              </w:rPr>
              <w:t>Amount</w:t>
            </w:r>
          </w:p>
        </w:tc>
        <w:tc>
          <w:tcPr>
            <w:tcW w:w="120" w:type="dxa"/>
            <w:vAlign w:val="bottom"/>
          </w:tcPr>
          <w:p>
            <w:pPr>
              <w:ind w:left="60"/>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w w:val="88"/>
              </w:rPr>
              <w:t>Amount</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54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9"/>
                <w:szCs w:val="9"/>
                <w:b w:val="1"/>
                <w:bCs w:val="1"/>
                <w:color w:val="auto"/>
              </w:rPr>
              <w:t>Amount</w:t>
            </w:r>
          </w:p>
        </w:tc>
        <w:tc>
          <w:tcPr>
            <w:tcW w:w="22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52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9"/>
                <w:szCs w:val="9"/>
                <w:b w:val="1"/>
                <w:bCs w:val="1"/>
                <w:color w:val="auto"/>
                <w:w w:val="99"/>
              </w:rPr>
              <w:t>Amount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15"/>
              <w:spacing w:after="0"/>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55"/>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75"/>
              <w:spacing w:after="0"/>
              <w:rPr>
                <w:sz w:val="20"/>
                <w:szCs w:val="20"/>
                <w:color w:val="auto"/>
              </w:rPr>
            </w:pPr>
            <w:r>
              <w:rPr>
                <w:rFonts w:ascii="Arial" w:cs="Arial" w:eastAsia="Arial" w:hAnsi="Arial"/>
                <w:sz w:val="9"/>
                <w:szCs w:val="9"/>
                <w:b w:val="1"/>
                <w:bCs w:val="1"/>
                <w:color w:val="auto"/>
                <w:w w:val="87"/>
              </w:rPr>
              <w:t>Deficit</w:t>
            </w:r>
          </w:p>
        </w:tc>
        <w:tc>
          <w:tcPr>
            <w:tcW w:w="0" w:type="dxa"/>
            <w:vAlign w:val="bottom"/>
          </w:tcPr>
          <w:p>
            <w:pPr>
              <w:spacing w:after="0"/>
              <w:rPr>
                <w:sz w:val="1"/>
                <w:szCs w:val="1"/>
                <w:color w:val="auto"/>
              </w:rPr>
            </w:pPr>
          </w:p>
        </w:tc>
      </w:tr>
      <w:tr>
        <w:trPr>
          <w:trHeight w:val="154"/>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9"/>
                <w:szCs w:val="9"/>
                <w:b w:val="1"/>
                <w:bCs w:val="1"/>
                <w:color w:val="auto"/>
              </w:rPr>
              <w:t>Balance at December 31, 2021</w:t>
            </w:r>
          </w:p>
        </w:tc>
        <w:tc>
          <w:tcPr>
            <w:tcW w:w="82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5,000,000</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2,350</w:t>
            </w: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41,666,666</w:t>
            </w:r>
          </w:p>
        </w:tc>
        <w:tc>
          <w:tcPr>
            <w:tcW w:w="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49,762</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37,499,999</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w w:val="94"/>
              </w:rPr>
              <w:t>89,744</w:t>
            </w:r>
          </w:p>
        </w:tc>
        <w:tc>
          <w:tcPr>
            <w:tcW w:w="120" w:type="dxa"/>
            <w:vAlign w:val="bottom"/>
            <w:tcBorders>
              <w:bottom w:val="single" w:sz="8" w:color="CFF0FC"/>
              <w:right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909,418</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w w:val="78"/>
              </w:rPr>
              <w:t>$</w:t>
            </w: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1,185</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(65,389 )</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(64,203 )</w:t>
            </w:r>
          </w:p>
        </w:tc>
        <w:tc>
          <w:tcPr>
            <w:tcW w:w="0" w:type="dxa"/>
            <w:vAlign w:val="bottom"/>
          </w:tcPr>
          <w:p>
            <w:pPr>
              <w:spacing w:after="0"/>
              <w:rPr>
                <w:sz w:val="1"/>
                <w:szCs w:val="1"/>
                <w:color w:val="auto"/>
              </w:rPr>
            </w:pPr>
          </w:p>
        </w:tc>
      </w:tr>
      <w:tr>
        <w:trPr>
          <w:trHeight w:val="82"/>
        </w:trPr>
        <w:tc>
          <w:tcPr>
            <w:tcW w:w="2040" w:type="dxa"/>
            <w:vAlign w:val="bottom"/>
          </w:tcPr>
          <w:p>
            <w:pPr>
              <w:ind w:left="20"/>
              <w:spacing w:after="0" w:line="82" w:lineRule="exact"/>
              <w:rPr>
                <w:sz w:val="20"/>
                <w:szCs w:val="20"/>
                <w:color w:val="auto"/>
              </w:rPr>
            </w:pPr>
            <w:r>
              <w:rPr>
                <w:rFonts w:ascii="Arial" w:cs="Arial" w:eastAsia="Arial" w:hAnsi="Arial"/>
                <w:sz w:val="9"/>
                <w:szCs w:val="9"/>
                <w:color w:val="auto"/>
              </w:rPr>
              <w:t>Issuance of common stock</w:t>
            </w:r>
          </w:p>
        </w:tc>
        <w:tc>
          <w:tcPr>
            <w:tcW w:w="82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40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9"/>
                <w:szCs w:val="9"/>
                <w:color w:val="auto"/>
              </w:rPr>
              <w:t>31,725</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right"/>
              <w:ind w:right="75"/>
              <w:spacing w:after="0"/>
              <w:rPr>
                <w:sz w:val="20"/>
                <w:szCs w:val="20"/>
                <w:color w:val="auto"/>
              </w:rPr>
            </w:pPr>
            <w:r>
              <w:rPr>
                <w:rFonts w:ascii="Arial" w:cs="Arial" w:eastAsia="Arial" w:hAnsi="Arial"/>
                <w:sz w:val="9"/>
                <w:szCs w:val="9"/>
                <w:color w:val="auto"/>
              </w:rPr>
              <w:t>55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9"/>
                <w:szCs w:val="9"/>
                <w:color w:val="auto"/>
              </w:rPr>
              <w:t>55</w:t>
            </w:r>
          </w:p>
        </w:tc>
        <w:tc>
          <w:tcPr>
            <w:tcW w:w="0" w:type="dxa"/>
            <w:vAlign w:val="bottom"/>
          </w:tcPr>
          <w:p>
            <w:pPr>
              <w:spacing w:after="0"/>
              <w:rPr>
                <w:sz w:val="1"/>
                <w:szCs w:val="1"/>
                <w:color w:val="auto"/>
              </w:rPr>
            </w:pPr>
          </w:p>
        </w:tc>
      </w:tr>
      <w:tr>
        <w:trPr>
          <w:trHeight w:val="60"/>
        </w:trPr>
        <w:tc>
          <w:tcPr>
            <w:tcW w:w="2040" w:type="dxa"/>
            <w:vAlign w:val="bottom"/>
            <w:vMerge w:val="restart"/>
          </w:tcPr>
          <w:p>
            <w:pPr>
              <w:ind w:left="80"/>
              <w:spacing w:after="0"/>
              <w:rPr>
                <w:sz w:val="20"/>
                <w:szCs w:val="20"/>
                <w:color w:val="auto"/>
              </w:rPr>
            </w:pPr>
            <w:r>
              <w:rPr>
                <w:rFonts w:ascii="Arial" w:cs="Arial" w:eastAsia="Arial" w:hAnsi="Arial"/>
                <w:sz w:val="9"/>
                <w:szCs w:val="9"/>
                <w:color w:val="auto"/>
              </w:rPr>
              <w:t>upon exercise of stock options</w:t>
            </w: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0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20"/>
              <w:spacing w:after="0"/>
              <w:rPr>
                <w:sz w:val="20"/>
                <w:szCs w:val="20"/>
                <w:color w:val="auto"/>
              </w:rPr>
            </w:pPr>
            <w:r>
              <w:rPr>
                <w:rFonts w:ascii="Arial" w:cs="Arial" w:eastAsia="Arial" w:hAnsi="Arial"/>
                <w:sz w:val="9"/>
                <w:szCs w:val="9"/>
                <w:color w:val="auto"/>
              </w:rPr>
              <w:t>Vesting of restricted common stock</w:t>
            </w:r>
          </w:p>
        </w:tc>
        <w:tc>
          <w:tcPr>
            <w:tcW w:w="8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2,285</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rPr>
                <w:sz w:val="20"/>
                <w:szCs w:val="20"/>
                <w:color w:val="auto"/>
              </w:rPr>
            </w:pPr>
            <w:r>
              <w:rPr>
                <w:rFonts w:ascii="Arial" w:cs="Arial" w:eastAsia="Arial" w:hAnsi="Arial"/>
                <w:sz w:val="9"/>
                <w:szCs w:val="9"/>
                <w:color w:val="auto"/>
              </w:rPr>
              <w:t>Stock-based compensation expense</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332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332</w:t>
            </w:r>
          </w:p>
        </w:tc>
        <w:tc>
          <w:tcPr>
            <w:tcW w:w="0" w:type="dxa"/>
            <w:vAlign w:val="bottom"/>
          </w:tcPr>
          <w:p>
            <w:pPr>
              <w:spacing w:after="0"/>
              <w:rPr>
                <w:sz w:val="1"/>
                <w:szCs w:val="1"/>
                <w:color w:val="auto"/>
              </w:rPr>
            </w:pPr>
          </w:p>
        </w:tc>
      </w:tr>
      <w:tr>
        <w:trPr>
          <w:trHeight w:val="121"/>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9"/>
                <w:szCs w:val="9"/>
                <w:color w:val="auto"/>
              </w:rPr>
              <w:t>Net loss</w:t>
            </w:r>
          </w:p>
        </w:tc>
        <w:tc>
          <w:tcPr>
            <w:tcW w:w="82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(9,853 )</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(9,853 )</w:t>
            </w:r>
          </w:p>
        </w:tc>
        <w:tc>
          <w:tcPr>
            <w:tcW w:w="0" w:type="dxa"/>
            <w:vAlign w:val="bottom"/>
          </w:tcPr>
          <w:p>
            <w:pPr>
              <w:spacing w:after="0"/>
              <w:rPr>
                <w:sz w:val="1"/>
                <w:szCs w:val="1"/>
                <w:color w:val="auto"/>
              </w:rPr>
            </w:pPr>
          </w:p>
        </w:tc>
      </w:tr>
      <w:tr>
        <w:trPr>
          <w:trHeight w:val="115"/>
        </w:trPr>
        <w:tc>
          <w:tcPr>
            <w:tcW w:w="2040" w:type="dxa"/>
            <w:vAlign w:val="bottom"/>
          </w:tcPr>
          <w:p>
            <w:pPr>
              <w:ind w:left="20"/>
              <w:spacing w:after="0"/>
              <w:rPr>
                <w:sz w:val="20"/>
                <w:szCs w:val="20"/>
                <w:color w:val="auto"/>
              </w:rPr>
            </w:pPr>
            <w:r>
              <w:rPr>
                <w:rFonts w:ascii="Arial" w:cs="Arial" w:eastAsia="Arial" w:hAnsi="Arial"/>
                <w:sz w:val="9"/>
                <w:szCs w:val="9"/>
                <w:b w:val="1"/>
                <w:bCs w:val="1"/>
                <w:color w:val="auto"/>
              </w:rPr>
              <w:t>Balance at March 31, 2022</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5,000,000</w:t>
            </w:r>
          </w:p>
        </w:tc>
        <w:tc>
          <w:tcPr>
            <w:tcW w:w="120" w:type="dxa"/>
            <w:vAlign w:val="bottom"/>
          </w:tcPr>
          <w:p>
            <w:pPr>
              <w:spacing w:after="0"/>
              <w:rPr>
                <w:sz w:val="10"/>
                <w:szCs w:val="10"/>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2,350</w:t>
            </w:r>
          </w:p>
        </w:tc>
        <w:tc>
          <w:tcPr>
            <w:tcW w:w="120" w:type="dxa"/>
            <w:vAlign w:val="bottom"/>
          </w:tcPr>
          <w:p>
            <w:pPr>
              <w:spacing w:after="0"/>
              <w:rPr>
                <w:sz w:val="10"/>
                <w:szCs w:val="10"/>
                <w:color w:val="auto"/>
              </w:rPr>
            </w:pPr>
          </w:p>
        </w:tc>
        <w:tc>
          <w:tcPr>
            <w:tcW w:w="860" w:type="dxa"/>
            <w:vAlign w:val="bottom"/>
          </w:tcPr>
          <w:p>
            <w:pPr>
              <w:jc w:val="right"/>
              <w:ind w:right="95"/>
              <w:spacing w:after="0"/>
              <w:rPr>
                <w:sz w:val="20"/>
                <w:szCs w:val="20"/>
                <w:color w:val="auto"/>
              </w:rPr>
            </w:pPr>
            <w:r>
              <w:rPr>
                <w:rFonts w:ascii="Arial" w:cs="Arial" w:eastAsia="Arial" w:hAnsi="Arial"/>
                <w:sz w:val="9"/>
                <w:szCs w:val="9"/>
                <w:color w:val="auto"/>
              </w:rPr>
              <w:t>41,666,666</w:t>
            </w:r>
          </w:p>
        </w:tc>
        <w:tc>
          <w:tcPr>
            <w:tcW w:w="40" w:type="dxa"/>
            <w:vAlign w:val="bottom"/>
          </w:tcPr>
          <w:p>
            <w:pPr>
              <w:spacing w:after="0"/>
              <w:rPr>
                <w:sz w:val="10"/>
                <w:szCs w:val="10"/>
                <w:color w:val="auto"/>
              </w:rPr>
            </w:pP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49,762</w:t>
            </w:r>
          </w:p>
        </w:tc>
        <w:tc>
          <w:tcPr>
            <w:tcW w:w="920" w:type="dxa"/>
            <w:vAlign w:val="bottom"/>
            <w:gridSpan w:val="2"/>
          </w:tcPr>
          <w:p>
            <w:pPr>
              <w:jc w:val="right"/>
              <w:ind w:right="75"/>
              <w:spacing w:after="0"/>
              <w:rPr>
                <w:sz w:val="20"/>
                <w:szCs w:val="20"/>
                <w:color w:val="auto"/>
              </w:rPr>
            </w:pPr>
            <w:r>
              <w:rPr>
                <w:rFonts w:ascii="Arial" w:cs="Arial" w:eastAsia="Arial" w:hAnsi="Arial"/>
                <w:sz w:val="9"/>
                <w:szCs w:val="9"/>
                <w:color w:val="auto"/>
              </w:rPr>
              <w:t>37,499,999</w:t>
            </w:r>
          </w:p>
        </w:tc>
        <w:tc>
          <w:tcPr>
            <w:tcW w:w="120" w:type="dxa"/>
            <w:vAlign w:val="bottom"/>
          </w:tcPr>
          <w:p>
            <w:pPr>
              <w:spacing w:after="0"/>
              <w:rPr>
                <w:sz w:val="10"/>
                <w:szCs w:val="10"/>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ind w:right="75"/>
              <w:spacing w:after="0"/>
              <w:rPr>
                <w:sz w:val="20"/>
                <w:szCs w:val="20"/>
                <w:color w:val="auto"/>
              </w:rPr>
            </w:pPr>
            <w:r>
              <w:rPr>
                <w:rFonts w:ascii="Arial" w:cs="Arial" w:eastAsia="Arial" w:hAnsi="Arial"/>
                <w:sz w:val="9"/>
                <w:szCs w:val="9"/>
                <w:color w:val="auto"/>
                <w:w w:val="94"/>
              </w:rPr>
              <w:t>89,744</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943,428</w:t>
            </w:r>
          </w:p>
        </w:tc>
        <w:tc>
          <w:tcPr>
            <w:tcW w:w="320" w:type="dxa"/>
            <w:vAlign w:val="bottom"/>
            <w:gridSpan w:val="2"/>
          </w:tcPr>
          <w:p>
            <w:pPr>
              <w:jc w:val="right"/>
              <w:ind w:right="95"/>
              <w:spacing w:after="0"/>
              <w:rPr>
                <w:sz w:val="20"/>
                <w:szCs w:val="20"/>
                <w:color w:val="auto"/>
              </w:rPr>
            </w:pPr>
            <w:r>
              <w:rPr>
                <w:rFonts w:ascii="Arial" w:cs="Arial" w:eastAsia="Arial" w:hAnsi="Arial"/>
                <w:sz w:val="9"/>
                <w:szCs w:val="9"/>
                <w:color w:val="auto"/>
              </w:rPr>
              <w:t>$</w:t>
            </w: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1</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1,572</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(75,242 )</w:t>
            </w:r>
          </w:p>
        </w:tc>
        <w:tc>
          <w:tcPr>
            <w:tcW w:w="220" w:type="dxa"/>
            <w:vAlign w:val="bottom"/>
            <w:gridSpan w:val="2"/>
          </w:tcPr>
          <w:p>
            <w:pPr>
              <w:jc w:val="right"/>
              <w:ind w:right="15"/>
              <w:spacing w:after="0"/>
              <w:rPr>
                <w:sz w:val="20"/>
                <w:szCs w:val="20"/>
                <w:color w:val="auto"/>
              </w:rPr>
            </w:pPr>
            <w:r>
              <w:rPr>
                <w:rFonts w:ascii="Arial" w:cs="Arial" w:eastAsia="Arial" w:hAnsi="Arial"/>
                <w:sz w:val="9"/>
                <w:szCs w:val="9"/>
                <w:color w:val="auto"/>
              </w:rPr>
              <w:t>$</w:t>
            </w:r>
          </w:p>
        </w:tc>
        <w:tc>
          <w:tcPr>
            <w:tcW w:w="820" w:type="dxa"/>
            <w:vAlign w:val="bottom"/>
          </w:tcPr>
          <w:p>
            <w:pPr>
              <w:jc w:val="right"/>
              <w:ind w:right="15"/>
              <w:spacing w:after="0"/>
              <w:rPr>
                <w:sz w:val="20"/>
                <w:szCs w:val="20"/>
                <w:color w:val="auto"/>
              </w:rPr>
            </w:pPr>
            <w:r>
              <w:rPr>
                <w:rFonts w:ascii="Arial" w:cs="Arial" w:eastAsia="Arial" w:hAnsi="Arial"/>
                <w:sz w:val="9"/>
                <w:szCs w:val="9"/>
                <w:color w:val="auto"/>
              </w:rPr>
              <w:t>(73,669 )</w:t>
            </w:r>
          </w:p>
        </w:tc>
        <w:tc>
          <w:tcPr>
            <w:tcW w:w="0" w:type="dxa"/>
            <w:vAlign w:val="bottom"/>
          </w:tcPr>
          <w:p>
            <w:pPr>
              <w:spacing w:after="0"/>
              <w:rPr>
                <w:sz w:val="1"/>
                <w:szCs w:val="1"/>
                <w:color w:val="auto"/>
              </w:rPr>
            </w:pPr>
          </w:p>
        </w:tc>
      </w:tr>
      <w:tr>
        <w:trPr>
          <w:trHeight w:val="101"/>
        </w:trPr>
        <w:tc>
          <w:tcPr>
            <w:tcW w:w="2040" w:type="dxa"/>
            <w:vAlign w:val="bottom"/>
            <w:shd w:val="clear" w:color="auto" w:fill="CFF0FC"/>
          </w:tcPr>
          <w:p>
            <w:pPr>
              <w:ind w:left="20"/>
              <w:spacing w:after="0" w:line="102" w:lineRule="exact"/>
              <w:rPr>
                <w:sz w:val="20"/>
                <w:szCs w:val="20"/>
                <w:color w:val="auto"/>
              </w:rPr>
            </w:pPr>
            <w:r>
              <w:rPr>
                <w:rFonts w:ascii="Arial" w:cs="Arial" w:eastAsia="Arial" w:hAnsi="Arial"/>
                <w:sz w:val="9"/>
                <w:szCs w:val="9"/>
                <w:color w:val="auto"/>
              </w:rPr>
              <w:t>Issuance of common stock upon</w:t>
            </w:r>
          </w:p>
        </w:tc>
        <w:tc>
          <w:tcPr>
            <w:tcW w:w="82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8"/>
                <w:szCs w:val="8"/>
                <w:color w:val="auto"/>
              </w:rPr>
            </w:pPr>
          </w:p>
        </w:tc>
        <w:tc>
          <w:tcPr>
            <w:tcW w:w="4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8,768</w:t>
            </w: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86</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86</w:t>
            </w:r>
          </w:p>
        </w:tc>
        <w:tc>
          <w:tcPr>
            <w:tcW w:w="0" w:type="dxa"/>
            <w:vAlign w:val="bottom"/>
          </w:tcPr>
          <w:p>
            <w:pPr>
              <w:spacing w:after="0"/>
              <w:rPr>
                <w:sz w:val="1"/>
                <w:szCs w:val="1"/>
                <w:color w:val="auto"/>
              </w:rPr>
            </w:pPr>
          </w:p>
        </w:tc>
      </w:tr>
      <w:tr>
        <w:trPr>
          <w:trHeight w:val="95"/>
        </w:trPr>
        <w:tc>
          <w:tcPr>
            <w:tcW w:w="2040" w:type="dxa"/>
            <w:vAlign w:val="bottom"/>
            <w:tcBorders>
              <w:bottom w:val="single" w:sz="8" w:color="CFF0FC"/>
            </w:tcBorders>
            <w:shd w:val="clear" w:color="auto" w:fill="CFF0FC"/>
          </w:tcPr>
          <w:p>
            <w:pPr>
              <w:ind w:left="80"/>
              <w:spacing w:after="0" w:line="95" w:lineRule="exact"/>
              <w:rPr>
                <w:sz w:val="20"/>
                <w:szCs w:val="20"/>
                <w:color w:val="auto"/>
              </w:rPr>
            </w:pPr>
            <w:r>
              <w:rPr>
                <w:rFonts w:ascii="Arial" w:cs="Arial" w:eastAsia="Arial" w:hAnsi="Arial"/>
                <w:sz w:val="9"/>
                <w:szCs w:val="9"/>
                <w:color w:val="auto"/>
              </w:rPr>
              <w:t>exercise of stock options</w:t>
            </w: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gridSpan w:val="2"/>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gridSpan w:val="2"/>
            <w:vMerge w:val="continue"/>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right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rPr>
                <w:sz w:val="20"/>
                <w:szCs w:val="20"/>
                <w:color w:val="auto"/>
              </w:rPr>
            </w:pPr>
            <w:r>
              <w:rPr>
                <w:rFonts w:ascii="Arial" w:cs="Arial" w:eastAsia="Arial" w:hAnsi="Arial"/>
                <w:sz w:val="9"/>
                <w:szCs w:val="9"/>
                <w:color w:val="auto"/>
              </w:rPr>
              <w:t>Vesting of restricted common stock</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2,285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20"/>
              <w:spacing w:after="0"/>
              <w:rPr>
                <w:sz w:val="20"/>
                <w:szCs w:val="20"/>
                <w:color w:val="auto"/>
              </w:rPr>
            </w:pPr>
            <w:r>
              <w:rPr>
                <w:rFonts w:ascii="Arial" w:cs="Arial" w:eastAsia="Arial" w:hAnsi="Arial"/>
                <w:sz w:val="9"/>
                <w:szCs w:val="9"/>
                <w:color w:val="auto"/>
              </w:rPr>
              <w:t>Stock-based compensation expense</w:t>
            </w:r>
          </w:p>
        </w:tc>
        <w:tc>
          <w:tcPr>
            <w:tcW w:w="8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382</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382</w:t>
            </w: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rPr>
                <w:sz w:val="20"/>
                <w:szCs w:val="20"/>
                <w:color w:val="auto"/>
              </w:rPr>
            </w:pPr>
            <w:r>
              <w:rPr>
                <w:rFonts w:ascii="Arial" w:cs="Arial" w:eastAsia="Arial" w:hAnsi="Arial"/>
                <w:sz w:val="9"/>
                <w:szCs w:val="9"/>
                <w:color w:val="auto"/>
              </w:rPr>
              <w:t>Net loss</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8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(9,580 )</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(9,580 )</w:t>
            </w:r>
          </w:p>
        </w:tc>
        <w:tc>
          <w:tcPr>
            <w:tcW w:w="0" w:type="dxa"/>
            <w:vAlign w:val="bottom"/>
          </w:tcPr>
          <w:p>
            <w:pPr>
              <w:spacing w:after="0"/>
              <w:rPr>
                <w:sz w:val="1"/>
                <w:szCs w:val="1"/>
                <w:color w:val="auto"/>
              </w:rPr>
            </w:pPr>
          </w:p>
        </w:tc>
      </w:tr>
      <w:tr>
        <w:trPr>
          <w:trHeight w:val="116"/>
        </w:trPr>
        <w:tc>
          <w:tcPr>
            <w:tcW w:w="2040" w:type="dxa"/>
            <w:vAlign w:val="bottom"/>
            <w:shd w:val="clear" w:color="auto" w:fill="CFF0FC"/>
          </w:tcPr>
          <w:p>
            <w:pPr>
              <w:ind w:left="20"/>
              <w:spacing w:after="0"/>
              <w:rPr>
                <w:sz w:val="20"/>
                <w:szCs w:val="20"/>
                <w:color w:val="auto"/>
              </w:rPr>
            </w:pPr>
            <w:r>
              <w:rPr>
                <w:rFonts w:ascii="Arial" w:cs="Arial" w:eastAsia="Arial" w:hAnsi="Arial"/>
                <w:sz w:val="9"/>
                <w:szCs w:val="9"/>
                <w:b w:val="1"/>
                <w:bCs w:val="1"/>
                <w:color w:val="auto"/>
              </w:rPr>
              <w:t>Balance at June 30, 2022</w:t>
            </w:r>
          </w:p>
        </w:tc>
        <w:tc>
          <w:tcPr>
            <w:tcW w:w="8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5,000,000</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2,350</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41,666,666</w:t>
            </w:r>
          </w:p>
        </w:tc>
        <w:tc>
          <w:tcPr>
            <w:tcW w:w="40" w:type="dxa"/>
            <w:vAlign w:val="bottom"/>
            <w:shd w:val="clear" w:color="auto" w:fill="CFF0FC"/>
          </w:tcPr>
          <w:p>
            <w:pPr>
              <w:spacing w:after="0"/>
              <w:rPr>
                <w:sz w:val="10"/>
                <w:szCs w:val="1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49,762</w:t>
            </w:r>
          </w:p>
        </w:tc>
        <w:tc>
          <w:tcPr>
            <w:tcW w:w="920" w:type="dxa"/>
            <w:vAlign w:val="bottom"/>
            <w:gridSpan w:val="2"/>
            <w:shd w:val="clear" w:color="auto" w:fill="CFF0FC"/>
          </w:tcPr>
          <w:p>
            <w:pPr>
              <w:jc w:val="right"/>
              <w:ind w:right="75"/>
              <w:spacing w:after="0"/>
              <w:rPr>
                <w:sz w:val="20"/>
                <w:szCs w:val="20"/>
                <w:color w:val="auto"/>
              </w:rPr>
            </w:pPr>
            <w:r>
              <w:rPr>
                <w:rFonts w:ascii="Arial" w:cs="Arial" w:eastAsia="Arial" w:hAnsi="Arial"/>
                <w:sz w:val="9"/>
                <w:szCs w:val="9"/>
                <w:color w:val="auto"/>
              </w:rPr>
              <w:t>37,499,999</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w w:val="94"/>
              </w:rPr>
              <w:t>89,744</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954,481</w:t>
            </w:r>
          </w:p>
        </w:tc>
        <w:tc>
          <w:tcPr>
            <w:tcW w:w="320" w:type="dxa"/>
            <w:vAlign w:val="bottom"/>
            <w:gridSpan w:val="2"/>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3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w:t>
            </w: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2,040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rPr>
              <w:t>$</w:t>
            </w:r>
          </w:p>
        </w:tc>
        <w:tc>
          <w:tcPr>
            <w:tcW w:w="74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(84,822 )</w:t>
            </w:r>
          </w:p>
        </w:tc>
        <w:tc>
          <w:tcPr>
            <w:tcW w:w="220" w:type="dxa"/>
            <w:vAlign w:val="bottom"/>
            <w:gridSpan w:val="2"/>
            <w:shd w:val="clear" w:color="auto" w:fill="CFF0FC"/>
          </w:tcPr>
          <w:p>
            <w:pPr>
              <w:jc w:val="right"/>
              <w:ind w:right="15"/>
              <w:spacing w:after="0"/>
              <w:rPr>
                <w:sz w:val="20"/>
                <w:szCs w:val="20"/>
                <w:color w:val="auto"/>
              </w:rPr>
            </w:pPr>
            <w:r>
              <w:rPr>
                <w:rFonts w:ascii="Arial" w:cs="Arial" w:eastAsia="Arial" w:hAnsi="Arial"/>
                <w:sz w:val="9"/>
                <w:szCs w:val="9"/>
                <w:color w:val="auto"/>
              </w:rPr>
              <w:t>$</w:t>
            </w:r>
          </w:p>
        </w:tc>
        <w:tc>
          <w:tcPr>
            <w:tcW w:w="820" w:type="dxa"/>
            <w:vAlign w:val="bottom"/>
            <w:shd w:val="clear" w:color="auto" w:fill="CFF0FC"/>
          </w:tcPr>
          <w:p>
            <w:pPr>
              <w:jc w:val="right"/>
              <w:ind w:right="15"/>
              <w:spacing w:after="0"/>
              <w:rPr>
                <w:sz w:val="20"/>
                <w:szCs w:val="20"/>
                <w:color w:val="auto"/>
              </w:rPr>
            </w:pPr>
            <w:r>
              <w:rPr>
                <w:rFonts w:ascii="Arial" w:cs="Arial" w:eastAsia="Arial" w:hAnsi="Arial"/>
                <w:sz w:val="9"/>
                <w:szCs w:val="9"/>
                <w:color w:val="auto"/>
              </w:rPr>
              <w:t>(82,781 )</w:t>
            </w:r>
          </w:p>
        </w:tc>
        <w:tc>
          <w:tcPr>
            <w:tcW w:w="0" w:type="dxa"/>
            <w:vAlign w:val="bottom"/>
          </w:tcPr>
          <w:p>
            <w:pPr>
              <w:spacing w:after="0"/>
              <w:rPr>
                <w:sz w:val="1"/>
                <w:szCs w:val="1"/>
                <w:color w:val="auto"/>
              </w:rPr>
            </w:pPr>
          </w:p>
        </w:tc>
      </w:tr>
      <w:tr>
        <w:trPr>
          <w:trHeight w:val="101"/>
        </w:trPr>
        <w:tc>
          <w:tcPr>
            <w:tcW w:w="2040" w:type="dxa"/>
            <w:vAlign w:val="bottom"/>
          </w:tcPr>
          <w:p>
            <w:pPr>
              <w:ind w:left="20"/>
              <w:spacing w:after="0" w:line="101" w:lineRule="exact"/>
              <w:rPr>
                <w:sz w:val="20"/>
                <w:szCs w:val="20"/>
                <w:color w:val="auto"/>
              </w:rPr>
            </w:pPr>
            <w:r>
              <w:rPr>
                <w:rFonts w:ascii="Arial" w:cs="Arial" w:eastAsia="Arial" w:hAnsi="Arial"/>
                <w:sz w:val="9"/>
                <w:szCs w:val="9"/>
                <w:color w:val="auto"/>
              </w:rPr>
              <w:t>Issuance of common stock upon</w:t>
            </w:r>
          </w:p>
        </w:tc>
        <w:tc>
          <w:tcPr>
            <w:tcW w:w="82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0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9"/>
                <w:szCs w:val="9"/>
                <w:color w:val="auto"/>
              </w:rPr>
              <w:t>8,269</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ind w:right="75"/>
              <w:spacing w:after="0"/>
              <w:rPr>
                <w:sz w:val="20"/>
                <w:szCs w:val="20"/>
                <w:color w:val="auto"/>
              </w:rPr>
            </w:pPr>
            <w:r>
              <w:rPr>
                <w:rFonts w:ascii="Arial" w:cs="Arial" w:eastAsia="Arial" w:hAnsi="Arial"/>
                <w:sz w:val="9"/>
                <w:szCs w:val="9"/>
                <w:color w:val="auto"/>
              </w:rPr>
              <w:t>22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60"/>
        </w:trPr>
        <w:tc>
          <w:tcPr>
            <w:tcW w:w="2040" w:type="dxa"/>
            <w:vAlign w:val="bottom"/>
            <w:vMerge w:val="restart"/>
          </w:tcPr>
          <w:p>
            <w:pPr>
              <w:ind w:left="80"/>
              <w:spacing w:after="0"/>
              <w:rPr>
                <w:sz w:val="20"/>
                <w:szCs w:val="20"/>
                <w:color w:val="auto"/>
              </w:rPr>
            </w:pPr>
            <w:r>
              <w:rPr>
                <w:rFonts w:ascii="Arial" w:cs="Arial" w:eastAsia="Arial" w:hAnsi="Arial"/>
                <w:sz w:val="9"/>
                <w:szCs w:val="9"/>
                <w:color w:val="auto"/>
              </w:rPr>
              <w:t>exercise of stock options</w:t>
            </w: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0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20"/>
              <w:spacing w:after="0"/>
              <w:rPr>
                <w:sz w:val="20"/>
                <w:szCs w:val="20"/>
                <w:color w:val="auto"/>
              </w:rPr>
            </w:pPr>
            <w:r>
              <w:rPr>
                <w:rFonts w:ascii="Arial" w:cs="Arial" w:eastAsia="Arial" w:hAnsi="Arial"/>
                <w:sz w:val="9"/>
                <w:szCs w:val="9"/>
                <w:color w:val="auto"/>
              </w:rPr>
              <w:t>Vesting of restricted common stock</w:t>
            </w:r>
          </w:p>
        </w:tc>
        <w:tc>
          <w:tcPr>
            <w:tcW w:w="8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2,284</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rPr>
                <w:sz w:val="20"/>
                <w:szCs w:val="20"/>
                <w:color w:val="auto"/>
              </w:rPr>
            </w:pPr>
            <w:r>
              <w:rPr>
                <w:rFonts w:ascii="Arial" w:cs="Arial" w:eastAsia="Arial" w:hAnsi="Arial"/>
                <w:sz w:val="9"/>
                <w:szCs w:val="9"/>
                <w:color w:val="auto"/>
              </w:rPr>
              <w:t>Stock-based compensation expense</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382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382</w:t>
            </w:r>
          </w:p>
        </w:tc>
        <w:tc>
          <w:tcPr>
            <w:tcW w:w="0" w:type="dxa"/>
            <w:vAlign w:val="bottom"/>
          </w:tcPr>
          <w:p>
            <w:pPr>
              <w:spacing w:after="0"/>
              <w:rPr>
                <w:sz w:val="1"/>
                <w:szCs w:val="1"/>
                <w:color w:val="auto"/>
              </w:rPr>
            </w:pPr>
          </w:p>
        </w:tc>
      </w:tr>
      <w:tr>
        <w:trPr>
          <w:trHeight w:val="121"/>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9"/>
                <w:szCs w:val="9"/>
                <w:color w:val="auto"/>
              </w:rPr>
              <w:t>Net loss</w:t>
            </w:r>
          </w:p>
        </w:tc>
        <w:tc>
          <w:tcPr>
            <w:tcW w:w="82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(16,150 )</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(16,150 )</w:t>
            </w:r>
          </w:p>
        </w:tc>
        <w:tc>
          <w:tcPr>
            <w:tcW w:w="0" w:type="dxa"/>
            <w:vAlign w:val="bottom"/>
          </w:tcPr>
          <w:p>
            <w:pPr>
              <w:spacing w:after="0"/>
              <w:rPr>
                <w:sz w:val="1"/>
                <w:szCs w:val="1"/>
                <w:color w:val="auto"/>
              </w:rPr>
            </w:pPr>
          </w:p>
        </w:tc>
      </w:tr>
      <w:tr>
        <w:trPr>
          <w:trHeight w:val="115"/>
        </w:trPr>
        <w:tc>
          <w:tcPr>
            <w:tcW w:w="2040" w:type="dxa"/>
            <w:vAlign w:val="bottom"/>
          </w:tcPr>
          <w:p>
            <w:pPr>
              <w:ind w:left="20"/>
              <w:spacing w:after="0"/>
              <w:rPr>
                <w:sz w:val="20"/>
                <w:szCs w:val="20"/>
                <w:color w:val="auto"/>
              </w:rPr>
            </w:pPr>
            <w:r>
              <w:rPr>
                <w:rFonts w:ascii="Arial" w:cs="Arial" w:eastAsia="Arial" w:hAnsi="Arial"/>
                <w:sz w:val="9"/>
                <w:szCs w:val="9"/>
                <w:b w:val="1"/>
                <w:bCs w:val="1"/>
                <w:color w:val="auto"/>
              </w:rPr>
              <w:t>Balance at September 30, 2022</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5,000,000</w:t>
            </w:r>
          </w:p>
        </w:tc>
        <w:tc>
          <w:tcPr>
            <w:tcW w:w="120" w:type="dxa"/>
            <w:vAlign w:val="bottom"/>
          </w:tcPr>
          <w:p>
            <w:pPr>
              <w:spacing w:after="0"/>
              <w:rPr>
                <w:sz w:val="10"/>
                <w:szCs w:val="10"/>
                <w:color w:val="auto"/>
              </w:rPr>
            </w:pPr>
          </w:p>
        </w:tc>
        <w:tc>
          <w:tcPr>
            <w:tcW w:w="14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2,350</w:t>
            </w:r>
          </w:p>
        </w:tc>
        <w:tc>
          <w:tcPr>
            <w:tcW w:w="120" w:type="dxa"/>
            <w:vAlign w:val="bottom"/>
          </w:tcPr>
          <w:p>
            <w:pPr>
              <w:spacing w:after="0"/>
              <w:rPr>
                <w:sz w:val="10"/>
                <w:szCs w:val="10"/>
                <w:color w:val="auto"/>
              </w:rPr>
            </w:pPr>
          </w:p>
        </w:tc>
        <w:tc>
          <w:tcPr>
            <w:tcW w:w="8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41,666,666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49,762</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37,499,999</w:t>
            </w:r>
          </w:p>
        </w:tc>
        <w:tc>
          <w:tcPr>
            <w:tcW w:w="120" w:type="dxa"/>
            <w:vAlign w:val="bottom"/>
          </w:tcPr>
          <w:p>
            <w:pPr>
              <w:spacing w:after="0"/>
              <w:rPr>
                <w:sz w:val="10"/>
                <w:szCs w:val="10"/>
                <w:color w:val="auto"/>
              </w:rPr>
            </w:pPr>
          </w:p>
        </w:tc>
        <w:tc>
          <w:tcPr>
            <w:tcW w:w="14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w w:val="94"/>
              </w:rPr>
              <w:t>89,744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965,034</w:t>
            </w:r>
          </w:p>
        </w:tc>
        <w:tc>
          <w:tcPr>
            <w:tcW w:w="120" w:type="dxa"/>
            <w:vAlign w:val="bottom"/>
          </w:tcPr>
          <w:p>
            <w:pPr>
              <w:spacing w:after="0"/>
              <w:rPr>
                <w:sz w:val="10"/>
                <w:szCs w:val="10"/>
                <w:color w:val="auto"/>
              </w:rPr>
            </w:pPr>
          </w:p>
        </w:tc>
        <w:tc>
          <w:tcPr>
            <w:tcW w:w="2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w w:val="78"/>
              </w:rPr>
              <w:t>$</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2,444</w:t>
            </w:r>
          </w:p>
        </w:tc>
        <w:tc>
          <w:tcPr>
            <w:tcW w:w="12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(100,972 )</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(98,527 )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40" w:type="dxa"/>
            <w:vAlign w:val="bottom"/>
          </w:tcPr>
          <w:p>
            <w:pPr>
              <w:ind w:left="1980"/>
              <w:spacing w:after="0"/>
              <w:rPr>
                <w:sz w:val="20"/>
                <w:szCs w:val="20"/>
                <w:color w:val="auto"/>
              </w:rPr>
            </w:pPr>
            <w:r>
              <w:rPr>
                <w:rFonts w:ascii="Arial" w:cs="Arial" w:eastAsia="Arial" w:hAnsi="Arial"/>
                <w:sz w:val="9"/>
                <w:szCs w:val="9"/>
                <w:color w:val="auto"/>
              </w:rPr>
              <w:t>​</w:t>
            </w: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right="75"/>
              <w:spacing w:after="0"/>
              <w:rPr>
                <w:sz w:val="20"/>
                <w:szCs w:val="20"/>
                <w:color w:val="auto"/>
              </w:rPr>
            </w:pPr>
            <w:r>
              <w:rPr>
                <w:rFonts w:ascii="Arial" w:cs="Arial" w:eastAsia="Arial" w:hAnsi="Arial"/>
                <w:sz w:val="9"/>
                <w:szCs w:val="9"/>
                <w:b w:val="1"/>
                <w:bCs w:val="1"/>
                <w:color w:val="auto"/>
                <w:w w:val="90"/>
              </w:rPr>
              <w:t>Convertible Preferred Stock</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40" w:type="dxa"/>
            <w:vAlign w:val="bottom"/>
          </w:tcPr>
          <w:p>
            <w:pPr>
              <w:spacing w:after="0"/>
              <w:rPr>
                <w:sz w:val="8"/>
                <w:szCs w:val="8"/>
                <w:color w:val="auto"/>
              </w:rPr>
            </w:pPr>
          </w:p>
        </w:tc>
        <w:tc>
          <w:tcPr>
            <w:tcW w:w="940" w:type="dxa"/>
            <w:vAlign w:val="bottom"/>
            <w:gridSpan w:val="2"/>
          </w:tcPr>
          <w:p>
            <w:pPr>
              <w:jc w:val="right"/>
              <w:spacing w:after="0" w:line="102" w:lineRule="exact"/>
              <w:rPr>
                <w:sz w:val="20"/>
                <w:szCs w:val="20"/>
                <w:color w:val="auto"/>
              </w:rPr>
            </w:pPr>
            <w:r>
              <w:rPr>
                <w:rFonts w:ascii="Arial" w:cs="Arial" w:eastAsia="Arial" w:hAnsi="Arial"/>
                <w:sz w:val="9"/>
                <w:szCs w:val="9"/>
                <w:b w:val="1"/>
                <w:bCs w:val="1"/>
                <w:color w:val="auto"/>
              </w:rPr>
              <w:t>Series Seed</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left="535"/>
              <w:spacing w:after="0" w:line="102" w:lineRule="exact"/>
              <w:rPr>
                <w:sz w:val="20"/>
                <w:szCs w:val="20"/>
                <w:color w:val="auto"/>
              </w:rPr>
            </w:pPr>
            <w:r>
              <w:rPr>
                <w:rFonts w:ascii="Arial" w:cs="Arial" w:eastAsia="Arial" w:hAnsi="Arial"/>
                <w:sz w:val="9"/>
                <w:szCs w:val="9"/>
                <w:b w:val="1"/>
                <w:bCs w:val="1"/>
                <w:color w:val="auto"/>
                <w:w w:val="88"/>
              </w:rPr>
              <w:t>Series A</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left="395"/>
              <w:spacing w:after="0" w:line="102" w:lineRule="exact"/>
              <w:rPr>
                <w:sz w:val="20"/>
                <w:szCs w:val="20"/>
                <w:color w:val="auto"/>
              </w:rPr>
            </w:pPr>
            <w:r>
              <w:rPr>
                <w:rFonts w:ascii="Arial" w:cs="Arial" w:eastAsia="Arial" w:hAnsi="Arial"/>
                <w:sz w:val="9"/>
                <w:szCs w:val="9"/>
                <w:b w:val="1"/>
                <w:bCs w:val="1"/>
                <w:color w:val="auto"/>
                <w:w w:val="83"/>
              </w:rPr>
              <w:t>Series B</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3"/>
          </w:tcPr>
          <w:p>
            <w:pPr>
              <w:jc w:val="center"/>
              <w:ind w:left="175"/>
              <w:spacing w:after="0" w:line="102" w:lineRule="exact"/>
              <w:rPr>
                <w:sz w:val="20"/>
                <w:szCs w:val="20"/>
                <w:color w:val="auto"/>
              </w:rPr>
            </w:pPr>
            <w:r>
              <w:rPr>
                <w:rFonts w:ascii="Arial" w:cs="Arial" w:eastAsia="Arial" w:hAnsi="Arial"/>
                <w:sz w:val="9"/>
                <w:szCs w:val="9"/>
                <w:b w:val="1"/>
                <w:bCs w:val="1"/>
                <w:color w:val="auto"/>
                <w:w w:val="90"/>
              </w:rPr>
              <w:t>Common Stock</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center"/>
              <w:ind w:right="135"/>
              <w:spacing w:after="0" w:line="102" w:lineRule="exact"/>
              <w:rPr>
                <w:sz w:val="20"/>
                <w:szCs w:val="20"/>
                <w:color w:val="auto"/>
              </w:rPr>
            </w:pPr>
            <w:r>
              <w:rPr>
                <w:rFonts w:ascii="Arial" w:cs="Arial" w:eastAsia="Arial" w:hAnsi="Arial"/>
                <w:sz w:val="9"/>
                <w:szCs w:val="9"/>
                <w:b w:val="1"/>
                <w:bCs w:val="1"/>
                <w:color w:val="auto"/>
                <w:w w:val="95"/>
              </w:rPr>
              <w:t>Additional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center"/>
              <w:ind w:right="175"/>
              <w:spacing w:after="0" w:line="102"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8"/>
        </w:trPr>
        <w:tc>
          <w:tcPr>
            <w:tcW w:w="2040" w:type="dxa"/>
            <w:vAlign w:val="bottom"/>
          </w:tcPr>
          <w:p>
            <w:pPr>
              <w:ind w:left="1980"/>
              <w:spacing w:after="0"/>
              <w:rPr>
                <w:sz w:val="20"/>
                <w:szCs w:val="20"/>
                <w:color w:val="auto"/>
              </w:rPr>
            </w:pPr>
            <w:r>
              <w:rPr>
                <w:rFonts w:ascii="Arial" w:cs="Arial" w:eastAsia="Arial" w:hAnsi="Arial"/>
                <w:sz w:val="9"/>
                <w:szCs w:val="9"/>
                <w:color w:val="auto"/>
              </w:rPr>
              <w:t>​</w:t>
            </w:r>
          </w:p>
        </w:tc>
        <w:tc>
          <w:tcPr>
            <w:tcW w:w="10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9"/>
                <w:szCs w:val="9"/>
                <w:b w:val="1"/>
                <w:bCs w:val="1"/>
                <w:color w:val="auto"/>
              </w:rPr>
              <w:t>$0.0001 Par Value</w:t>
            </w: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Borders>
              <w:bottom w:val="single" w:sz="8" w:color="auto"/>
            </w:tcBorders>
            <w:gridSpan w:val="5"/>
          </w:tcPr>
          <w:p>
            <w:pPr>
              <w:jc w:val="center"/>
              <w:ind w:right="95"/>
              <w:spacing w:after="0"/>
              <w:rPr>
                <w:sz w:val="20"/>
                <w:szCs w:val="20"/>
                <w:color w:val="auto"/>
              </w:rPr>
            </w:pPr>
            <w:r>
              <w:rPr>
                <w:rFonts w:ascii="Arial" w:cs="Arial" w:eastAsia="Arial" w:hAnsi="Arial"/>
                <w:sz w:val="9"/>
                <w:szCs w:val="9"/>
                <w:b w:val="1"/>
                <w:bCs w:val="1"/>
                <w:color w:val="auto"/>
                <w:w w:val="91"/>
              </w:rPr>
              <w:t>$0.0001 Par Value</w:t>
            </w:r>
          </w:p>
        </w:tc>
        <w:tc>
          <w:tcPr>
            <w:tcW w:w="100" w:type="dxa"/>
            <w:vAlign w:val="bottom"/>
          </w:tcPr>
          <w:p>
            <w:pPr>
              <w:spacing w:after="0"/>
              <w:rPr>
                <w:sz w:val="9"/>
                <w:szCs w:val="9"/>
                <w:color w:val="auto"/>
              </w:rPr>
            </w:pPr>
          </w:p>
        </w:tc>
        <w:tc>
          <w:tcPr>
            <w:tcW w:w="1080" w:type="dxa"/>
            <w:vAlign w:val="bottom"/>
            <w:tcBorders>
              <w:bottom w:val="single" w:sz="8" w:color="auto"/>
            </w:tcBorders>
            <w:gridSpan w:val="3"/>
          </w:tcPr>
          <w:p>
            <w:pPr>
              <w:jc w:val="center"/>
              <w:ind w:left="255"/>
              <w:spacing w:after="0"/>
              <w:rPr>
                <w:sz w:val="20"/>
                <w:szCs w:val="20"/>
                <w:color w:val="auto"/>
              </w:rPr>
            </w:pPr>
            <w:r>
              <w:rPr>
                <w:rFonts w:ascii="Arial" w:cs="Arial" w:eastAsia="Arial" w:hAnsi="Arial"/>
                <w:sz w:val="9"/>
                <w:szCs w:val="9"/>
                <w:b w:val="1"/>
                <w:bCs w:val="1"/>
                <w:color w:val="auto"/>
                <w:w w:val="91"/>
              </w:rPr>
              <w:t>$0.0001 Par Value</w:t>
            </w:r>
          </w:p>
        </w:tc>
        <w:tc>
          <w:tcPr>
            <w:tcW w:w="400" w:type="dxa"/>
            <w:vAlign w:val="bottom"/>
            <w:tcBorders>
              <w:bottom w:val="single" w:sz="8" w:color="auto"/>
            </w:tcBorders>
          </w:tcPr>
          <w:p>
            <w:pPr>
              <w:spacing w:after="0"/>
              <w:rPr>
                <w:sz w:val="9"/>
                <w:szCs w:val="9"/>
                <w:color w:val="auto"/>
              </w:rPr>
            </w:pPr>
          </w:p>
        </w:tc>
        <w:tc>
          <w:tcPr>
            <w:tcW w:w="22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1140" w:type="dxa"/>
            <w:vAlign w:val="bottom"/>
            <w:tcBorders>
              <w:bottom w:val="single" w:sz="8" w:color="auto"/>
            </w:tcBorders>
            <w:gridSpan w:val="3"/>
          </w:tcPr>
          <w:p>
            <w:pPr>
              <w:jc w:val="center"/>
              <w:ind w:left="175"/>
              <w:spacing w:after="0"/>
              <w:rPr>
                <w:sz w:val="20"/>
                <w:szCs w:val="20"/>
                <w:color w:val="auto"/>
              </w:rPr>
            </w:pPr>
            <w:r>
              <w:rPr>
                <w:rFonts w:ascii="Arial" w:cs="Arial" w:eastAsia="Arial" w:hAnsi="Arial"/>
                <w:sz w:val="9"/>
                <w:szCs w:val="9"/>
                <w:b w:val="1"/>
                <w:bCs w:val="1"/>
                <w:color w:val="auto"/>
                <w:w w:val="89"/>
              </w:rPr>
              <w:t>$0.0001 Par Value</w:t>
            </w: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center"/>
              <w:ind w:right="115"/>
              <w:spacing w:after="0"/>
              <w:rPr>
                <w:sz w:val="20"/>
                <w:szCs w:val="20"/>
                <w:color w:val="auto"/>
              </w:rPr>
            </w:pPr>
            <w:r>
              <w:rPr>
                <w:rFonts w:ascii="Arial" w:cs="Arial" w:eastAsia="Arial" w:hAnsi="Arial"/>
                <w:sz w:val="9"/>
                <w:szCs w:val="9"/>
                <w:b w:val="1"/>
                <w:bCs w:val="1"/>
                <w:color w:val="auto"/>
                <w:w w:val="93"/>
              </w:rPr>
              <w:t>Paid-In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155"/>
              <w:spacing w:after="0"/>
              <w:rPr>
                <w:sz w:val="20"/>
                <w:szCs w:val="20"/>
                <w:color w:val="auto"/>
              </w:rPr>
            </w:pPr>
            <w:r>
              <w:rPr>
                <w:rFonts w:ascii="Arial" w:cs="Arial" w:eastAsia="Arial" w:hAnsi="Arial"/>
                <w:sz w:val="9"/>
                <w:szCs w:val="9"/>
                <w:b w:val="1"/>
                <w:bCs w:val="1"/>
                <w:color w:val="auto"/>
                <w:w w:val="88"/>
              </w:rPr>
              <w:t>Accumulated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ind w:right="175"/>
              <w:spacing w:after="0"/>
              <w:rPr>
                <w:sz w:val="20"/>
                <w:szCs w:val="20"/>
                <w:color w:val="auto"/>
              </w:rPr>
            </w:pPr>
            <w:r>
              <w:rPr>
                <w:rFonts w:ascii="Arial" w:cs="Arial" w:eastAsia="Arial" w:hAnsi="Arial"/>
                <w:sz w:val="9"/>
                <w:szCs w:val="9"/>
                <w:b w:val="1"/>
                <w:bCs w:val="1"/>
                <w:color w:val="auto"/>
                <w:w w:val="87"/>
              </w:rPr>
              <w:t>Stockholders’</w:t>
            </w:r>
          </w:p>
        </w:tc>
        <w:tc>
          <w:tcPr>
            <w:tcW w:w="0" w:type="dxa"/>
            <w:vAlign w:val="bottom"/>
          </w:tcPr>
          <w:p>
            <w:pPr>
              <w:spacing w:after="0"/>
              <w:rPr>
                <w:sz w:val="1"/>
                <w:szCs w:val="1"/>
                <w:color w:val="auto"/>
              </w:rPr>
            </w:pPr>
          </w:p>
        </w:tc>
      </w:tr>
      <w:tr>
        <w:trPr>
          <w:trHeight w:val="115"/>
        </w:trPr>
        <w:tc>
          <w:tcPr>
            <w:tcW w:w="2040" w:type="dxa"/>
            <w:vAlign w:val="bottom"/>
          </w:tcPr>
          <w:p>
            <w:pPr>
              <w:ind w:left="1980"/>
              <w:spacing w:after="0"/>
              <w:rPr>
                <w:sz w:val="20"/>
                <w:szCs w:val="20"/>
                <w:color w:val="auto"/>
              </w:rPr>
            </w:pPr>
            <w:r>
              <w:rPr>
                <w:rFonts w:ascii="Arial" w:cs="Arial" w:eastAsia="Arial" w:hAnsi="Arial"/>
                <w:sz w:val="9"/>
                <w:szCs w:val="9"/>
                <w:color w:val="auto"/>
              </w:rPr>
              <w:t>​</w:t>
            </w: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9"/>
                <w:szCs w:val="9"/>
                <w:b w:val="1"/>
                <w:bCs w:val="1"/>
                <w:color w:val="auto"/>
                <w:w w:val="99"/>
              </w:rPr>
              <w:t>Amount</w:t>
            </w:r>
          </w:p>
        </w:tc>
        <w:tc>
          <w:tcPr>
            <w:tcW w:w="120" w:type="dxa"/>
            <w:vAlign w:val="bottom"/>
          </w:tcPr>
          <w:p>
            <w:pPr>
              <w:ind w:left="60"/>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w w:val="88"/>
              </w:rPr>
              <w:t>Amount</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54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9"/>
                <w:szCs w:val="9"/>
                <w:b w:val="1"/>
                <w:bCs w:val="1"/>
                <w:color w:val="auto"/>
              </w:rPr>
              <w:t>Amount</w:t>
            </w:r>
          </w:p>
        </w:tc>
        <w:tc>
          <w:tcPr>
            <w:tcW w:w="22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52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9"/>
                <w:szCs w:val="9"/>
                <w:b w:val="1"/>
                <w:bCs w:val="1"/>
                <w:color w:val="auto"/>
                <w:w w:val="99"/>
              </w:rPr>
              <w:t>Amount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15"/>
              <w:spacing w:after="0"/>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55"/>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55"/>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14"/>
        </w:trPr>
        <w:tc>
          <w:tcPr>
            <w:tcW w:w="2040" w:type="dxa"/>
            <w:vAlign w:val="bottom"/>
          </w:tcPr>
          <w:p>
            <w:pPr>
              <w:ind w:left="20"/>
              <w:spacing w:after="0"/>
              <w:rPr>
                <w:sz w:val="20"/>
                <w:szCs w:val="20"/>
                <w:color w:val="auto"/>
              </w:rPr>
            </w:pPr>
            <w:r>
              <w:rPr>
                <w:rFonts w:ascii="Arial" w:cs="Arial" w:eastAsia="Arial" w:hAnsi="Arial"/>
                <w:sz w:val="9"/>
                <w:szCs w:val="9"/>
                <w:b w:val="1"/>
                <w:bCs w:val="1"/>
                <w:color w:val="auto"/>
              </w:rPr>
              <w:t>Balance at December 31, 2022</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17,403,315</w:t>
            </w:r>
          </w:p>
        </w:tc>
        <w:tc>
          <w:tcPr>
            <w:tcW w:w="320" w:type="dxa"/>
            <w:vAlign w:val="bottom"/>
            <w:gridSpan w:val="2"/>
          </w:tcPr>
          <w:p>
            <w:pPr>
              <w:jc w:val="right"/>
              <w:ind w:right="95"/>
              <w:spacing w:after="0"/>
              <w:rPr>
                <w:sz w:val="20"/>
                <w:szCs w:val="20"/>
                <w:color w:val="auto"/>
              </w:rPr>
            </w:pPr>
            <w:r>
              <w:rPr>
                <w:rFonts w:ascii="Arial" w:cs="Arial" w:eastAsia="Arial" w:hAnsi="Arial"/>
                <w:sz w:val="9"/>
                <w:szCs w:val="9"/>
                <w:color w:val="auto"/>
              </w:rPr>
              <w:t>$</w:t>
            </w: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2</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288,814</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(112,216 )</w:t>
            </w:r>
          </w:p>
        </w:tc>
        <w:tc>
          <w:tcPr>
            <w:tcW w:w="220" w:type="dxa"/>
            <w:vAlign w:val="bottom"/>
            <w:gridSpan w:val="2"/>
          </w:tcPr>
          <w:p>
            <w:pPr>
              <w:jc w:val="right"/>
              <w:ind w:right="15"/>
              <w:spacing w:after="0"/>
              <w:rPr>
                <w:sz w:val="20"/>
                <w:szCs w:val="20"/>
                <w:color w:val="auto"/>
              </w:rPr>
            </w:pPr>
            <w:r>
              <w:rPr>
                <w:rFonts w:ascii="Arial" w:cs="Arial" w:eastAsia="Arial" w:hAnsi="Arial"/>
                <w:sz w:val="9"/>
                <w:szCs w:val="9"/>
                <w:color w:val="auto"/>
              </w:rPr>
              <w:t>$</w:t>
            </w: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176,600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40" w:type="dxa"/>
            <w:vAlign w:val="bottom"/>
            <w:shd w:val="clear" w:color="auto" w:fill="CFF0FC"/>
          </w:tcPr>
          <w:p>
            <w:pPr>
              <w:ind w:left="20"/>
              <w:spacing w:after="0" w:line="82" w:lineRule="exact"/>
              <w:rPr>
                <w:sz w:val="20"/>
                <w:szCs w:val="20"/>
                <w:color w:val="auto"/>
              </w:rPr>
            </w:pPr>
            <w:r>
              <w:rPr>
                <w:rFonts w:ascii="Arial" w:cs="Arial" w:eastAsia="Arial" w:hAnsi="Arial"/>
                <w:sz w:val="9"/>
                <w:szCs w:val="9"/>
                <w:color w:val="auto"/>
              </w:rPr>
              <w:t>Issuance of common stock upon</w:t>
            </w:r>
          </w:p>
        </w:tc>
        <w:tc>
          <w:tcPr>
            <w:tcW w:w="82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40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7"/>
                <w:szCs w:val="7"/>
                <w:color w:val="auto"/>
              </w:rPr>
            </w:pPr>
          </w:p>
        </w:tc>
        <w:tc>
          <w:tcPr>
            <w:tcW w:w="9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4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7"/>
                <w:szCs w:val="7"/>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7"/>
                <w:szCs w:val="7"/>
                <w:color w:val="auto"/>
              </w:rPr>
            </w:pPr>
          </w:p>
        </w:tc>
        <w:tc>
          <w:tcPr>
            <w:tcW w:w="4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74,753</w:t>
            </w:r>
          </w:p>
        </w:tc>
        <w:tc>
          <w:tcPr>
            <w:tcW w:w="1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3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1,067</w:t>
            </w: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4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1,067</w:t>
            </w:r>
          </w:p>
        </w:tc>
        <w:tc>
          <w:tcPr>
            <w:tcW w:w="0" w:type="dxa"/>
            <w:vAlign w:val="bottom"/>
          </w:tcPr>
          <w:p>
            <w:pPr>
              <w:spacing w:after="0"/>
              <w:rPr>
                <w:sz w:val="1"/>
                <w:szCs w:val="1"/>
                <w:color w:val="auto"/>
              </w:rPr>
            </w:pPr>
          </w:p>
        </w:tc>
      </w:tr>
      <w:tr>
        <w:trPr>
          <w:trHeight w:val="95"/>
        </w:trPr>
        <w:tc>
          <w:tcPr>
            <w:tcW w:w="2040" w:type="dxa"/>
            <w:vAlign w:val="bottom"/>
            <w:tcBorders>
              <w:bottom w:val="single" w:sz="8" w:color="CFF0FC"/>
            </w:tcBorders>
            <w:shd w:val="clear" w:color="auto" w:fill="CFF0FC"/>
          </w:tcPr>
          <w:p>
            <w:pPr>
              <w:ind w:left="80"/>
              <w:spacing w:after="0" w:line="95" w:lineRule="exact"/>
              <w:rPr>
                <w:sz w:val="20"/>
                <w:szCs w:val="20"/>
                <w:color w:val="auto"/>
              </w:rPr>
            </w:pPr>
            <w:r>
              <w:rPr>
                <w:rFonts w:ascii="Arial" w:cs="Arial" w:eastAsia="Arial" w:hAnsi="Arial"/>
                <w:sz w:val="9"/>
                <w:szCs w:val="9"/>
                <w:color w:val="auto"/>
              </w:rPr>
              <w:t>exercise of stock options</w:t>
            </w: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gridSpan w:val="2"/>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gridSpan w:val="2"/>
            <w:vMerge w:val="continue"/>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right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rPr>
                <w:sz w:val="20"/>
                <w:szCs w:val="20"/>
                <w:color w:val="auto"/>
              </w:rPr>
            </w:pPr>
            <w:r>
              <w:rPr>
                <w:rFonts w:ascii="Arial" w:cs="Arial" w:eastAsia="Arial" w:hAnsi="Arial"/>
                <w:sz w:val="9"/>
                <w:szCs w:val="9"/>
                <w:color w:val="auto"/>
              </w:rPr>
              <w:t>Vesting of restricted common stock</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958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20"/>
              <w:spacing w:after="0"/>
              <w:rPr>
                <w:sz w:val="20"/>
                <w:szCs w:val="20"/>
                <w:color w:val="auto"/>
              </w:rPr>
            </w:pPr>
            <w:r>
              <w:rPr>
                <w:rFonts w:ascii="Arial" w:cs="Arial" w:eastAsia="Arial" w:hAnsi="Arial"/>
                <w:sz w:val="9"/>
                <w:szCs w:val="9"/>
                <w:color w:val="auto"/>
              </w:rPr>
              <w:t>Stock-based compensation expense</w:t>
            </w:r>
          </w:p>
        </w:tc>
        <w:tc>
          <w:tcPr>
            <w:tcW w:w="8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1,024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1,024</w:t>
            </w:r>
          </w:p>
        </w:tc>
        <w:tc>
          <w:tcPr>
            <w:tcW w:w="0" w:type="dxa"/>
            <w:vAlign w:val="bottom"/>
          </w:tcPr>
          <w:p>
            <w:pPr>
              <w:spacing w:after="0"/>
              <w:rPr>
                <w:sz w:val="1"/>
                <w:szCs w:val="1"/>
                <w:color w:val="auto"/>
              </w:rPr>
            </w:pPr>
          </w:p>
        </w:tc>
      </w:tr>
      <w:tr>
        <w:trPr>
          <w:trHeight w:val="101"/>
        </w:trPr>
        <w:tc>
          <w:tcPr>
            <w:tcW w:w="2040" w:type="dxa"/>
            <w:vAlign w:val="bottom"/>
          </w:tcPr>
          <w:p>
            <w:pPr>
              <w:ind w:left="20"/>
              <w:spacing w:after="0" w:line="101" w:lineRule="exact"/>
              <w:rPr>
                <w:sz w:val="20"/>
                <w:szCs w:val="20"/>
                <w:color w:val="auto"/>
              </w:rPr>
            </w:pPr>
            <w:r>
              <w:rPr>
                <w:rFonts w:ascii="Arial" w:cs="Arial" w:eastAsia="Arial" w:hAnsi="Arial"/>
                <w:sz w:val="9"/>
                <w:szCs w:val="9"/>
                <w:color w:val="auto"/>
              </w:rPr>
              <w:t>Sale of common stock in</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40" w:type="dxa"/>
            <w:vAlign w:val="bottom"/>
          </w:tcPr>
          <w:p>
            <w:pPr>
              <w:ind w:left="80"/>
              <w:spacing w:after="0" w:line="95" w:lineRule="exact"/>
              <w:rPr>
                <w:sz w:val="20"/>
                <w:szCs w:val="20"/>
                <w:color w:val="auto"/>
              </w:rPr>
            </w:pPr>
            <w:r>
              <w:rPr>
                <w:rFonts w:ascii="Arial" w:cs="Arial" w:eastAsia="Arial" w:hAnsi="Arial"/>
                <w:sz w:val="9"/>
                <w:szCs w:val="9"/>
                <w:color w:val="auto"/>
              </w:rPr>
              <w:t>registered direct offering,</w:t>
            </w:r>
          </w:p>
        </w:tc>
        <w:tc>
          <w:tcPr>
            <w:tcW w:w="82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4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0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Arial" w:cs="Arial" w:eastAsia="Arial" w:hAnsi="Arial"/>
                <w:sz w:val="9"/>
                <w:szCs w:val="9"/>
                <w:color w:val="auto"/>
              </w:rPr>
              <w:t>1,488,166</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ind w:right="75"/>
              <w:spacing w:after="0" w:line="95" w:lineRule="exact"/>
              <w:rPr>
                <w:sz w:val="20"/>
                <w:szCs w:val="20"/>
                <w:color w:val="auto"/>
              </w:rPr>
            </w:pPr>
            <w:r>
              <w:rPr>
                <w:rFonts w:ascii="Arial" w:cs="Arial" w:eastAsia="Arial" w:hAnsi="Arial"/>
                <w:sz w:val="9"/>
                <w:szCs w:val="9"/>
                <w:color w:val="auto"/>
              </w:rPr>
              <w:t>34,148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Arial" w:cs="Arial" w:eastAsia="Arial" w:hAnsi="Arial"/>
                <w:sz w:val="9"/>
                <w:szCs w:val="9"/>
                <w:color w:val="auto"/>
              </w:rPr>
              <w:t>34,148</w:t>
            </w:r>
          </w:p>
        </w:tc>
        <w:tc>
          <w:tcPr>
            <w:tcW w:w="0" w:type="dxa"/>
            <w:vAlign w:val="bottom"/>
          </w:tcPr>
          <w:p>
            <w:pPr>
              <w:spacing w:after="0"/>
              <w:rPr>
                <w:sz w:val="1"/>
                <w:szCs w:val="1"/>
                <w:color w:val="auto"/>
              </w:rPr>
            </w:pPr>
          </w:p>
        </w:tc>
      </w:tr>
      <w:tr>
        <w:trPr>
          <w:trHeight w:val="115"/>
        </w:trPr>
        <w:tc>
          <w:tcPr>
            <w:tcW w:w="2040" w:type="dxa"/>
            <w:vAlign w:val="bottom"/>
          </w:tcPr>
          <w:p>
            <w:pPr>
              <w:ind w:left="80"/>
              <w:spacing w:after="0"/>
              <w:rPr>
                <w:sz w:val="20"/>
                <w:szCs w:val="20"/>
                <w:color w:val="auto"/>
              </w:rPr>
            </w:pPr>
            <w:r>
              <w:rPr>
                <w:rFonts w:ascii="Arial" w:cs="Arial" w:eastAsia="Arial" w:hAnsi="Arial"/>
                <w:sz w:val="9"/>
                <w:szCs w:val="9"/>
                <w:color w:val="auto"/>
              </w:rPr>
              <w:t>net of issuance costs of $80</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40" w:type="dxa"/>
            <w:vAlign w:val="bottom"/>
            <w:shd w:val="clear" w:color="auto" w:fill="CFF0FC"/>
          </w:tcPr>
          <w:p>
            <w:pPr>
              <w:ind w:left="20"/>
              <w:spacing w:after="0" w:line="102" w:lineRule="exact"/>
              <w:rPr>
                <w:sz w:val="20"/>
                <w:szCs w:val="20"/>
                <w:color w:val="auto"/>
              </w:rPr>
            </w:pPr>
            <w:r>
              <w:rPr>
                <w:rFonts w:ascii="Arial" w:cs="Arial" w:eastAsia="Arial" w:hAnsi="Arial"/>
                <w:sz w:val="9"/>
                <w:szCs w:val="9"/>
                <w:color w:val="auto"/>
              </w:rPr>
              <w:t>Sale of pre-funded warrants</w:t>
            </w:r>
          </w:p>
        </w:tc>
        <w:tc>
          <w:tcPr>
            <w:tcW w:w="8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40" w:type="dxa"/>
            <w:vAlign w:val="bottom"/>
            <w:shd w:val="clear" w:color="auto" w:fill="CFF0FC"/>
          </w:tcPr>
          <w:p>
            <w:pPr>
              <w:ind w:left="80"/>
              <w:spacing w:after="0" w:line="95" w:lineRule="exact"/>
              <w:rPr>
                <w:sz w:val="20"/>
                <w:szCs w:val="20"/>
                <w:color w:val="auto"/>
              </w:rPr>
            </w:pPr>
            <w:r>
              <w:rPr>
                <w:rFonts w:ascii="Arial" w:cs="Arial" w:eastAsia="Arial" w:hAnsi="Arial"/>
                <w:sz w:val="9"/>
                <w:szCs w:val="9"/>
                <w:color w:val="auto"/>
              </w:rPr>
              <w:t>in registered direct offering,</w:t>
            </w:r>
          </w:p>
        </w:tc>
        <w:tc>
          <w:tcPr>
            <w:tcW w:w="82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180"/>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940" w:type="dxa"/>
            <w:vAlign w:val="bottom"/>
            <w:gridSpan w:val="2"/>
            <w:shd w:val="clear" w:color="auto" w:fill="CFF0FC"/>
          </w:tcPr>
          <w:p>
            <w:pPr>
              <w:jc w:val="right"/>
              <w:ind w:right="240"/>
              <w:spacing w:after="0" w:line="95" w:lineRule="exact"/>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2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28,206</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28,206</w:t>
            </w:r>
          </w:p>
        </w:tc>
        <w:tc>
          <w:tcPr>
            <w:tcW w:w="0" w:type="dxa"/>
            <w:vAlign w:val="bottom"/>
          </w:tcPr>
          <w:p>
            <w:pPr>
              <w:spacing w:after="0"/>
              <w:rPr>
                <w:sz w:val="1"/>
                <w:szCs w:val="1"/>
                <w:color w:val="auto"/>
              </w:rPr>
            </w:pPr>
          </w:p>
        </w:tc>
      </w:tr>
      <w:tr>
        <w:trPr>
          <w:trHeight w:val="115"/>
        </w:trPr>
        <w:tc>
          <w:tcPr>
            <w:tcW w:w="2040" w:type="dxa"/>
            <w:vAlign w:val="bottom"/>
            <w:shd w:val="clear" w:color="auto" w:fill="CFF0FC"/>
          </w:tcPr>
          <w:p>
            <w:pPr>
              <w:ind w:left="80"/>
              <w:spacing w:after="0"/>
              <w:rPr>
                <w:sz w:val="20"/>
                <w:szCs w:val="20"/>
                <w:color w:val="auto"/>
              </w:rPr>
            </w:pPr>
            <w:r>
              <w:rPr>
                <w:rFonts w:ascii="Arial" w:cs="Arial" w:eastAsia="Arial" w:hAnsi="Arial"/>
                <w:sz w:val="9"/>
                <w:szCs w:val="9"/>
                <w:color w:val="auto"/>
              </w:rPr>
              <w:t>net of issuance costs of $66</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40" w:type="dxa"/>
            <w:vAlign w:val="bottom"/>
          </w:tcPr>
          <w:p>
            <w:pPr>
              <w:ind w:left="20"/>
              <w:spacing w:after="0" w:line="101" w:lineRule="exact"/>
              <w:rPr>
                <w:sz w:val="20"/>
                <w:szCs w:val="20"/>
                <w:color w:val="auto"/>
              </w:rPr>
            </w:pPr>
            <w:r>
              <w:rPr>
                <w:rFonts w:ascii="Arial" w:cs="Arial" w:eastAsia="Arial" w:hAnsi="Arial"/>
                <w:sz w:val="9"/>
                <w:szCs w:val="9"/>
                <w:color w:val="auto"/>
              </w:rPr>
              <w:t>Sale of common stock in</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40" w:type="dxa"/>
            <w:vAlign w:val="bottom"/>
          </w:tcPr>
          <w:p>
            <w:pPr>
              <w:ind w:left="80"/>
              <w:spacing w:after="0" w:line="95" w:lineRule="exact"/>
              <w:rPr>
                <w:sz w:val="20"/>
                <w:szCs w:val="20"/>
                <w:color w:val="auto"/>
              </w:rPr>
            </w:pPr>
            <w:r>
              <w:rPr>
                <w:rFonts w:ascii="Arial" w:cs="Arial" w:eastAsia="Arial" w:hAnsi="Arial"/>
                <w:sz w:val="9"/>
                <w:szCs w:val="9"/>
                <w:color w:val="auto"/>
              </w:rPr>
              <w:t>at-the-market offerings, net</w:t>
            </w:r>
          </w:p>
        </w:tc>
        <w:tc>
          <w:tcPr>
            <w:tcW w:w="82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4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0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Arial" w:cs="Arial" w:eastAsia="Arial" w:hAnsi="Arial"/>
                <w:sz w:val="9"/>
                <w:szCs w:val="9"/>
                <w:color w:val="auto"/>
              </w:rPr>
              <w:t>608,050</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ind w:right="75"/>
              <w:spacing w:after="0" w:line="95" w:lineRule="exact"/>
              <w:rPr>
                <w:sz w:val="20"/>
                <w:szCs w:val="20"/>
                <w:color w:val="auto"/>
              </w:rPr>
            </w:pPr>
            <w:r>
              <w:rPr>
                <w:rFonts w:ascii="Arial" w:cs="Arial" w:eastAsia="Arial" w:hAnsi="Arial"/>
                <w:sz w:val="9"/>
                <w:szCs w:val="9"/>
                <w:color w:val="auto"/>
              </w:rPr>
              <w:t>14,591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Arial" w:cs="Arial" w:eastAsia="Arial" w:hAnsi="Arial"/>
                <w:sz w:val="9"/>
                <w:szCs w:val="9"/>
                <w:color w:val="auto"/>
              </w:rPr>
              <w:t>14,591</w:t>
            </w:r>
          </w:p>
        </w:tc>
        <w:tc>
          <w:tcPr>
            <w:tcW w:w="0" w:type="dxa"/>
            <w:vAlign w:val="bottom"/>
          </w:tcPr>
          <w:p>
            <w:pPr>
              <w:spacing w:after="0"/>
              <w:rPr>
                <w:sz w:val="1"/>
                <w:szCs w:val="1"/>
                <w:color w:val="auto"/>
              </w:rPr>
            </w:pPr>
          </w:p>
        </w:tc>
      </w:tr>
      <w:tr>
        <w:trPr>
          <w:trHeight w:val="115"/>
        </w:trPr>
        <w:tc>
          <w:tcPr>
            <w:tcW w:w="2040" w:type="dxa"/>
            <w:vAlign w:val="bottom"/>
          </w:tcPr>
          <w:p>
            <w:pPr>
              <w:ind w:left="80"/>
              <w:spacing w:after="0"/>
              <w:rPr>
                <w:sz w:val="20"/>
                <w:szCs w:val="20"/>
                <w:color w:val="auto"/>
              </w:rPr>
            </w:pPr>
            <w:r>
              <w:rPr>
                <w:rFonts w:ascii="Arial" w:cs="Arial" w:eastAsia="Arial" w:hAnsi="Arial"/>
                <w:sz w:val="9"/>
                <w:szCs w:val="9"/>
                <w:color w:val="auto"/>
              </w:rPr>
              <w:t>of issuance costs of $408</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9"/>
                <w:szCs w:val="9"/>
                <w:color w:val="auto"/>
              </w:rPr>
              <w:t>Net loss</w:t>
            </w:r>
          </w:p>
        </w:tc>
        <w:tc>
          <w:tcPr>
            <w:tcW w:w="82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(22,781 )</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(22,781 )</w:t>
            </w:r>
          </w:p>
        </w:tc>
        <w:tc>
          <w:tcPr>
            <w:tcW w:w="0" w:type="dxa"/>
            <w:vAlign w:val="bottom"/>
          </w:tcPr>
          <w:p>
            <w:pPr>
              <w:spacing w:after="0"/>
              <w:rPr>
                <w:sz w:val="1"/>
                <w:szCs w:val="1"/>
                <w:color w:val="auto"/>
              </w:rPr>
            </w:pPr>
          </w:p>
        </w:tc>
      </w:tr>
      <w:tr>
        <w:trPr>
          <w:trHeight w:val="115"/>
        </w:trPr>
        <w:tc>
          <w:tcPr>
            <w:tcW w:w="2040" w:type="dxa"/>
            <w:vAlign w:val="bottom"/>
          </w:tcPr>
          <w:p>
            <w:pPr>
              <w:ind w:left="20"/>
              <w:spacing w:after="0"/>
              <w:rPr>
                <w:sz w:val="20"/>
                <w:szCs w:val="20"/>
                <w:color w:val="auto"/>
              </w:rPr>
            </w:pPr>
            <w:r>
              <w:rPr>
                <w:rFonts w:ascii="Arial" w:cs="Arial" w:eastAsia="Arial" w:hAnsi="Arial"/>
                <w:sz w:val="9"/>
                <w:szCs w:val="9"/>
                <w:b w:val="1"/>
                <w:bCs w:val="1"/>
                <w:color w:val="auto"/>
              </w:rPr>
              <w:t>Balance at March 31, 2023</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19,575,242</w:t>
            </w:r>
          </w:p>
        </w:tc>
        <w:tc>
          <w:tcPr>
            <w:tcW w:w="320" w:type="dxa"/>
            <w:vAlign w:val="bottom"/>
            <w:gridSpan w:val="2"/>
          </w:tcPr>
          <w:p>
            <w:pPr>
              <w:jc w:val="right"/>
              <w:ind w:right="95"/>
              <w:spacing w:after="0"/>
              <w:rPr>
                <w:sz w:val="20"/>
                <w:szCs w:val="20"/>
                <w:color w:val="auto"/>
              </w:rPr>
            </w:pPr>
            <w:r>
              <w:rPr>
                <w:rFonts w:ascii="Arial" w:cs="Arial" w:eastAsia="Arial" w:hAnsi="Arial"/>
                <w:sz w:val="9"/>
                <w:szCs w:val="9"/>
                <w:color w:val="auto"/>
              </w:rPr>
              <w:t>$</w:t>
            </w: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2</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367,850</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(134,997 )</w:t>
            </w:r>
          </w:p>
        </w:tc>
        <w:tc>
          <w:tcPr>
            <w:tcW w:w="220" w:type="dxa"/>
            <w:vAlign w:val="bottom"/>
            <w:gridSpan w:val="2"/>
          </w:tcPr>
          <w:p>
            <w:pPr>
              <w:jc w:val="right"/>
              <w:ind w:right="15"/>
              <w:spacing w:after="0"/>
              <w:rPr>
                <w:sz w:val="20"/>
                <w:szCs w:val="20"/>
                <w:color w:val="auto"/>
              </w:rPr>
            </w:pPr>
            <w:r>
              <w:rPr>
                <w:rFonts w:ascii="Arial" w:cs="Arial" w:eastAsia="Arial" w:hAnsi="Arial"/>
                <w:sz w:val="9"/>
                <w:szCs w:val="9"/>
                <w:color w:val="auto"/>
              </w:rPr>
              <w:t>$</w:t>
            </w: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232,855</w:t>
            </w:r>
          </w:p>
        </w:tc>
        <w:tc>
          <w:tcPr>
            <w:tcW w:w="0" w:type="dxa"/>
            <w:vAlign w:val="bottom"/>
          </w:tcPr>
          <w:p>
            <w:pPr>
              <w:spacing w:after="0"/>
              <w:rPr>
                <w:sz w:val="1"/>
                <w:szCs w:val="1"/>
                <w:color w:val="auto"/>
              </w:rPr>
            </w:pPr>
          </w:p>
        </w:tc>
      </w:tr>
      <w:tr>
        <w:trPr>
          <w:trHeight w:val="101"/>
        </w:trPr>
        <w:tc>
          <w:tcPr>
            <w:tcW w:w="2040" w:type="dxa"/>
            <w:vAlign w:val="bottom"/>
            <w:shd w:val="clear" w:color="auto" w:fill="CFF0FC"/>
          </w:tcPr>
          <w:p>
            <w:pPr>
              <w:ind w:left="20"/>
              <w:spacing w:after="0" w:line="102" w:lineRule="exact"/>
              <w:rPr>
                <w:sz w:val="20"/>
                <w:szCs w:val="20"/>
                <w:color w:val="auto"/>
              </w:rPr>
            </w:pPr>
            <w:r>
              <w:rPr>
                <w:rFonts w:ascii="Arial" w:cs="Arial" w:eastAsia="Arial" w:hAnsi="Arial"/>
                <w:sz w:val="9"/>
                <w:szCs w:val="9"/>
                <w:color w:val="auto"/>
              </w:rPr>
              <w:t>Issuance of common stock upon</w:t>
            </w:r>
          </w:p>
        </w:tc>
        <w:tc>
          <w:tcPr>
            <w:tcW w:w="82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8"/>
                <w:szCs w:val="8"/>
                <w:color w:val="auto"/>
              </w:rPr>
            </w:pPr>
          </w:p>
        </w:tc>
        <w:tc>
          <w:tcPr>
            <w:tcW w:w="4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41,475</w:t>
            </w: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242</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242</w:t>
            </w:r>
          </w:p>
        </w:tc>
        <w:tc>
          <w:tcPr>
            <w:tcW w:w="0" w:type="dxa"/>
            <w:vAlign w:val="bottom"/>
          </w:tcPr>
          <w:p>
            <w:pPr>
              <w:spacing w:after="0"/>
              <w:rPr>
                <w:sz w:val="1"/>
                <w:szCs w:val="1"/>
                <w:color w:val="auto"/>
              </w:rPr>
            </w:pPr>
          </w:p>
        </w:tc>
      </w:tr>
      <w:tr>
        <w:trPr>
          <w:trHeight w:val="95"/>
        </w:trPr>
        <w:tc>
          <w:tcPr>
            <w:tcW w:w="2040" w:type="dxa"/>
            <w:vAlign w:val="bottom"/>
            <w:tcBorders>
              <w:bottom w:val="single" w:sz="8" w:color="CFF0FC"/>
            </w:tcBorders>
            <w:shd w:val="clear" w:color="auto" w:fill="CFF0FC"/>
          </w:tcPr>
          <w:p>
            <w:pPr>
              <w:ind w:left="80"/>
              <w:spacing w:after="0" w:line="95" w:lineRule="exact"/>
              <w:rPr>
                <w:sz w:val="20"/>
                <w:szCs w:val="20"/>
                <w:color w:val="auto"/>
              </w:rPr>
            </w:pPr>
            <w:r>
              <w:rPr>
                <w:rFonts w:ascii="Arial" w:cs="Arial" w:eastAsia="Arial" w:hAnsi="Arial"/>
                <w:sz w:val="9"/>
                <w:szCs w:val="9"/>
                <w:color w:val="auto"/>
              </w:rPr>
              <w:t>exercise of stock options</w:t>
            </w: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gridSpan w:val="2"/>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gridSpan w:val="2"/>
            <w:vMerge w:val="continue"/>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right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rPr>
                <w:sz w:val="20"/>
                <w:szCs w:val="20"/>
                <w:color w:val="auto"/>
              </w:rPr>
            </w:pPr>
            <w:r>
              <w:rPr>
                <w:rFonts w:ascii="Arial" w:cs="Arial" w:eastAsia="Arial" w:hAnsi="Arial"/>
                <w:sz w:val="9"/>
                <w:szCs w:val="9"/>
                <w:color w:val="auto"/>
              </w:rPr>
              <w:t>Vesting of restricted common stock</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958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20"/>
              <w:spacing w:after="0"/>
              <w:rPr>
                <w:sz w:val="20"/>
                <w:szCs w:val="20"/>
                <w:color w:val="auto"/>
              </w:rPr>
            </w:pPr>
            <w:r>
              <w:rPr>
                <w:rFonts w:ascii="Arial" w:cs="Arial" w:eastAsia="Arial" w:hAnsi="Arial"/>
                <w:sz w:val="9"/>
                <w:szCs w:val="9"/>
                <w:color w:val="auto"/>
              </w:rPr>
              <w:t>Stock-based compensation expense</w:t>
            </w:r>
          </w:p>
        </w:tc>
        <w:tc>
          <w:tcPr>
            <w:tcW w:w="8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1,309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1,309</w:t>
            </w:r>
          </w:p>
        </w:tc>
        <w:tc>
          <w:tcPr>
            <w:tcW w:w="0" w:type="dxa"/>
            <w:vAlign w:val="bottom"/>
          </w:tcPr>
          <w:p>
            <w:pPr>
              <w:spacing w:after="0"/>
              <w:rPr>
                <w:sz w:val="1"/>
                <w:szCs w:val="1"/>
                <w:color w:val="auto"/>
              </w:rPr>
            </w:pPr>
          </w:p>
        </w:tc>
      </w:tr>
      <w:tr>
        <w:trPr>
          <w:trHeight w:val="101"/>
        </w:trPr>
        <w:tc>
          <w:tcPr>
            <w:tcW w:w="2040" w:type="dxa"/>
            <w:vAlign w:val="bottom"/>
          </w:tcPr>
          <w:p>
            <w:pPr>
              <w:ind w:left="20"/>
              <w:spacing w:after="0" w:line="101" w:lineRule="exact"/>
              <w:rPr>
                <w:sz w:val="20"/>
                <w:szCs w:val="20"/>
                <w:color w:val="auto"/>
              </w:rPr>
            </w:pPr>
            <w:r>
              <w:rPr>
                <w:rFonts w:ascii="Arial" w:cs="Arial" w:eastAsia="Arial" w:hAnsi="Arial"/>
                <w:sz w:val="9"/>
                <w:szCs w:val="9"/>
                <w:color w:val="auto"/>
              </w:rPr>
              <w:t>Sale of common stock in</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40" w:type="dxa"/>
            <w:vAlign w:val="bottom"/>
          </w:tcPr>
          <w:p>
            <w:pPr>
              <w:ind w:left="80"/>
              <w:spacing w:after="0" w:line="95" w:lineRule="exact"/>
              <w:rPr>
                <w:sz w:val="20"/>
                <w:szCs w:val="20"/>
                <w:color w:val="auto"/>
              </w:rPr>
            </w:pPr>
            <w:r>
              <w:rPr>
                <w:rFonts w:ascii="Arial" w:cs="Arial" w:eastAsia="Arial" w:hAnsi="Arial"/>
                <w:sz w:val="9"/>
                <w:szCs w:val="9"/>
                <w:color w:val="auto"/>
              </w:rPr>
              <w:t>follow-on public offering, net</w:t>
            </w:r>
          </w:p>
        </w:tc>
        <w:tc>
          <w:tcPr>
            <w:tcW w:w="82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4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0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Arial" w:cs="Arial" w:eastAsia="Arial" w:hAnsi="Arial"/>
                <w:sz w:val="9"/>
                <w:szCs w:val="9"/>
                <w:color w:val="auto"/>
              </w:rPr>
              <w:t>3,015,919</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ind w:right="75"/>
              <w:spacing w:after="0" w:line="95" w:lineRule="exact"/>
              <w:rPr>
                <w:sz w:val="20"/>
                <w:szCs w:val="20"/>
                <w:color w:val="auto"/>
              </w:rPr>
            </w:pPr>
            <w:r>
              <w:rPr>
                <w:rFonts w:ascii="Arial" w:cs="Arial" w:eastAsia="Arial" w:hAnsi="Arial"/>
                <w:sz w:val="9"/>
                <w:szCs w:val="9"/>
                <w:color w:val="auto"/>
              </w:rPr>
              <w:t>138,508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Arial" w:cs="Arial" w:eastAsia="Arial" w:hAnsi="Arial"/>
                <w:sz w:val="9"/>
                <w:szCs w:val="9"/>
                <w:color w:val="auto"/>
              </w:rPr>
              <w:t>138,508</w:t>
            </w:r>
          </w:p>
        </w:tc>
        <w:tc>
          <w:tcPr>
            <w:tcW w:w="0" w:type="dxa"/>
            <w:vAlign w:val="bottom"/>
          </w:tcPr>
          <w:p>
            <w:pPr>
              <w:spacing w:after="0"/>
              <w:rPr>
                <w:sz w:val="1"/>
                <w:szCs w:val="1"/>
                <w:color w:val="auto"/>
              </w:rPr>
            </w:pPr>
          </w:p>
        </w:tc>
      </w:tr>
      <w:tr>
        <w:trPr>
          <w:trHeight w:val="115"/>
        </w:trPr>
        <w:tc>
          <w:tcPr>
            <w:tcW w:w="2040" w:type="dxa"/>
            <w:vAlign w:val="bottom"/>
          </w:tcPr>
          <w:p>
            <w:pPr>
              <w:ind w:left="80"/>
              <w:spacing w:after="0"/>
              <w:rPr>
                <w:sz w:val="20"/>
                <w:szCs w:val="20"/>
                <w:color w:val="auto"/>
              </w:rPr>
            </w:pPr>
            <w:r>
              <w:rPr>
                <w:rFonts w:ascii="Arial" w:cs="Arial" w:eastAsia="Arial" w:hAnsi="Arial"/>
                <w:sz w:val="9"/>
                <w:szCs w:val="9"/>
                <w:color w:val="auto"/>
              </w:rPr>
              <w:t>of issuance costs of $9,272</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40" w:type="dxa"/>
            <w:vAlign w:val="bottom"/>
            <w:shd w:val="clear" w:color="auto" w:fill="CFF0FC"/>
          </w:tcPr>
          <w:p>
            <w:pPr>
              <w:ind w:left="20"/>
              <w:spacing w:after="0" w:line="102" w:lineRule="exact"/>
              <w:rPr>
                <w:sz w:val="20"/>
                <w:szCs w:val="20"/>
                <w:color w:val="auto"/>
              </w:rPr>
            </w:pPr>
            <w:r>
              <w:rPr>
                <w:rFonts w:ascii="Arial" w:cs="Arial" w:eastAsia="Arial" w:hAnsi="Arial"/>
                <w:sz w:val="9"/>
                <w:szCs w:val="9"/>
                <w:color w:val="auto"/>
              </w:rPr>
              <w:t>Sale of pre-funded warrants</w:t>
            </w:r>
          </w:p>
        </w:tc>
        <w:tc>
          <w:tcPr>
            <w:tcW w:w="8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40" w:type="dxa"/>
            <w:vAlign w:val="bottom"/>
            <w:shd w:val="clear" w:color="auto" w:fill="CFF0FC"/>
          </w:tcPr>
          <w:p>
            <w:pPr>
              <w:ind w:left="80"/>
              <w:spacing w:after="0" w:line="95" w:lineRule="exact"/>
              <w:rPr>
                <w:sz w:val="20"/>
                <w:szCs w:val="20"/>
                <w:color w:val="auto"/>
              </w:rPr>
            </w:pPr>
            <w:r>
              <w:rPr>
                <w:rFonts w:ascii="Arial" w:cs="Arial" w:eastAsia="Arial" w:hAnsi="Arial"/>
                <w:sz w:val="9"/>
                <w:szCs w:val="9"/>
                <w:color w:val="auto"/>
              </w:rPr>
              <w:t>in follow-on public offering,</w:t>
            </w:r>
          </w:p>
        </w:tc>
        <w:tc>
          <w:tcPr>
            <w:tcW w:w="82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180"/>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940" w:type="dxa"/>
            <w:vAlign w:val="bottom"/>
            <w:gridSpan w:val="2"/>
            <w:shd w:val="clear" w:color="auto" w:fill="CFF0FC"/>
          </w:tcPr>
          <w:p>
            <w:pPr>
              <w:jc w:val="right"/>
              <w:ind w:right="240"/>
              <w:spacing w:after="0" w:line="95" w:lineRule="exact"/>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8"/>
                <w:szCs w:val="8"/>
                <w:color w:val="auto"/>
              </w:rPr>
            </w:pPr>
          </w:p>
        </w:tc>
        <w:tc>
          <w:tcPr>
            <w:tcW w:w="40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2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9,373</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9,373</w:t>
            </w:r>
          </w:p>
        </w:tc>
        <w:tc>
          <w:tcPr>
            <w:tcW w:w="0" w:type="dxa"/>
            <w:vAlign w:val="bottom"/>
          </w:tcPr>
          <w:p>
            <w:pPr>
              <w:spacing w:after="0"/>
              <w:rPr>
                <w:sz w:val="1"/>
                <w:szCs w:val="1"/>
                <w:color w:val="auto"/>
              </w:rPr>
            </w:pPr>
          </w:p>
        </w:tc>
      </w:tr>
      <w:tr>
        <w:trPr>
          <w:trHeight w:val="115"/>
        </w:trPr>
        <w:tc>
          <w:tcPr>
            <w:tcW w:w="2040" w:type="dxa"/>
            <w:vAlign w:val="bottom"/>
            <w:shd w:val="clear" w:color="auto" w:fill="CFF0FC"/>
          </w:tcPr>
          <w:p>
            <w:pPr>
              <w:ind w:left="80"/>
              <w:spacing w:after="0"/>
              <w:rPr>
                <w:sz w:val="20"/>
                <w:szCs w:val="20"/>
                <w:color w:val="auto"/>
              </w:rPr>
            </w:pPr>
            <w:r>
              <w:rPr>
                <w:rFonts w:ascii="Arial" w:cs="Arial" w:eastAsia="Arial" w:hAnsi="Arial"/>
                <w:sz w:val="9"/>
                <w:szCs w:val="9"/>
                <w:color w:val="auto"/>
              </w:rPr>
              <w:t>net of issuance costs of $627</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40" w:type="dxa"/>
            <w:vAlign w:val="bottom"/>
          </w:tcPr>
          <w:p>
            <w:pPr>
              <w:ind w:left="20"/>
              <w:spacing w:after="0" w:line="101" w:lineRule="exact"/>
              <w:rPr>
                <w:sz w:val="20"/>
                <w:szCs w:val="20"/>
                <w:color w:val="auto"/>
              </w:rPr>
            </w:pPr>
            <w:r>
              <w:rPr>
                <w:rFonts w:ascii="Arial" w:cs="Arial" w:eastAsia="Arial" w:hAnsi="Arial"/>
                <w:sz w:val="9"/>
                <w:szCs w:val="9"/>
                <w:color w:val="auto"/>
              </w:rPr>
              <w:t>Sale of common stock in</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40" w:type="dxa"/>
            <w:vAlign w:val="bottom"/>
          </w:tcPr>
          <w:p>
            <w:pPr>
              <w:ind w:left="80"/>
              <w:spacing w:after="0" w:line="95" w:lineRule="exact"/>
              <w:rPr>
                <w:sz w:val="20"/>
                <w:szCs w:val="20"/>
                <w:color w:val="auto"/>
              </w:rPr>
            </w:pPr>
            <w:r>
              <w:rPr>
                <w:rFonts w:ascii="Arial" w:cs="Arial" w:eastAsia="Arial" w:hAnsi="Arial"/>
                <w:sz w:val="9"/>
                <w:szCs w:val="9"/>
                <w:color w:val="auto"/>
              </w:rPr>
              <w:t>at-the-market offerings, net</w:t>
            </w:r>
          </w:p>
        </w:tc>
        <w:tc>
          <w:tcPr>
            <w:tcW w:w="82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94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0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Arial" w:cs="Arial" w:eastAsia="Arial" w:hAnsi="Arial"/>
                <w:sz w:val="9"/>
                <w:szCs w:val="9"/>
                <w:color w:val="auto"/>
              </w:rPr>
              <w:t>217,300</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ind w:right="75"/>
              <w:spacing w:after="0" w:line="95" w:lineRule="exact"/>
              <w:rPr>
                <w:sz w:val="20"/>
                <w:szCs w:val="20"/>
                <w:color w:val="auto"/>
              </w:rPr>
            </w:pPr>
            <w:r>
              <w:rPr>
                <w:rFonts w:ascii="Arial" w:cs="Arial" w:eastAsia="Arial" w:hAnsi="Arial"/>
                <w:sz w:val="9"/>
                <w:szCs w:val="9"/>
                <w:color w:val="auto"/>
              </w:rPr>
              <w:t>4,879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75"/>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75"/>
              <w:spacing w:after="0" w:line="95" w:lineRule="exact"/>
              <w:rPr>
                <w:sz w:val="20"/>
                <w:szCs w:val="20"/>
                <w:color w:val="auto"/>
              </w:rPr>
            </w:pPr>
            <w:r>
              <w:rPr>
                <w:rFonts w:ascii="Arial" w:cs="Arial" w:eastAsia="Arial" w:hAnsi="Arial"/>
                <w:sz w:val="9"/>
                <w:szCs w:val="9"/>
                <w:color w:val="auto"/>
              </w:rPr>
              <w:t>4,879</w:t>
            </w:r>
          </w:p>
        </w:tc>
        <w:tc>
          <w:tcPr>
            <w:tcW w:w="0" w:type="dxa"/>
            <w:vAlign w:val="bottom"/>
          </w:tcPr>
          <w:p>
            <w:pPr>
              <w:spacing w:after="0"/>
              <w:rPr>
                <w:sz w:val="1"/>
                <w:szCs w:val="1"/>
                <w:color w:val="auto"/>
              </w:rPr>
            </w:pPr>
          </w:p>
        </w:tc>
      </w:tr>
      <w:tr>
        <w:trPr>
          <w:trHeight w:val="115"/>
        </w:trPr>
        <w:tc>
          <w:tcPr>
            <w:tcW w:w="2040" w:type="dxa"/>
            <w:vAlign w:val="bottom"/>
          </w:tcPr>
          <w:p>
            <w:pPr>
              <w:ind w:left="80"/>
              <w:spacing w:after="0"/>
              <w:rPr>
                <w:sz w:val="20"/>
                <w:szCs w:val="20"/>
                <w:color w:val="auto"/>
              </w:rPr>
            </w:pPr>
            <w:r>
              <w:rPr>
                <w:rFonts w:ascii="Arial" w:cs="Arial" w:eastAsia="Arial" w:hAnsi="Arial"/>
                <w:sz w:val="9"/>
                <w:szCs w:val="9"/>
                <w:color w:val="auto"/>
              </w:rPr>
              <w:t>of issuance costs of $119</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9"/>
                <w:szCs w:val="9"/>
                <w:color w:val="auto"/>
              </w:rPr>
              <w:t>Net loss</w:t>
            </w:r>
          </w:p>
        </w:tc>
        <w:tc>
          <w:tcPr>
            <w:tcW w:w="82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(15,947 )</w:t>
            </w: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(15,947 )</w:t>
            </w:r>
          </w:p>
        </w:tc>
        <w:tc>
          <w:tcPr>
            <w:tcW w:w="0" w:type="dxa"/>
            <w:vAlign w:val="bottom"/>
          </w:tcPr>
          <w:p>
            <w:pPr>
              <w:spacing w:after="0"/>
              <w:rPr>
                <w:sz w:val="1"/>
                <w:szCs w:val="1"/>
                <w:color w:val="auto"/>
              </w:rPr>
            </w:pPr>
          </w:p>
        </w:tc>
      </w:tr>
      <w:tr>
        <w:trPr>
          <w:trHeight w:val="115"/>
        </w:trPr>
        <w:tc>
          <w:tcPr>
            <w:tcW w:w="2040" w:type="dxa"/>
            <w:vAlign w:val="bottom"/>
          </w:tcPr>
          <w:p>
            <w:pPr>
              <w:ind w:left="20"/>
              <w:spacing w:after="0"/>
              <w:rPr>
                <w:sz w:val="20"/>
                <w:szCs w:val="20"/>
                <w:color w:val="auto"/>
              </w:rPr>
            </w:pPr>
            <w:r>
              <w:rPr>
                <w:rFonts w:ascii="Arial" w:cs="Arial" w:eastAsia="Arial" w:hAnsi="Arial"/>
                <w:sz w:val="9"/>
                <w:szCs w:val="9"/>
                <w:b w:val="1"/>
                <w:bCs w:val="1"/>
                <w:color w:val="auto"/>
              </w:rPr>
              <w:t>Balance at June 30, 2023</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22,850,894</w:t>
            </w:r>
          </w:p>
        </w:tc>
        <w:tc>
          <w:tcPr>
            <w:tcW w:w="320" w:type="dxa"/>
            <w:vAlign w:val="bottom"/>
            <w:gridSpan w:val="2"/>
          </w:tcPr>
          <w:p>
            <w:pPr>
              <w:jc w:val="right"/>
              <w:ind w:right="95"/>
              <w:spacing w:after="0"/>
              <w:rPr>
                <w:sz w:val="20"/>
                <w:szCs w:val="20"/>
                <w:color w:val="auto"/>
              </w:rPr>
            </w:pPr>
            <w:r>
              <w:rPr>
                <w:rFonts w:ascii="Arial" w:cs="Arial" w:eastAsia="Arial" w:hAnsi="Arial"/>
                <w:sz w:val="9"/>
                <w:szCs w:val="9"/>
                <w:color w:val="auto"/>
              </w:rPr>
              <w:t>$</w:t>
            </w: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2</w:t>
            </w:r>
          </w:p>
        </w:tc>
        <w:tc>
          <w:tcPr>
            <w:tcW w:w="16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522,161</w:t>
            </w:r>
          </w:p>
        </w:tc>
        <w:tc>
          <w:tcPr>
            <w:tcW w:w="20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(150,944 )</w:t>
            </w:r>
          </w:p>
        </w:tc>
        <w:tc>
          <w:tcPr>
            <w:tcW w:w="220" w:type="dxa"/>
            <w:vAlign w:val="bottom"/>
            <w:gridSpan w:val="2"/>
          </w:tcPr>
          <w:p>
            <w:pPr>
              <w:jc w:val="right"/>
              <w:ind w:right="15"/>
              <w:spacing w:after="0"/>
              <w:rPr>
                <w:sz w:val="20"/>
                <w:szCs w:val="20"/>
                <w:color w:val="auto"/>
              </w:rPr>
            </w:pPr>
            <w:r>
              <w:rPr>
                <w:rFonts w:ascii="Arial" w:cs="Arial" w:eastAsia="Arial" w:hAnsi="Arial"/>
                <w:sz w:val="9"/>
                <w:szCs w:val="9"/>
                <w:color w:val="auto"/>
              </w:rPr>
              <w:t>$</w:t>
            </w: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371,219</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40" w:type="dxa"/>
            <w:vAlign w:val="bottom"/>
            <w:shd w:val="clear" w:color="auto" w:fill="CFF0FC"/>
          </w:tcPr>
          <w:p>
            <w:pPr>
              <w:ind w:left="20"/>
              <w:spacing w:after="0" w:line="82" w:lineRule="exact"/>
              <w:rPr>
                <w:sz w:val="20"/>
                <w:szCs w:val="20"/>
                <w:color w:val="auto"/>
              </w:rPr>
            </w:pPr>
            <w:r>
              <w:rPr>
                <w:rFonts w:ascii="Arial" w:cs="Arial" w:eastAsia="Arial" w:hAnsi="Arial"/>
                <w:sz w:val="9"/>
                <w:szCs w:val="9"/>
                <w:color w:val="auto"/>
              </w:rPr>
              <w:t>Issuance of common stock upon</w:t>
            </w:r>
          </w:p>
        </w:tc>
        <w:tc>
          <w:tcPr>
            <w:tcW w:w="82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40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7"/>
                <w:szCs w:val="7"/>
                <w:color w:val="auto"/>
              </w:rPr>
            </w:pPr>
          </w:p>
        </w:tc>
        <w:tc>
          <w:tcPr>
            <w:tcW w:w="9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4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7"/>
                <w:szCs w:val="7"/>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7"/>
                <w:szCs w:val="7"/>
                <w:color w:val="auto"/>
              </w:rPr>
            </w:pPr>
          </w:p>
        </w:tc>
        <w:tc>
          <w:tcPr>
            <w:tcW w:w="4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58,963</w:t>
            </w:r>
          </w:p>
        </w:tc>
        <w:tc>
          <w:tcPr>
            <w:tcW w:w="1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3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607</w:t>
            </w: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4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607</w:t>
            </w:r>
          </w:p>
        </w:tc>
        <w:tc>
          <w:tcPr>
            <w:tcW w:w="0" w:type="dxa"/>
            <w:vAlign w:val="bottom"/>
          </w:tcPr>
          <w:p>
            <w:pPr>
              <w:spacing w:after="0"/>
              <w:rPr>
                <w:sz w:val="1"/>
                <w:szCs w:val="1"/>
                <w:color w:val="auto"/>
              </w:rPr>
            </w:pPr>
          </w:p>
        </w:tc>
      </w:tr>
      <w:tr>
        <w:trPr>
          <w:trHeight w:val="95"/>
        </w:trPr>
        <w:tc>
          <w:tcPr>
            <w:tcW w:w="2040" w:type="dxa"/>
            <w:vAlign w:val="bottom"/>
            <w:tcBorders>
              <w:bottom w:val="single" w:sz="8" w:color="CFF0FC"/>
            </w:tcBorders>
            <w:shd w:val="clear" w:color="auto" w:fill="CFF0FC"/>
          </w:tcPr>
          <w:p>
            <w:pPr>
              <w:ind w:left="80"/>
              <w:spacing w:after="0" w:line="95" w:lineRule="exact"/>
              <w:rPr>
                <w:sz w:val="20"/>
                <w:szCs w:val="20"/>
                <w:color w:val="auto"/>
              </w:rPr>
            </w:pPr>
            <w:r>
              <w:rPr>
                <w:rFonts w:ascii="Arial" w:cs="Arial" w:eastAsia="Arial" w:hAnsi="Arial"/>
                <w:sz w:val="9"/>
                <w:szCs w:val="9"/>
                <w:color w:val="auto"/>
              </w:rPr>
              <w:t>exercise of stock options</w:t>
            </w: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gridSpan w:val="2"/>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gridSpan w:val="2"/>
            <w:vMerge w:val="continue"/>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right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rPr>
                <w:sz w:val="20"/>
                <w:szCs w:val="20"/>
                <w:color w:val="auto"/>
              </w:rPr>
            </w:pPr>
            <w:r>
              <w:rPr>
                <w:rFonts w:ascii="Arial" w:cs="Arial" w:eastAsia="Arial" w:hAnsi="Arial"/>
                <w:sz w:val="9"/>
                <w:szCs w:val="9"/>
                <w:color w:val="auto"/>
              </w:rPr>
              <w:t>Stock-based compensation expense</w:t>
            </w:r>
          </w:p>
        </w:tc>
        <w:tc>
          <w:tcPr>
            <w:tcW w:w="8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1,270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5"/>
              <w:spacing w:after="0"/>
              <w:rPr>
                <w:sz w:val="20"/>
                <w:szCs w:val="20"/>
                <w:color w:val="auto"/>
              </w:rPr>
            </w:pPr>
            <w:r>
              <w:rPr>
                <w:rFonts w:ascii="Arial" w:cs="Arial" w:eastAsia="Arial" w:hAnsi="Arial"/>
                <w:sz w:val="9"/>
                <w:szCs w:val="9"/>
                <w:color w:val="auto"/>
              </w:rPr>
              <w:t>1,270</w:t>
            </w:r>
          </w:p>
        </w:tc>
        <w:tc>
          <w:tcPr>
            <w:tcW w:w="0" w:type="dxa"/>
            <w:vAlign w:val="bottom"/>
          </w:tcPr>
          <w:p>
            <w:pPr>
              <w:spacing w:after="0"/>
              <w:rPr>
                <w:sz w:val="1"/>
                <w:szCs w:val="1"/>
                <w:color w:val="auto"/>
              </w:rPr>
            </w:pPr>
          </w:p>
        </w:tc>
      </w:tr>
      <w:tr>
        <w:trPr>
          <w:trHeight w:val="101"/>
        </w:trPr>
        <w:tc>
          <w:tcPr>
            <w:tcW w:w="2040" w:type="dxa"/>
            <w:vAlign w:val="bottom"/>
            <w:shd w:val="clear" w:color="auto" w:fill="CFF0FC"/>
          </w:tcPr>
          <w:p>
            <w:pPr>
              <w:ind w:left="20"/>
              <w:spacing w:after="0" w:line="102" w:lineRule="exact"/>
              <w:rPr>
                <w:sz w:val="20"/>
                <w:szCs w:val="20"/>
                <w:color w:val="auto"/>
              </w:rPr>
            </w:pPr>
            <w:r>
              <w:rPr>
                <w:rFonts w:ascii="Arial" w:cs="Arial" w:eastAsia="Arial" w:hAnsi="Arial"/>
                <w:sz w:val="9"/>
                <w:szCs w:val="9"/>
                <w:color w:val="auto"/>
              </w:rPr>
              <w:t>Issuance of common stock</w:t>
            </w:r>
          </w:p>
        </w:tc>
        <w:tc>
          <w:tcPr>
            <w:tcW w:w="82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0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FF0FC"/>
          </w:tcPr>
          <w:p>
            <w:pPr>
              <w:spacing w:after="0"/>
              <w:rPr>
                <w:sz w:val="8"/>
                <w:szCs w:val="8"/>
                <w:color w:val="auto"/>
              </w:rPr>
            </w:pPr>
          </w:p>
        </w:tc>
        <w:tc>
          <w:tcPr>
            <w:tcW w:w="4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1,229,221</w:t>
            </w: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040" w:type="dxa"/>
            <w:vAlign w:val="bottom"/>
            <w:tcBorders>
              <w:bottom w:val="single" w:sz="8" w:color="CFF0FC"/>
            </w:tcBorders>
            <w:shd w:val="clear" w:color="auto" w:fill="CFF0FC"/>
          </w:tcPr>
          <w:p>
            <w:pPr>
              <w:ind w:left="80"/>
              <w:spacing w:after="0" w:line="95" w:lineRule="exact"/>
              <w:rPr>
                <w:sz w:val="20"/>
                <w:szCs w:val="20"/>
                <w:color w:val="auto"/>
              </w:rPr>
            </w:pPr>
            <w:r>
              <w:rPr>
                <w:rFonts w:ascii="Arial" w:cs="Arial" w:eastAsia="Arial" w:hAnsi="Arial"/>
                <w:sz w:val="9"/>
                <w:szCs w:val="9"/>
                <w:color w:val="auto"/>
              </w:rPr>
              <w:t>upon exercise of warrants</w:t>
            </w: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900" w:type="dxa"/>
            <w:vAlign w:val="bottom"/>
            <w:tcBorders>
              <w:bottom w:val="single" w:sz="8" w:color="CFF0FC"/>
            </w:tcBorders>
            <w:gridSpan w:val="2"/>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5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gridSpan w:val="2"/>
            <w:vMerge w:val="continue"/>
            <w:shd w:val="clear" w:color="auto" w:fill="CFF0FC"/>
          </w:tcPr>
          <w:p>
            <w:pPr>
              <w:spacing w:after="0"/>
              <w:rPr>
                <w:sz w:val="8"/>
                <w:szCs w:val="8"/>
                <w:color w:val="auto"/>
              </w:rPr>
            </w:pPr>
          </w:p>
        </w:tc>
        <w:tc>
          <w:tcPr>
            <w:tcW w:w="1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right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rPr>
                <w:sz w:val="20"/>
                <w:szCs w:val="20"/>
                <w:color w:val="auto"/>
              </w:rPr>
            </w:pPr>
            <w:r>
              <w:rPr>
                <w:rFonts w:ascii="Arial" w:cs="Arial" w:eastAsia="Arial" w:hAnsi="Arial"/>
                <w:sz w:val="9"/>
                <w:szCs w:val="9"/>
                <w:color w:val="auto"/>
              </w:rPr>
              <w:t>Net loss</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8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(14,122 )</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(14,122 )</w:t>
            </w:r>
          </w:p>
        </w:tc>
        <w:tc>
          <w:tcPr>
            <w:tcW w:w="0" w:type="dxa"/>
            <w:vAlign w:val="bottom"/>
          </w:tcPr>
          <w:p>
            <w:pPr>
              <w:spacing w:after="0"/>
              <w:rPr>
                <w:sz w:val="1"/>
                <w:szCs w:val="1"/>
                <w:color w:val="auto"/>
              </w:rPr>
            </w:pPr>
          </w:p>
        </w:tc>
      </w:tr>
      <w:tr>
        <w:trPr>
          <w:trHeight w:val="155"/>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9"/>
                <w:szCs w:val="9"/>
                <w:b w:val="1"/>
                <w:bCs w:val="1"/>
                <w:color w:val="auto"/>
              </w:rPr>
              <w:t>Balance at September 30, 2023</w:t>
            </w:r>
          </w:p>
        </w:tc>
        <w:tc>
          <w:tcPr>
            <w:tcW w:w="82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FF0FC"/>
              <w:right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24,139,078</w:t>
            </w: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9"/>
                <w:szCs w:val="9"/>
                <w:color w:val="auto"/>
                <w:w w:val="78"/>
              </w:rPr>
              <w:t>$</w:t>
            </w:r>
          </w:p>
        </w:tc>
        <w:tc>
          <w:tcPr>
            <w:tcW w:w="3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2</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524,038</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rPr>
              <w:t>(165,066 )</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9"/>
                <w:szCs w:val="9"/>
                <w:color w:val="auto"/>
              </w:rPr>
              <w:t>358,974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-4182745</wp:posOffset>
            </wp:positionV>
            <wp:extent cx="76835"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-4182745</wp:posOffset>
            </wp:positionV>
            <wp:extent cx="76835"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-4182745</wp:posOffset>
            </wp:positionV>
            <wp:extent cx="76835"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-4182745</wp:posOffset>
            </wp:positionV>
            <wp:extent cx="68580"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-4272280</wp:posOffset>
            </wp:positionV>
            <wp:extent cx="2631440" cy="175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31440" cy="175895"/>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-3818255</wp:posOffset>
            </wp:positionV>
            <wp:extent cx="275590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55900" cy="11112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-3363595</wp:posOffset>
            </wp:positionV>
            <wp:extent cx="5246370" cy="7194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46370" cy="7194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-1696720</wp:posOffset>
            </wp:positionV>
            <wp:extent cx="76835"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-1696720</wp:posOffset>
            </wp:positionV>
            <wp:extent cx="76835"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-1696720</wp:posOffset>
            </wp:positionV>
            <wp:extent cx="76835"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-1696720</wp:posOffset>
            </wp:positionV>
            <wp:extent cx="6858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-1786255</wp:posOffset>
            </wp:positionV>
            <wp:extent cx="2631440"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31440" cy="17526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-650875</wp:posOffset>
            </wp:positionV>
            <wp:extent cx="76835"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-650875</wp:posOffset>
            </wp:positionV>
            <wp:extent cx="76835"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-650875</wp:posOffset>
            </wp:positionV>
            <wp:extent cx="76835"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-650875</wp:posOffset>
            </wp:positionV>
            <wp:extent cx="68580"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-741045</wp:posOffset>
            </wp:positionV>
            <wp:extent cx="2631440" cy="213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31440" cy="21399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-24765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-7620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-200660</wp:posOffset>
            </wp:positionV>
            <wp:extent cx="3814445" cy="2139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14445" cy="21399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2022</w:t>
            </w:r>
          </w:p>
        </w:tc>
      </w:tr>
      <w:tr>
        <w:trPr>
          <w:trHeight w:val="237"/>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(52,850 )</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(35,583 )</w:t>
            </w: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0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64</w:t>
            </w:r>
          </w:p>
        </w:tc>
      </w:tr>
      <w:tr>
        <w:trPr>
          <w:trHeight w:val="249"/>
        </w:trPr>
        <w:tc>
          <w:tcPr>
            <w:tcW w:w="7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3,603</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1,096</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Change in fair value of contingent value right liability</w:t>
            </w:r>
          </w:p>
        </w:tc>
        <w:tc>
          <w:tcPr>
            <w:tcW w:w="10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7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fair value of derivative liability</w:t>
            </w:r>
          </w:p>
        </w:tc>
        <w:tc>
          <w:tcPr>
            <w:tcW w:w="10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3,450</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10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129</w:t>
            </w:r>
          </w:p>
        </w:tc>
      </w:tr>
      <w:tr>
        <w:trPr>
          <w:trHeight w:val="249"/>
        </w:trPr>
        <w:tc>
          <w:tcPr>
            <w:tcW w:w="7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37"/>
        </w:trPr>
        <w:tc>
          <w:tcPr>
            <w:tcW w:w="740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(1,689 )</w:t>
            </w:r>
          </w:p>
        </w:tc>
      </w:tr>
      <w:tr>
        <w:trPr>
          <w:trHeight w:val="249"/>
        </w:trPr>
        <w:tc>
          <w:tcPr>
            <w:tcW w:w="74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w:t>
            </w:r>
          </w:p>
        </w:tc>
      </w:tr>
      <w:tr>
        <w:trPr>
          <w:trHeight w:val="237"/>
        </w:trPr>
        <w:tc>
          <w:tcPr>
            <w:tcW w:w="740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(7,710 )</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600</w:t>
            </w:r>
          </w:p>
        </w:tc>
      </w:tr>
      <w:tr>
        <w:trPr>
          <w:trHeight w:val="249"/>
        </w:trPr>
        <w:tc>
          <w:tcPr>
            <w:tcW w:w="74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(717 )</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(472 )</w:t>
            </w:r>
          </w:p>
        </w:tc>
      </w:tr>
      <w:tr>
        <w:trPr>
          <w:trHeight w:val="237"/>
        </w:trPr>
        <w:tc>
          <w:tcPr>
            <w:tcW w:w="740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10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(88 )</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(246 )</w:t>
            </w:r>
          </w:p>
        </w:tc>
      </w:tr>
      <w:tr>
        <w:trPr>
          <w:trHeight w:val="236"/>
        </w:trPr>
        <w:tc>
          <w:tcPr>
            <w:tcW w:w="74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(55,666 )</w:t>
            </w:r>
          </w:p>
        </w:tc>
        <w:tc>
          <w:tcPr>
            <w:tcW w:w="2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(32,587 )</w:t>
            </w:r>
          </w:p>
        </w:tc>
      </w:tr>
      <w:tr>
        <w:trPr>
          <w:trHeight w:val="236"/>
        </w:trPr>
        <w:tc>
          <w:tcPr>
            <w:tcW w:w="7400" w:type="dxa"/>
            <w:vAlign w:val="bottom"/>
          </w:tcPr>
          <w:p>
            <w:pPr>
              <w:ind w:left="20"/>
              <w:spacing w:after="0"/>
              <w:rPr>
                <w:sz w:val="20"/>
                <w:szCs w:val="20"/>
                <w:color w:val="auto"/>
              </w:rPr>
            </w:pPr>
            <w:r>
              <w:rPr>
                <w:rFonts w:ascii="Arial" w:cs="Arial" w:eastAsia="Arial" w:hAnsi="Arial"/>
                <w:sz w:val="18"/>
                <w:szCs w:val="18"/>
                <w:color w:val="auto"/>
              </w:rPr>
              <w:t>Cash flow from investing activities</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3"/>
        </w:trPr>
        <w:tc>
          <w:tcPr>
            <w:tcW w:w="7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(86 )</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(139 )</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(139 )</w:t>
            </w: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from financing activities</w:t>
            </w:r>
          </w:p>
        </w:tc>
        <w:tc>
          <w:tcPr>
            <w:tcW w:w="10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Proceeds from sale of common stock in offerings, net of issuance costs paid</w:t>
            </w:r>
          </w:p>
        </w:tc>
        <w:tc>
          <w:tcPr>
            <w:tcW w:w="10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192,126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sale of pre-funded warrants in offerings, net of issuance costs paid</w:t>
            </w:r>
          </w:p>
        </w:tc>
        <w:tc>
          <w:tcPr>
            <w:tcW w:w="10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37,579</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10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231,621</w:t>
            </w:r>
          </w:p>
        </w:tc>
        <w:tc>
          <w:tcPr>
            <w:tcW w:w="2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163</w:t>
            </w:r>
          </w:p>
        </w:tc>
      </w:tr>
      <w:tr>
        <w:trPr>
          <w:trHeight w:val="236"/>
        </w:trPr>
        <w:tc>
          <w:tcPr>
            <w:tcW w:w="7400" w:type="dxa"/>
            <w:vAlign w:val="bottom"/>
          </w:tcPr>
          <w:p>
            <w:pPr>
              <w:ind w:left="2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175,869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(32,563 )</w:t>
            </w:r>
          </w:p>
        </w:tc>
      </w:tr>
      <w:tr>
        <w:trPr>
          <w:trHeight w:val="243"/>
        </w:trPr>
        <w:tc>
          <w:tcPr>
            <w:tcW w:w="7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Cash, cash equivalents and restricted cash, beginning of period</w:t>
            </w:r>
          </w:p>
        </w:tc>
        <w:tc>
          <w:tcPr>
            <w:tcW w:w="10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194,788</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88,213</w:t>
            </w: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Cash, cash equivalents and restricted cash, end of period</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370,657</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55,650</w:t>
            </w:r>
          </w:p>
        </w:tc>
      </w:tr>
      <w:tr>
        <w:trPr>
          <w:trHeight w:val="20"/>
        </w:trPr>
        <w:tc>
          <w:tcPr>
            <w:tcW w:w="7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cash flow information</w:t>
            </w: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activities</w:t>
            </w:r>
          </w:p>
        </w:tc>
        <w:tc>
          <w:tcPr>
            <w:tcW w:w="10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15"/>
        </w:trPr>
        <w:tc>
          <w:tcPr>
            <w:tcW w:w="7400" w:type="dxa"/>
            <w:vAlign w:val="bottom"/>
          </w:tcPr>
          <w:p>
            <w:pPr>
              <w:ind w:left="200"/>
              <w:spacing w:after="0"/>
              <w:rPr>
                <w:sz w:val="20"/>
                <w:szCs w:val="20"/>
                <w:color w:val="auto"/>
              </w:rPr>
            </w:pPr>
            <w:r>
              <w:rPr>
                <w:rFonts w:ascii="Arial" w:cs="Arial" w:eastAsia="Arial" w:hAnsi="Arial"/>
                <w:sz w:val="18"/>
                <w:szCs w:val="18"/>
                <w:color w:val="auto"/>
              </w:rPr>
              <w:t>Purchases of property and equipment included in accounts payable and accrued</w:t>
            </w: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7"/>
        </w:trPr>
        <w:tc>
          <w:tcPr>
            <w:tcW w:w="740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060" w:type="dxa"/>
            <w:vAlign w:val="bottom"/>
            <w:shd w:val="clear" w:color="auto" w:fill="CFF0FC"/>
          </w:tcPr>
          <w:p>
            <w:pPr>
              <w:jc w:val="right"/>
              <w:ind w:right="87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1,106</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Decrease in right-of-use assets related to lease modifications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422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Decrease in operating lease liabilities due to lease modifications</w:t>
            </w:r>
          </w:p>
        </w:tc>
        <w:tc>
          <w:tcPr>
            <w:tcW w:w="1060" w:type="dxa"/>
            <w:vAlign w:val="bottom"/>
            <w:shd w:val="clear" w:color="auto" w:fill="CFF0FC"/>
          </w:tcPr>
          <w:p>
            <w:pPr>
              <w:jc w:val="right"/>
              <w:ind w:right="87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392</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7400" w:type="dxa"/>
            <w:vAlign w:val="bottom"/>
          </w:tcPr>
          <w:p>
            <w:pPr>
              <w:ind w:left="200"/>
              <w:spacing w:after="0"/>
              <w:rPr>
                <w:sz w:val="20"/>
                <w:szCs w:val="20"/>
                <w:color w:val="auto"/>
              </w:rPr>
            </w:pPr>
            <w:r>
              <w:rPr>
                <w:rFonts w:ascii="Arial" w:cs="Arial" w:eastAsia="Arial" w:hAnsi="Arial"/>
                <w:sz w:val="18"/>
                <w:szCs w:val="18"/>
                <w:color w:val="auto"/>
              </w:rPr>
              <w:t>Deferred issuance costs on sale of common stock and pre-funded warrants in</w:t>
            </w: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7400" w:type="dxa"/>
            <w:vAlign w:val="bottom"/>
          </w:tcPr>
          <w:p>
            <w:pPr>
              <w:ind w:left="340"/>
              <w:spacing w:after="0"/>
              <w:rPr>
                <w:sz w:val="20"/>
                <w:szCs w:val="20"/>
                <w:color w:val="auto"/>
              </w:rPr>
            </w:pPr>
            <w:r>
              <w:rPr>
                <w:rFonts w:ascii="Arial" w:cs="Arial" w:eastAsia="Arial" w:hAnsi="Arial"/>
                <w:sz w:val="18"/>
                <w:szCs w:val="18"/>
                <w:color w:val="auto"/>
              </w:rPr>
              <w:t>offerings included in accounts payable and accrued expenses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215</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-3274060</wp:posOffset>
            </wp:positionV>
            <wp:extent cx="12001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-2956560</wp:posOffset>
            </wp:positionV>
            <wp:extent cx="12001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-2005330</wp:posOffset>
            </wp:positionV>
            <wp:extent cx="120015"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-1688465</wp:posOffset>
            </wp:positionV>
            <wp:extent cx="12001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the Business</w:t>
      </w:r>
    </w:p>
    <w:p>
      <w:pPr>
        <w:spacing w:after="0" w:line="1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and Diamond-Blackfan Anemia (“DBA”); DISC-0974 for the treatment of anemia of myelofibrosis (“MF”), and anemia of chronic kidney disease (“CKD”); and MWTX-003 for the treatment of polycythemia vera (“PV”), and other hematologic disorders. In addition, the Company’s preclinical programs also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spacing w:after="0" w:line="8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Merger with Gemini</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Pursuant to the terms of the Merger Agreement, at the effective time of the merger (the “Effective Time”), each then outstanding share of Private Disc common stock (including shares of common stock issued upon conversion of the Company’s preferred stock (see Note 9) and shares of the Company’s common stock issued in the Private Disc pre-closing financing defined below) was exchanged for 0.1096 shares of Gemini’s common stock (the “Exchange Ratio”), after taking into account the Reverse Stock Split, as defined below. In addition, each option to purchase Private Disc shares that was outstanding and unexercised immediately prior to the Effective Time was converted into an option to purchase shares of Gemini based on the Exchange Ratio. Immediately following the merger, stockholders of Private Disc owned approximately 74% of the outstanding common stock of the combined company. The merger was intended to qualify for federal income tax purposes as a tax-free reorganization under the provisions of Section 368(a) of the Internal Revenue Code of 1986, as amended.</w:t>
      </w:r>
    </w:p>
    <w:p>
      <w:pPr>
        <w:spacing w:after="0" w:line="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At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during the period that is one year after the closing of the merger, calculated in accordance with the CVR Agreement. As of September 30, 2023, no such proceeds were received (See Note 4).</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connection with the Merger Agreement, certain third parties entered into a subscription agreement with Private Disc to purchase shares of Private Disc’s common stock for an aggregate purchase price of $53.5 million (the “pre-closing financing”).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Shares of Private Disc’s common stock issued pursuant to the pre-closing financing were converted into shares of the Company’s common stock based on the Exchange Ratio.</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 merger was accounted for as a reverse recapitalization in accordance with U.S. GAAP. For accounting purposes, Private Disc was considered to be acquiring the assets and liabilities of Gemini in the merger based on the terms of the Merger Agreement and other factors, including: (i) Private Disc’s stockholders own a majority of the voting rights in the combined company; (ii) Private Disc designated a majority (eight of nine) of the initial members of the board of directors of the combined company; (iii) Private Disc’s executive management team became the management of the combined company; (iv) the pre-combination assets of Gemini were primarily cash and cash equivalents and other non-operating assets (the in-process research and development assets potentially remaining as of the combination were considered to be of de minimis value); and (v) the combined company was named Disc Medicine, Inc. and is headquartered in Private Disc’s office in Watertown, Massachusetts. Accordingly, the merger was treated as the equivalent of Private Disc issuing stock to acquire the net assets of Gemini. As a result of the merger, the net assets of Gemini were recorded at their acquisition-date fair value in the financial statements of the Company and the reported operating results prior to the merger are those of Private Disc.</w:t>
      </w:r>
    </w:p>
    <w:p>
      <w:pPr>
        <w:spacing w:after="0" w:line="5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Pursuant to the terms of the Roche Agreement (see Note 4), immediately following the Effective Time, the Company issued 482,313 shares of the combined company to Roche for no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 and Exchange Ratio</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December 29, 2022, in connection with, and prior to the completion of, the merger, Gemini effected a one-for-ten reverse stock split of its then outstanding common stock (the “Reverse Stock Split”). The par value and the authorized shares of the common stock were not adjusted as a result of the Reverse Stock Split. All of Gemini’s issued and outstanding common stock have been retroactively adjusted to reflect this Reverse Stock Split for all periods presented.</w:t>
      </w:r>
    </w:p>
    <w:p>
      <w:pPr>
        <w:spacing w:after="0" w:line="7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All issued and outstanding Private Disc common stock, convertible preferred stock and options prior to the effective date of the merger have been retroactively adjusted to reflect the 0.1096 Exchange Ratio, which reflects the impact of the reverse stock split, for all periods presented.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 Company’s condensed consolidated financial statements have been prepared on the basis of the Company continuing as a going concern. The Company expects that its existing cash and cash equivalents as of September 30, 2023 of $370.5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September 30, 2023, the Company had an accumulated deficit of $165.1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significant accounting policies used in preparation of the condensed consolidated financial statements are described in the Company’s audited consolidated financial statements as of and for the year ended December 31, 2022, and the notes thereto, which are included in the Company’s Annual Report on Form 10-K. There have been no material changes to the significant accounting policies previously disclosed in the Company’s Annual Report on Form 10-K for the year ended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transactions and balances have been eliminated in consolidation.</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ind w:firstLine="509"/>
        <w:spacing w:after="0" w:line="301" w:lineRule="auto"/>
        <w:rPr>
          <w:sz w:val="20"/>
          <w:szCs w:val="20"/>
          <w:color w:val="auto"/>
        </w:rPr>
      </w:pPr>
      <w:r>
        <w:rPr>
          <w:rFonts w:ascii="Arial" w:cs="Arial" w:eastAsia="Arial" w:hAnsi="Arial"/>
          <w:sz w:val="16"/>
          <w:szCs w:val="16"/>
          <w:color w:val="auto"/>
        </w:rPr>
        <w:t>The accompanying condensed consolidated financial statements as of September 30, 2023 and for the three and nine months ended September 30, 2023 and 2022 are unaudited. The financial data and other information contained in the notes hereto as of September 30, 2023 and for the three and nine months ended September 30, 2023 and 2022 are also unaudited. The condensed consolidated balance sheet data as of December 31, 2022 was derived from the Company’s audited consolidated financial statements included in the Company’s Annual Report on Form 10-K.</w:t>
      </w:r>
    </w:p>
    <w:p>
      <w:pPr>
        <w:spacing w:after="0" w:line="4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September 30, 2023 and the results of its operations and cash flows for the three and nine months ended September 30, 2023 and 2022. These unaudited condensed consolidated financial statements should be read in conjunction with the audited consolidated financial statements as of and for the year ended December 31, 2022, and the notes thereto, included in the Company’s Annual Report on Form 10-K.</w:t>
      </w:r>
    </w:p>
    <w:p>
      <w:pPr>
        <w:spacing w:after="0" w:line="8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results for the three and nine months ended September 30, 2023 and 2022 are not necessarily indicative of results to be expected for the full years, or any other interim periods, or any future year 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prior to the effective date of the merger; the fair value determinations for instruments accounted for at fair value including contingent amounts payable to third parties upon the consummation of specified transactions, including a Roche Qualified Transaction (see Note 4); the fair value of Gemini’s development programs at the Effective Time; the fair value of the CVR;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of Significant Suppliers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9"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580" w:firstLine="509"/>
        <w:spacing w:after="0" w:line="342" w:lineRule="auto"/>
        <w:rPr>
          <w:sz w:val="20"/>
          <w:szCs w:val="20"/>
          <w:color w:val="auto"/>
        </w:rPr>
      </w:pPr>
      <w:r>
        <w:rPr>
          <w:rFonts w:ascii="Arial" w:cs="Arial" w:eastAsia="Arial" w:hAnsi="Arial"/>
          <w:sz w:val="16"/>
          <w:szCs w:val="16"/>
          <w:color w:val="auto"/>
        </w:rPr>
        <w:t>The Company maintains a letter of credit of $0.1 million for the benefit of its landlord related to its current leased office space in Watertown, Massachusetts which is classified within other assets. The Company is required to maintain a separate cash balance to secure its letter of credit.</w:t>
      </w:r>
    </w:p>
    <w:p>
      <w:pPr>
        <w:spacing w:after="0" w:line="124"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The Company maintained a letter of credit of less than $0.1 million for leased space in Cambridge, Massachusetts, which was classified within prepaids and other current assets as of December 31, 2022. This lease was terminated in 2021 and the letter of credit was subsequently returned and released from restricted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has been subsequently amended by ASU 2018-19, ASU 2019-04, ASU 2019-05, ASU 2019-10, ASU 2019-11, ASU 2020-03, and ASU</w:t>
      </w:r>
      <w:r>
        <w:rPr>
          <w:rFonts w:ascii="Arial" w:cs="Arial" w:eastAsia="Arial" w:hAnsi="Arial"/>
          <w:sz w:val="18"/>
          <w:szCs w:val="18"/>
          <w:i w:val="1"/>
          <w:iCs w:val="1"/>
          <w:color w:val="auto"/>
        </w:rPr>
        <w:t xml:space="preserve"> </w:t>
      </w:r>
      <w:r>
        <w:rPr>
          <w:rFonts w:ascii="Arial" w:cs="Arial" w:eastAsia="Arial" w:hAnsi="Arial"/>
          <w:sz w:val="18"/>
          <w:szCs w:val="18"/>
          <w:color w:val="auto"/>
        </w:rPr>
        <w:t>2022-02 (“ASU 2016-13”). This standard requires that credit losses be recorded using an expected losses model rather than the incurred losses model that was previously used and establishes additional credit risk disclosures associated with financial assets. The amendments in this standard should be applied on a modified retrospective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to all periods presented. The Company adopted ASU 2016-13 on January 1, 2023 using the modified retrospective approach. The adoption of this standard did not have a material effect on the Company’s financial position, results of operations or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 with Gemini</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As described in Note 1, Private Disc merged with Gemini on December 29, 2022. The merger was accounted for as a reverse recapitalization with Private Disc as the accounting acquirer. The primary pre-combination assets of Gemini were cash and cash equivalents. Under reverse recapitalization accounting, the assets and liabilities of Gemini were recorded at their fair value which approximated book value due to the short-term nature of the accounts. No goodwill or intangible assets were recognized. Consequently, the condensed consolidated financial statements of the Company reflect the operations of Private Disc for accounting purposes, together with a deemed issuance of shares equivalent to the shares held by the former stockholders of Gemini, the legal acquirer, and a recapitalization of the equity of Private Disc, the accounting acquirer.</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part of the reverse recapitalization, the Company acquired $97.4 million of cash and cash equivalents. The Company also obtained prepaids and other assets of $1.8 million and assumed accounts payable and accrued expenses of $7.8 million. Gemini’s development programs had ceased prior to the merger and were deemed to be de minimis in value at the transaction date.</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the Company recognized $0.6 million in share-based compensation expense as a result of the acceleration of vesting of stock options, performance stock units and restricted stock units at the time of merger. This amount was recorded in general and administrative expense in the consolidated statements of operations and comprehensive loss for the year ended December 31, 2022. The Company also incurred transaction costs of $7.9 million and this amount is recorded in additional paid-in capital in the consolidated statements of convertible preferred stock and stockholders’ equity (deficit)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 of the Company’s Annual Report on Form 10-K for the year ended December 31, 2022.</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assets and liabilities measured at fair value on a recurring basis are summarized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4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Level 3</w:t>
            </w:r>
          </w:p>
        </w:tc>
      </w:tr>
      <w:tr>
        <w:trPr>
          <w:trHeight w:val="23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9"/>
        </w:trPr>
        <w:tc>
          <w:tcPr>
            <w:tcW w:w="6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66,805</w:t>
            </w:r>
          </w:p>
        </w:tc>
        <w:tc>
          <w:tcPr>
            <w:tcW w:w="4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187,281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76"/>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66,805</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187,281</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26"/>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1"/>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Contingent value right liability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1,500</w:t>
            </w:r>
          </w:p>
        </w:tc>
      </w:tr>
      <w:tr>
        <w:trPr>
          <w:trHeight w:val="236"/>
        </w:trPr>
        <w:tc>
          <w:tcPr>
            <w:tcW w:w="664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1,500</w:t>
            </w: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6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3</w:t>
            </w:r>
          </w:p>
        </w:tc>
      </w:tr>
      <w:tr>
        <w:trPr>
          <w:trHeight w:val="23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40,783</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6"/>
        </w:trPr>
        <w:tc>
          <w:tcPr>
            <w:tcW w:w="664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40,783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-1490980</wp:posOffset>
            </wp:positionV>
            <wp:extent cx="109728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97280" cy="18034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-1156335</wp:posOffset>
            </wp:positionV>
            <wp:extent cx="10287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-1156335</wp:posOffset>
            </wp:positionV>
            <wp:extent cx="939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8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U.S. Treasury notes with original maturities of three months or less, is determined through third-party pricing services. The amortized cost of the U.S. treasury notes approximates the fair value. There have been no impairments of the Company’s assets measured and carried at fair value during the three and nine months ended September 30, 2023 and 2022. In addition, there were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240"/>
        <w:spacing w:after="0" w:line="263" w:lineRule="auto"/>
        <w:rPr>
          <w:sz w:val="20"/>
          <w:szCs w:val="20"/>
          <w:color w:val="auto"/>
        </w:rPr>
      </w:pPr>
      <w:r>
        <w:rPr>
          <w:rFonts w:ascii="Arial" w:cs="Arial" w:eastAsia="Arial" w:hAnsi="Arial"/>
          <w:sz w:val="18"/>
          <w:szCs w:val="18"/>
          <w:color w:val="auto"/>
        </w:rPr>
        <w:t>no changes in valuation techniques or transfers between Level 1, Level 2 and Level 3 financial assets during the three and nine months ended September 30, 2023 and 2022. The Company did not have any non-recurring fair value measurements on any assets or liabilities during the three and nine months ended September 30, 2023 and 2022.</w:t>
      </w:r>
    </w:p>
    <w:p>
      <w:pPr>
        <w:spacing w:after="0" w:line="184"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In May 2021, the Company entered into a license agreement (the “Roche Agreement”) with F. Hoffmann-La Roche Ltd. and Hoffmann-La Roche Inc. (together, “Roche”) pursuant to which Roche granted the Company an exclusive and sublicensable worldwide license under certain patent rights and know-how to develop, manufacture and commercialize certain compounds (the “Compounds”) as further described in Note 8. The Company recognized a liability in connection with the Roche Agreement which included an obligation to issue a variable number of shares of the Company’s common stock to Roche for no additional consideration upon the Company’s completion of an initial public offering or certain merger transactions (a “Roche Qualified Transaction”). Prior to settlement in Q4 2022, the fair value measurement of the derivative liability was classified as Level 3 under the fair value hierarchy as it was valued using certain unobservable inputs. These inputs included: (1) the Company’s estimated shares outstanding and fair value per share upon completion of a Roche Qualified Transaction and (2) the probability of the Company completing a Roche Qualified Transaction. The number of shares of common stock to be issued to Roche was estimated to be approximately 2.85% of the outstanding shares of common stock of the combined company as of immediately after the completion of a Roche Qualified Transaction, including the exercise by the underwriters thereof of any overallotment option, if applicable. The Company remeasured the derivative liability based on the stock price of its publicly-traded common stock on December 29, 2022. The change in the fair value for the period was recorded in the condensed consolidated statements of operations and comprehensive loss in the change in fair value of derivative liability. Upon completion of the merger, the Company issued 482,313 shares of common stock to Roche, thereby settling the derivative liability, with the fair value of the common stock at the time of issuance recorded as additional paid-in capital.</w:t>
      </w:r>
    </w:p>
    <w:p>
      <w:pPr>
        <w:spacing w:after="0" w:line="171"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As described in Note 1, in connection with the merger, the stockholders of Gemini at the Effective Time received a CVR to receive consideration from the Company upon its receipt of certain proceeds, resulting from a disposition of Gemini’s pre-merger assets within one year after the closing of the merger, calculated in accordance with the CVR Agreement. The fair value of the CVR liability was $1.5 million as of September 30, 2023 and de minimis as of December 31, 2022. The fair value of the CVR liability was determined based on significant inputs not observable in the market, which represents a Level 3 measurement within the fair value hierarchy. The Company used a discounted cash flow approach to value the CVR liability. As inputs into the valuation, the Company considered the probabilities of success of certain potential payments, the amount of the payments, and a discount rate of 13.2% determined using an implied credit spread adjusted based on companies with similar credit risk.</w:t>
      </w:r>
    </w:p>
    <w:p>
      <w:pPr>
        <w:spacing w:after="0" w:line="5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provides a summary of changes in fair value of the Level 3 liabilities for the three and nine months ended September 30, 2023 and 2022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220" w:type="dxa"/>
            <w:vAlign w:val="bottom"/>
            <w:gridSpan w:val="2"/>
            <w:vMerge w:val="restart"/>
          </w:tcPr>
          <w:p>
            <w:pPr>
              <w:jc w:val="center"/>
              <w:ind w:right="32"/>
              <w:spacing w:after="0"/>
              <w:rPr>
                <w:sz w:val="20"/>
                <w:szCs w:val="20"/>
                <w:color w:val="auto"/>
              </w:rPr>
            </w:pPr>
            <w:r>
              <w:rPr>
                <w:rFonts w:ascii="Arial" w:cs="Arial" w:eastAsia="Arial" w:hAnsi="Arial"/>
                <w:sz w:val="14"/>
                <w:szCs w:val="14"/>
                <w:b w:val="1"/>
                <w:bCs w:val="1"/>
                <w:color w:val="auto"/>
                <w:w w:val="94"/>
              </w:rPr>
              <w:t>Three and Nine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center"/>
              <w:ind w:right="197"/>
              <w:spacing w:after="0"/>
              <w:rPr>
                <w:sz w:val="20"/>
                <w:szCs w:val="20"/>
                <w:color w:val="auto"/>
              </w:rPr>
            </w:pPr>
            <w:r>
              <w:rPr>
                <w:rFonts w:ascii="Arial" w:cs="Arial" w:eastAsia="Arial" w:hAnsi="Arial"/>
                <w:sz w:val="14"/>
                <w:szCs w:val="14"/>
                <w:b w:val="1"/>
                <w:bCs w:val="1"/>
                <w:color w:val="auto"/>
                <w:w w:val="94"/>
              </w:rPr>
              <w:t>Three and Nine Months</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1"/>
              </w:rPr>
              <w:t>September 30, 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1"/>
              </w:rPr>
              <w:t>September 30, 2022</w:t>
            </w:r>
          </w:p>
        </w:tc>
        <w:tc>
          <w:tcPr>
            <w:tcW w:w="0" w:type="dxa"/>
            <w:vAlign w:val="bottom"/>
          </w:tcPr>
          <w:p>
            <w:pPr>
              <w:spacing w:after="0"/>
              <w:rPr>
                <w:sz w:val="1"/>
                <w:szCs w:val="1"/>
                <w:color w:val="auto"/>
              </w:rPr>
            </w:pPr>
          </w:p>
        </w:tc>
      </w:tr>
      <w:tr>
        <w:trPr>
          <w:trHeight w:val="169"/>
        </w:trPr>
        <w:tc>
          <w:tcPr>
            <w:tcW w:w="6860" w:type="dxa"/>
            <w:vAlign w:val="bottom"/>
          </w:tcPr>
          <w:p>
            <w:pPr>
              <w:spacing w:after="0"/>
              <w:rPr>
                <w:sz w:val="14"/>
                <w:szCs w:val="14"/>
                <w:color w:val="auto"/>
              </w:rPr>
            </w:pPr>
          </w:p>
        </w:tc>
        <w:tc>
          <w:tcPr>
            <w:tcW w:w="222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94"/>
              </w:rPr>
              <w:t>Contingent value right liability</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Derivative liability</w:t>
            </w:r>
          </w:p>
        </w:tc>
        <w:tc>
          <w:tcPr>
            <w:tcW w:w="0" w:type="dxa"/>
            <w:vAlign w:val="bottom"/>
          </w:tcPr>
          <w:p>
            <w:pPr>
              <w:spacing w:after="0"/>
              <w:rPr>
                <w:sz w:val="1"/>
                <w:szCs w:val="1"/>
                <w:color w:val="auto"/>
              </w:rPr>
            </w:pPr>
          </w:p>
        </w:tc>
      </w:tr>
      <w:tr>
        <w:trPr>
          <w:trHeight w:val="237"/>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w:t>
            </w:r>
          </w:p>
        </w:tc>
        <w:tc>
          <w:tcPr>
            <w:tcW w:w="28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(2,390 )</w:t>
            </w:r>
          </w:p>
        </w:tc>
        <w:tc>
          <w:tcPr>
            <w:tcW w:w="0" w:type="dxa"/>
            <w:vAlign w:val="bottom"/>
          </w:tcPr>
          <w:p>
            <w:pPr>
              <w:spacing w:after="0"/>
              <w:rPr>
                <w:sz w:val="1"/>
                <w:szCs w:val="1"/>
                <w:color w:val="auto"/>
              </w:rPr>
            </w:pPr>
          </w:p>
        </w:tc>
      </w:tr>
      <w:tr>
        <w:trPr>
          <w:trHeight w:val="24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w:t>
            </w:r>
          </w:p>
        </w:tc>
        <w:tc>
          <w:tcPr>
            <w:tcW w:w="280" w:type="dxa"/>
            <w:vAlign w:val="bottom"/>
            <w:shd w:val="clear" w:color="auto" w:fill="CFF0FC"/>
          </w:tcPr>
          <w:p>
            <w:pPr>
              <w:spacing w:after="0"/>
              <w:rPr>
                <w:sz w:val="21"/>
                <w:szCs w:val="21"/>
                <w:color w:val="auto"/>
              </w:rPr>
            </w:pPr>
          </w:p>
        </w:tc>
        <w:tc>
          <w:tcPr>
            <w:tcW w:w="1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77"/>
        </w:trPr>
        <w:tc>
          <w:tcPr>
            <w:tcW w:w="6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128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1289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Restricted Cash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4"/>
                <w:szCs w:val="14"/>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26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370,541</w:t>
            </w:r>
          </w:p>
        </w:tc>
        <w:tc>
          <w:tcPr>
            <w:tcW w:w="1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194,611</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5"/>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Total cash, cash equivalents and restricted cash as shown on the condensed</w:t>
            </w:r>
          </w:p>
        </w:tc>
        <w:tc>
          <w:tcPr>
            <w:tcW w:w="3220" w:type="dxa"/>
            <w:vAlign w:val="bottom"/>
            <w:gridSpan w:val="2"/>
            <w:vMerge w:val="restart"/>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89"/>
              </w:rPr>
              <w:t>370,657</w:t>
            </w:r>
          </w:p>
        </w:tc>
        <w:tc>
          <w:tcPr>
            <w:tcW w:w="40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194,788</w:t>
            </w:r>
          </w:p>
        </w:tc>
        <w:tc>
          <w:tcPr>
            <w:tcW w:w="0" w:type="dxa"/>
            <w:vAlign w:val="bottom"/>
          </w:tcPr>
          <w:p>
            <w:pPr>
              <w:spacing w:after="0"/>
              <w:rPr>
                <w:sz w:val="1"/>
                <w:szCs w:val="1"/>
                <w:color w:val="auto"/>
              </w:rPr>
            </w:pPr>
          </w:p>
        </w:tc>
      </w:tr>
      <w:tr>
        <w:trPr>
          <w:trHeight w:val="243"/>
        </w:trPr>
        <w:tc>
          <w:tcPr>
            <w:tcW w:w="5480" w:type="dxa"/>
            <w:vAlign w:val="bottom"/>
            <w:shd w:val="clear" w:color="auto" w:fill="CFF0FC"/>
          </w:tcPr>
          <w:p>
            <w:pPr>
              <w:ind w:left="60"/>
              <w:spacing w:after="0" w:line="203" w:lineRule="exact"/>
              <w:rPr>
                <w:sz w:val="20"/>
                <w:szCs w:val="20"/>
                <w:color w:val="auto"/>
              </w:rPr>
            </w:pPr>
            <w:r>
              <w:rPr>
                <w:rFonts w:ascii="Arial" w:cs="Arial" w:eastAsia="Arial" w:hAnsi="Arial"/>
                <w:sz w:val="18"/>
                <w:szCs w:val="18"/>
                <w:color w:val="auto"/>
              </w:rPr>
              <w:t>consolidated statements of cash flows</w:t>
            </w:r>
          </w:p>
        </w:tc>
        <w:tc>
          <w:tcPr>
            <w:tcW w:w="3220" w:type="dxa"/>
            <w:vAlign w:val="bottom"/>
            <w:gridSpan w:val="2"/>
            <w:vMerge w:val="continue"/>
            <w:shd w:val="clear" w:color="auto" w:fill="CFF0FC"/>
          </w:tcPr>
          <w:p>
            <w:pPr>
              <w:spacing w:after="0"/>
              <w:rPr>
                <w:sz w:val="21"/>
                <w:szCs w:val="21"/>
                <w:color w:val="auto"/>
              </w:rPr>
            </w:pPr>
          </w:p>
        </w:tc>
        <w:tc>
          <w:tcPr>
            <w:tcW w:w="720" w:type="dxa"/>
            <w:vAlign w:val="bottom"/>
            <w:vMerge w:val="continue"/>
            <w:shd w:val="clear" w:color="auto" w:fill="CFF0FC"/>
          </w:tcPr>
          <w:p>
            <w:pPr>
              <w:spacing w:after="0"/>
              <w:rPr>
                <w:sz w:val="21"/>
                <w:szCs w:val="21"/>
                <w:color w:val="auto"/>
              </w:rPr>
            </w:pPr>
          </w:p>
        </w:tc>
        <w:tc>
          <w:tcPr>
            <w:tcW w:w="400" w:type="dxa"/>
            <w:vAlign w:val="bottom"/>
            <w:gridSpan w:val="2"/>
            <w:vMerge w:val="continue"/>
            <w:shd w:val="clear" w:color="auto" w:fill="CFF0FC"/>
          </w:tcPr>
          <w:p>
            <w:pPr>
              <w:spacing w:after="0"/>
              <w:rPr>
                <w:sz w:val="21"/>
                <w:szCs w:val="21"/>
                <w:color w:val="auto"/>
              </w:rPr>
            </w:pPr>
          </w:p>
        </w:tc>
        <w:tc>
          <w:tcPr>
            <w:tcW w:w="142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548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jc w:val="right"/>
              <w:ind w:right="1930"/>
              <w:spacing w:after="0"/>
              <w:rPr>
                <w:sz w:val="20"/>
                <w:szCs w:val="20"/>
                <w:color w:val="auto"/>
              </w:rPr>
            </w:pPr>
            <w:r>
              <w:rPr>
                <w:rFonts w:ascii="Arial" w:cs="Arial" w:eastAsia="Arial" w:hAnsi="Arial"/>
                <w:sz w:val="18"/>
                <w:szCs w:val="18"/>
                <w:color w:val="auto"/>
              </w:rPr>
              <w:t>13</w:t>
            </w:r>
          </w:p>
        </w:tc>
        <w:tc>
          <w:tcPr>
            <w:tcW w:w="9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-513715</wp:posOffset>
            </wp:positionV>
            <wp:extent cx="111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-496570</wp:posOffset>
            </wp:positionV>
            <wp:extent cx="111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183</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7. Accrued Expenses</w:t>
            </w: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tcPr>
          <w:p>
            <w:pPr>
              <w:ind w:left="520"/>
              <w:spacing w:after="0"/>
              <w:rPr>
                <w:sz w:val="20"/>
                <w:szCs w:val="20"/>
                <w:color w:val="auto"/>
              </w:rPr>
            </w:pPr>
            <w:r>
              <w:rPr>
                <w:rFonts w:ascii="Arial" w:cs="Arial" w:eastAsia="Arial" w:hAnsi="Arial"/>
                <w:sz w:val="18"/>
                <w:szCs w:val="18"/>
                <w:color w:val="auto"/>
              </w:rPr>
              <w:t>Accrued expenses consisted of the following (in thousands):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1,949</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Accrued employee-related expenses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3,173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5,567</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-1928495</wp:posOffset>
            </wp:positionV>
            <wp:extent cx="11112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Development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and Master Service Agreement with Aurigene Discoveries Technology Limited (“Aurigene”)</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February 2018, the Company entered into a license agreement with Aurigene, pursuant to which Aurigene granted the Company an exclusive worldwide license, with the right to grant sublicenses, to certain Aurigene intellectual property. Concurrent with the execution of the Aurigene license agreement, the parties entered into a master services agreement, which provided for Aurigene to provide future development services to the Company on a full-time equivalent cost basis and consumable costs incurred basis. The Company terminated the master service agreement effective in March 2023.</w:t>
      </w:r>
    </w:p>
    <w:p>
      <w:pPr>
        <w:spacing w:after="0" w:line="4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Pursuant to the license agreement, the Company agreed to pay an upfront fee of $0.1 million and annual maintenance fees up to $0.2 million for the licensed intellectual property. The Company may also be obligated to make future milestone payments of up to $7.1 million for the first licensed product based on the achievement of certain development and regulatory milestones. The term of the license agreement expires on a licensed product-by-licensed product and country-by-country basis on the expiration of the last-to-expire valid claim under the licensed intellectual property rights in such country. The Company can terminate the agreement, for convenience, with 90 days’ notice to Aurigene. The agreement can also be terminated by either party due to insolvency or by Aurigene due to a material breach after a specified cure period.</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three and nine months ended September 30, 2023, the Company recorded research and development expense related to its arrangements with Aurigene of zero and $0.3 million, respectively, compared to expense for the three and nine months ended September 30, 2022 of $0.2 million and $0.6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Stock Purchase Agreement with AbbVie Deutschland GmbH &amp; Co. KG (“AbbVie”)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170"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September 30, 2023, none of the milestones had been achieved.</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Roche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Roche Agreement, the Company paid Roche an upfront, non-refundable exclusivity payment of $0.5 million in March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Upon execution of the Roche Agreement in May 2021, the Company paid Roche an additional upfront, non-refundable payment of $4.0 million.</w:t>
      </w:r>
    </w:p>
    <w:p>
      <w:pPr>
        <w:spacing w:after="0" w:line="11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description of the derivative liability related to the Roche agreement settled in 2022 is included in 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Mabwell</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January 2023, the Company entered into an exclusive license agreement with Mabwell Therapeutics, Inc. (“Mabwell”), pursuant to which Mabwell granted the Company an exclusive and sublicensable license to certain Mabwell intellectual property.</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September 30, 2023, the Company was authorized to issue up to 10,000,000 shares of preferred stock at a par value of $0.0001, with no shares issued or outstanding.</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Immediately prior to the Effective Time, each share of Private Disc’s preferred stock was converted into a share of Private Disc’s common stock. At the closing of the merger, the shares of Private Disc’s common stock were converted into shares of the Company’s common stock based on the Exchange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At the closing of the merger, the shares of Private Disc’s common stock were converted into shares of the Company’s common stock based on the Exchange Ratio.</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As of September 30, 2023, the authorized capital stock of the Company included 100,000,000 shares of common stock, $0.0001 par value per share. Prior to the merger, the holders of Private Disc’s common stock were subject to and qualified by the rights, powers and preferences of the holders of the Preferred Stock. Each share of common stock entitles the holder to one vote on all matters submitted to the stockholders for a vote.</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September 30, 2023, the Company has 2,558,531 shares of common stock reserved for the exercise of stock options and 204,081 shares of common stock reserved for the exercise of pre-funded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Statements Resulting from the Merger</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January 2023, as a result of the merger, the Company filed a resale registration statement on Form S-3 with the Securities and Exchange Commission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future issuance under the 2021 Plan and 180,894 additional shares of common stock reserved and available for future issuance under the 2021 Employee Stock Purchase Plan (the “2021 ESPP”).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Subsequently in January 2023, the Company entered into a Sales Agreement (the “Sales Agreement”) with SVB Securities LLC, as sales agent, to provide for the offering, issuance and sale by the Company of up to $100.0 million of the Company’s common stock from time to time in “at-the-market” (“ATM”) offerings under the shelf. Under this program, the Company offered and sold, from time to time at its sole discretion, shares of its common stock through SVB Securities LLC as its sales agent. In an ATM offering, exchange-listed companies incrementally sell newly issued shares into the secondary trading market through a designated broker-dealer at prevailing market prices. Effective June 12, 2023, the ATM program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 capitalized issuance costs of $0.3 million as general and administrative expense in the consolidated statements of operations and comprehensive loss for the nine months ended September 30, 2023.</w:t>
      </w:r>
    </w:p>
    <w:p>
      <w:pPr>
        <w:spacing w:after="0" w:line="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September 30, 2023, the Company had sold an aggregate of 825,350 shares of common stock in at-the-market offerings under the shelf. Aggregate gross proceeds from the transactions were $20.0 million and the Company received $19.5 million in net proceeds, after deducting placement agent fees and offering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w:t>
      </w:r>
    </w:p>
    <w:p>
      <w:pPr>
        <w:spacing w:after="0" w:line="8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investors or their affiliates are beneficial holders of more than 5% of the Company’s capital stock. The pre-funded warrants meet the condition for equity classification and were therefore recorded as a component of stockholders’ equity within additional paid-in capital at the time of their issuance.</w:t>
      </w:r>
    </w:p>
    <w:p>
      <w:pPr>
        <w:spacing w:after="0" w:line="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three months ended September 30, 2023, all of the pre-funded warrants were exercised in a cashless transaction which resulted in 1,229,221 shares of common stock being issued to the investor.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w:t>
      </w:r>
    </w:p>
    <w:p>
      <w:pPr>
        <w:spacing w:after="0" w:line="8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pre-funded warrants provide that the holder will not have the right to exercise any portion of its warrants if such holder, together with its affiliates,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 The pre-funded warrants meet the condition for equity classification and were therefore recorded as a component of stockholders’ equity within additional paid-in capital.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grants stock-based awards under its 2021 Stock Option and Incentive Plan (the “2021 Plan”), which was approved by its stockholders in February 2021 and amended and restated in January 2023. The Company also has outstanding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ind w:right="60"/>
        <w:spacing w:after="0" w:line="263" w:lineRule="auto"/>
        <w:rPr>
          <w:sz w:val="20"/>
          <w:szCs w:val="20"/>
          <w:color w:val="auto"/>
        </w:rPr>
      </w:pPr>
      <w:r>
        <w:rPr>
          <w:rFonts w:ascii="Arial" w:cs="Arial" w:eastAsia="Arial" w:hAnsi="Arial"/>
          <w:sz w:val="18"/>
          <w:szCs w:val="18"/>
          <w:color w:val="auto"/>
        </w:rPr>
        <w:t>option awards under its 2017 Stock Option and Grant Plan (the “Private Disc Plan”), the 2017 Stock Option and Grant Plan (the “Gemini 2017 Plan”), and the 2021 Inducement Plan, but is no longer granting awards under these plans. The Company also has the option to grant awards under the 2021 ESPP, which was approved by shareholders in July 2021 and amended and restated in January 2023.</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300" w:type="dxa"/>
            <w:vAlign w:val="bottom"/>
          </w:tcPr>
          <w:p>
            <w:pPr>
              <w:jc w:val="center"/>
              <w:ind w:right="25"/>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3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3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5"/>
        </w:trPr>
        <w:tc>
          <w:tcPr>
            <w:tcW w:w="5780" w:type="dxa"/>
            <w:vAlign w:val="bottom"/>
          </w:tcPr>
          <w:p>
            <w:pPr>
              <w:ind w:left="572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394"/>
              <w:spacing w:after="0"/>
              <w:rPr>
                <w:sz w:val="20"/>
                <w:szCs w:val="20"/>
                <w:color w:val="auto"/>
              </w:rPr>
            </w:pPr>
            <w:r>
              <w:rPr>
                <w:rFonts w:ascii="Arial" w:cs="Arial" w:eastAsia="Arial" w:hAnsi="Arial"/>
                <w:sz w:val="14"/>
                <w:szCs w:val="14"/>
                <w:b w:val="1"/>
                <w:bCs w:val="1"/>
                <w:color w:val="auto"/>
              </w:rPr>
              <w:t>Options</w:t>
            </w:r>
          </w:p>
        </w:tc>
        <w:tc>
          <w:tcPr>
            <w:tcW w:w="3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300" w:type="dxa"/>
            <w:vAlign w:val="bottom"/>
          </w:tcPr>
          <w:p>
            <w:pPr>
              <w:jc w:val="center"/>
              <w:ind w:right="45"/>
              <w:spacing w:after="0"/>
              <w:rPr>
                <w:sz w:val="20"/>
                <w:szCs w:val="20"/>
                <w:color w:val="auto"/>
              </w:rPr>
            </w:pPr>
            <w:r>
              <w:rPr>
                <w:rFonts w:ascii="Arial" w:cs="Arial" w:eastAsia="Arial" w:hAnsi="Arial"/>
                <w:sz w:val="14"/>
                <w:szCs w:val="14"/>
                <w:b w:val="1"/>
                <w:bCs w:val="1"/>
                <w:color w:val="auto"/>
                <w:w w:val="96"/>
              </w:rPr>
              <w:t>Term (In Years)</w:t>
            </w:r>
          </w:p>
        </w:tc>
        <w:tc>
          <w:tcPr>
            <w:tcW w:w="140" w:type="dxa"/>
            <w:vAlign w:val="bottom"/>
          </w:tcPr>
          <w:p>
            <w:pPr>
              <w:spacing w:after="0"/>
              <w:rPr>
                <w:sz w:val="16"/>
                <w:szCs w:val="16"/>
                <w:color w:val="auto"/>
              </w:rPr>
            </w:pPr>
          </w:p>
        </w:tc>
        <w:tc>
          <w:tcPr>
            <w:tcW w:w="122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3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2,640,590</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25,513</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181,246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(175,191 )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(17,684 )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Expired</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(70,430 )</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102.56</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Outstanding at September 30, 2023</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2,558,531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15.95</w:t>
            </w:r>
          </w:p>
        </w:tc>
        <w:tc>
          <w:tcPr>
            <w:tcW w:w="1400" w:type="dxa"/>
            <w:vAlign w:val="bottom"/>
            <w:gridSpan w:val="2"/>
          </w:tcPr>
          <w:p>
            <w:pPr>
              <w:jc w:val="right"/>
              <w:ind w:right="45"/>
              <w:spacing w:after="0"/>
              <w:rPr>
                <w:sz w:val="20"/>
                <w:szCs w:val="20"/>
                <w:color w:val="auto"/>
              </w:rPr>
            </w:pPr>
            <w:r>
              <w:rPr>
                <w:rFonts w:ascii="Arial" w:cs="Arial" w:eastAsia="Arial" w:hAnsi="Arial"/>
                <w:sz w:val="18"/>
                <w:szCs w:val="18"/>
                <w:color w:val="auto"/>
              </w:rPr>
              <w:t>7.77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86,191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Exercisable at September 30, 2023</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1,285,226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16.00</w:t>
            </w:r>
          </w:p>
        </w:tc>
        <w:tc>
          <w:tcPr>
            <w:tcW w:w="1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6.84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46,219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-342265</wp:posOffset>
            </wp:positionV>
            <wp:extent cx="9461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87"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nine months ended September 30, 2023 was $4.5 million.</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assumptions used to estimate the fair value of stock options granted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77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3.87 %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2.24 %</w:t>
            </w:r>
          </w:p>
        </w:tc>
      </w:tr>
      <w:tr>
        <w:trPr>
          <w:trHeight w:val="242"/>
        </w:trPr>
        <w:tc>
          <w:tcPr>
            <w:tcW w:w="77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spacing w:after="0"/>
              <w:rPr>
                <w:sz w:val="21"/>
                <w:szCs w:val="21"/>
                <w:color w:val="auto"/>
              </w:rPr>
            </w:pP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55 %</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5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per share of common stock</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41.48</w:t>
            </w:r>
          </w:p>
        </w:tc>
        <w:tc>
          <w:tcPr>
            <w:tcW w:w="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13.41</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The weighted-average grant date fair value of options granted during the nine months ended September 30, 2023 and 2022 was $25.68 and $7.21 per share,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fair value of options vested during the nine months ended September 30, 2023 was $2.9 million.</w:t>
      </w:r>
    </w:p>
    <w:p>
      <w:pPr>
        <w:spacing w:after="0" w:line="117" w:lineRule="exact"/>
        <w:rPr>
          <w:sz w:val="20"/>
          <w:szCs w:val="20"/>
          <w:color w:val="auto"/>
        </w:rPr>
      </w:pPr>
    </w:p>
    <w:p>
      <w:pPr>
        <w:jc w:val="both"/>
        <w:ind w:right="60" w:firstLine="509"/>
        <w:spacing w:after="0" w:line="296" w:lineRule="auto"/>
        <w:rPr>
          <w:sz w:val="20"/>
          <w:szCs w:val="20"/>
          <w:color w:val="auto"/>
        </w:rPr>
      </w:pPr>
      <w:r>
        <w:rPr>
          <w:rFonts w:ascii="Arial" w:cs="Arial" w:eastAsia="Arial" w:hAnsi="Arial"/>
          <w:sz w:val="16"/>
          <w:szCs w:val="16"/>
          <w:color w:val="auto"/>
        </w:rPr>
        <w:t>As of September 30, 2023, the Company had issued a total of 63,061 shares of restricted common stock to the founders of Private Disc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 As of September 30, 2023, all awards of restricted common stock were fully vested.</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restricted common stock activity is as follows:</w:t>
      </w:r>
    </w:p>
    <w:p>
      <w:pPr>
        <w:spacing w:after="0" w:line="230"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72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the beginning of the year</w:t>
            </w:r>
          </w:p>
        </w:tc>
        <w:tc>
          <w:tcPr>
            <w:tcW w:w="10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10,170</w:t>
            </w:r>
          </w:p>
        </w:tc>
      </w:tr>
      <w:tr>
        <w:trPr>
          <w:trHeight w:val="237"/>
        </w:trPr>
        <w:tc>
          <w:tcPr>
            <w:tcW w:w="8720" w:type="dxa"/>
            <w:vAlign w:val="bottom"/>
            <w:gridSpan w:val="2"/>
          </w:tcPr>
          <w:p>
            <w:pPr>
              <w:ind w:left="200"/>
              <w:spacing w:after="0"/>
              <w:rPr>
                <w:sz w:val="20"/>
                <w:szCs w:val="20"/>
                <w:color w:val="auto"/>
              </w:rPr>
            </w:pPr>
            <w:r>
              <w:rPr>
                <w:rFonts w:ascii="Arial" w:cs="Arial" w:eastAsia="Arial" w:hAnsi="Arial"/>
                <w:sz w:val="18"/>
                <w:szCs w:val="18"/>
                <w:color w:val="auto"/>
              </w:rPr>
              <w:t>Vested</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(1,916 )</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(6,854 )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the end of the period</w:t>
            </w:r>
          </w:p>
        </w:tc>
        <w:tc>
          <w:tcPr>
            <w:tcW w:w="1040" w:type="dxa"/>
            <w:vAlign w:val="bottom"/>
            <w:tcBorders>
              <w:top w:val="single" w:sz="8" w:color="auto"/>
              <w:bottom w:val="single" w:sz="8" w:color="auto"/>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3,316</w:t>
            </w:r>
          </w:p>
        </w:tc>
      </w:tr>
      <w:tr>
        <w:trPr>
          <w:trHeight w:val="635"/>
        </w:trPr>
        <w:tc>
          <w:tcPr>
            <w:tcW w:w="7680" w:type="dxa"/>
            <w:vAlign w:val="bottom"/>
          </w:tcPr>
          <w:p>
            <w:pPr>
              <w:jc w:val="right"/>
              <w:ind w:right="1870"/>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2"/>
        </w:trPr>
        <w:tc>
          <w:tcPr>
            <w:tcW w:w="76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-513715</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-496570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Total stock-based compensation expense recorded as research and development and general and administrative expenses, respectively, for employees, directors and non-employees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20" w:type="dxa"/>
            <w:vAlign w:val="bottom"/>
          </w:tcPr>
          <w:p>
            <w:pPr>
              <w:ind w:left="57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ind w:left="57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3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1,167</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422</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2,436</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674</w:t>
            </w: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w w:val="84"/>
              </w:rPr>
              <w:t>1,270</w:t>
            </w:r>
          </w:p>
        </w:tc>
        <w:tc>
          <w:tcPr>
            <w:tcW w:w="1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3,603</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-25400</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946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September 30, 2023, the total unrecognized stock-based compensation expense related to outstanding awards was $11.1 million and is expected to be recognized over a weighted-average period of 2.76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did not record a provision or benefit for federal income taxes during the three and nine months ended September 30, 2023 and 2022. The Company recorded state income tax expense of less than $0.1 million for the three and nine months ended September 30, 2023, due to interest income. There was no state income tax expense for the three and nine months ended September 30, 2022. The Company continues to maintain a full valuation allowance against all of its deferred tax assets.</w:t>
      </w:r>
    </w:p>
    <w:p>
      <w:pPr>
        <w:spacing w:after="0" w:line="7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4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Basic and diluted net loss per share is computed by dividing net loss attributable to common stockholders by the weighted-average common shares outstanding. The weighted-average common shares outstanding used in the basic and diluted net loss per share calculation includes the pre-funded warrants issued in connection with the Company’s follow-on public offering in June 2023 and registered direct offering in February 2023 as the pre-funded warrants are exercisable for nominal cash consideration. As of September 30, 2023, 1,229,224 of the pre-funded warrants were exercised in a cashless transaction which resulted in 1,229,221 shares of common stock being issued to the investor. As of September 30, 2023, 204,081 pre-funded warrants were outstanding.</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has generated a net loss in all periods presented, so the basic and diluted net loss per share are the same, as the inclusion of the potentially dilutive securities would be anti-dilutive. The Company excluded the following from the computation of diluted net loss per share attributable to common stockholders because including them would have had an anti-dilutive effect: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3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7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Seed convertible preferred stock</w:t>
            </w:r>
          </w:p>
        </w:tc>
        <w:tc>
          <w:tcPr>
            <w:tcW w:w="1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5,000,000</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Series A convertible preferred stock</w:t>
            </w:r>
          </w:p>
        </w:tc>
        <w:tc>
          <w:tcPr>
            <w:tcW w:w="23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41,666,666</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convertible preferred stock</w:t>
            </w:r>
          </w:p>
        </w:tc>
        <w:tc>
          <w:tcPr>
            <w:tcW w:w="2340" w:type="dxa"/>
            <w:vAlign w:val="bottom"/>
            <w:gridSpan w:val="3"/>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37,499,999</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23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3,316</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2,558,531</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1,606,917</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nine months ended September 30, 2023 and 2022 and, to the best of its knowledge, no material legal proceedings are currently pending or threatened.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w:t>
      </w:r>
    </w:p>
    <w:p>
      <w:pPr>
        <w:spacing w:after="0" w:line="117"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The Company enters into contracts in the normal course of business with CROs,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jc w:val="both"/>
        <w:ind w:right="60" w:firstLine="509"/>
        <w:spacing w:after="0" w:line="273" w:lineRule="auto"/>
        <w:rPr>
          <w:sz w:val="20"/>
          <w:szCs w:val="20"/>
          <w:color w:val="auto"/>
        </w:rPr>
      </w:pPr>
      <w:r>
        <w:rPr>
          <w:rFonts w:ascii="Arial" w:cs="Arial" w:eastAsia="Arial" w:hAnsi="Arial"/>
          <w:sz w:val="17"/>
          <w:szCs w:val="17"/>
          <w:color w:val="auto"/>
        </w:rPr>
        <w:t>In October 2021, Private Disc entered into a five-year lease through November 2026 of 7,566 square feet of office space located at 321 Arsenal Street, Watertown, Massachusetts to be used as its corporate headquarters. In June 2023, the lease was amended to allow the landlord to perform certain maintenance activities expected to be completed by the end of 2023 and to provide rent abatement of $0.2 million. The amendment was accounted for as a modification resulting in a new incremental borrowing rate and a reduction to the right-of-use asset and lease liability of $0.2 million. In September 2023, the Company recognized a reassessment event which was accounted for as a modification resulting in a new incremental borrowing rate and a reduction to the right-of-use asset and lease liability of an additional $0.2 million.</w:t>
      </w:r>
    </w:p>
    <w:p>
      <w:pPr>
        <w:spacing w:after="0" w:line="70" w:lineRule="exact"/>
        <w:rPr>
          <w:sz w:val="20"/>
          <w:szCs w:val="20"/>
          <w:color w:val="auto"/>
        </w:rPr>
      </w:pPr>
    </w:p>
    <w:p>
      <w:pPr>
        <w:jc w:val="both"/>
        <w:ind w:right="60" w:firstLine="509"/>
        <w:spacing w:after="0" w:line="257" w:lineRule="auto"/>
        <w:rPr>
          <w:sz w:val="20"/>
          <w:szCs w:val="20"/>
          <w:color w:val="auto"/>
        </w:rPr>
      </w:pPr>
      <w:r>
        <w:rPr>
          <w:rFonts w:ascii="Arial" w:cs="Arial" w:eastAsia="Arial" w:hAnsi="Arial"/>
          <w:sz w:val="18"/>
          <w:szCs w:val="18"/>
          <w:color w:val="auto"/>
        </w:rPr>
        <w:t>In June 2023, the Company entered into a sublease for a term of approximately three and a half years through November 2026, consisting of 9,280 square feet of office space on the second floor of the corporate headquarters in Watertown, Massachusetts. Fixed lease payments include base rent, subject to annual rent increases, and a management fee. Variable lease payments include the Company’s allocated share of costs incurred for real estate taxes, utilities, and other operating expenses applicable to the leased premises. Pursuant to the lease, the Company is also obligated to pay for certain administrative costs, taxes and operating expenses.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30"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10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321</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1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133</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expense</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387</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information related to the Company’s leases is as follows (in thousands, except term and discount rate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77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37"/>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w:t>
            </w:r>
          </w:p>
        </w:tc>
        <w:tc>
          <w:tcPr>
            <w:tcW w:w="1580" w:type="dxa"/>
            <w:vAlign w:val="bottom"/>
            <w:tcBorders>
              <w:top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3.17 years</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4.16 years</w:t>
            </w:r>
          </w:p>
        </w:tc>
        <w:tc>
          <w:tcPr>
            <w:tcW w:w="60" w:type="dxa"/>
            <w:vAlign w:val="bottom"/>
          </w:tcPr>
          <w:p>
            <w:pPr>
              <w:spacing w:after="0"/>
              <w:rPr>
                <w:sz w:val="20"/>
                <w:szCs w:val="20"/>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9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5.5 %</w:t>
            </w:r>
          </w:p>
        </w:tc>
      </w:tr>
      <w:tr>
        <w:trPr>
          <w:trHeight w:val="24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Operating cash flows used in operating leases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9"/>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0"/>
                <w:szCs w:val="20"/>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20"/>
                <w:szCs w:val="20"/>
                <w:color w:val="auto"/>
              </w:rPr>
            </w:pPr>
          </w:p>
        </w:tc>
      </w:tr>
    </w:tbl>
    <w:p>
      <w:pPr>
        <w:spacing w:after="0" w:line="106" w:lineRule="exact"/>
        <w:rPr>
          <w:sz w:val="20"/>
          <w:szCs w:val="20"/>
          <w:color w:val="auto"/>
        </w:rPr>
      </w:pPr>
    </w:p>
    <w:p>
      <w:pPr>
        <w:ind w:right="80" w:firstLine="509"/>
        <w:spacing w:after="0" w:line="308" w:lineRule="auto"/>
        <w:rPr>
          <w:sz w:val="20"/>
          <w:szCs w:val="20"/>
          <w:color w:val="auto"/>
        </w:rPr>
      </w:pPr>
      <w:r>
        <w:rPr>
          <w:rFonts w:ascii="Arial" w:cs="Arial" w:eastAsia="Arial" w:hAnsi="Arial"/>
          <w:sz w:val="17"/>
          <w:szCs w:val="17"/>
          <w:color w:val="auto"/>
        </w:rPr>
        <w:t>A maturity analysis of the annual undiscounted cash flows reconciled to the carrying value of the operating lease liabilities as of September 30, 2023, reflective of the Company’s election to account for lease and non-lease components together, is as follows (in thousands):</w:t>
      </w: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5"/>
        </w:trPr>
        <w:tc>
          <w:tcPr>
            <w:tcW w:w="902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ind w:right="412"/>
              <w:spacing w:after="0"/>
              <w:rPr>
                <w:sz w:val="20"/>
                <w:szCs w:val="20"/>
                <w:color w:val="auto"/>
              </w:rPr>
            </w:pPr>
            <w:r>
              <w:rPr>
                <w:rFonts w:ascii="Arial" w:cs="Arial" w:eastAsia="Arial" w:hAnsi="Arial"/>
                <w:sz w:val="14"/>
                <w:szCs w:val="14"/>
                <w:b w:val="1"/>
                <w:bCs w:val="1"/>
                <w:color w:val="auto"/>
              </w:rPr>
              <w:t>Operating Leases</w:t>
            </w:r>
          </w:p>
        </w:tc>
      </w:tr>
      <w:tr>
        <w:trPr>
          <w:trHeight w:val="237"/>
        </w:trPr>
        <w:tc>
          <w:tcPr>
            <w:tcW w:w="9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Remaining 2023</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86</w:t>
            </w: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664</w:t>
            </w: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850</w:t>
            </w:r>
          </w:p>
        </w:tc>
      </w:tr>
      <w:tr>
        <w:trPr>
          <w:trHeight w:val="237"/>
        </w:trPr>
        <w:tc>
          <w:tcPr>
            <w:tcW w:w="9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729</w:t>
            </w:r>
          </w:p>
        </w:tc>
      </w:tr>
      <w:tr>
        <w:trPr>
          <w:trHeight w:val="243"/>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2,329</w:t>
            </w: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(369 )</w:t>
            </w:r>
          </w:p>
        </w:tc>
      </w:tr>
      <w:tr>
        <w:trPr>
          <w:trHeight w:val="277"/>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1,960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landlord of the Company’s leased office space in Watertown, Massachusetts is a related party of the Company due to its equity ownership.</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February 2023, certain existing investors participated in the Company’s registered direct offering (see Note 10).</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June 2023, an existing investor participated in the Company’s follow-on offering (see Note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has completed an evaluation of all subsequent events after the unaudited condensed consolidated balance sheet date of September 30, 2023 through the date these condensed consolidated financial statements were issued to ensure that these condensed consolidated financial statements include appropriate disclosure of events both recognized in the condensed consolidated financial statements as of September 30, 2023, and events which occurred subsequently but were not recognized in the condensed consolidated financial statements. The Company had no non-recognizable subsequent events.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October 2023, the Company provided a 90-day notice to terminate the Aurigene license agreement effective in January 2024.</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October 2023, the Company filed a prospectus supplement with the SEC, which covered the offering, issuance and sale by the Company of up to an aggregate of $59.7 million of the Company’s common stock from time to time in at-the-market offerings pursuant to an Open Market Sale Agreement between the Company and Jefferies LLC, as sales agent. As of the issuance date of these condensed consolidated financial statements, no additional shares of common stock had been sold in ATM offerings since September 30, 2023.</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October 2023, the Company dosed the first patient in the Phase 1 clinical trial of polycythemia vera (“PV”) for DISC-3405. Per the license agreement, upon achievement of initiation of a Phase 1 clinical trial, a milestone payment of $5.0 million is due to Mabwell.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notes thereto included elsewhere in this Quarterly Report on Form 10-Q and the audited consolidated financial statements and notes thereto included in our Annual Report on Form 10-K for the year ended December 31, 2022. Please refer to our note regarding forward-looking statements under the caption “Forward Looking Statements” of this Quarterly Report on Form 10-Q, which is incorporated herein by this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known as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presented positive initial data from BEACON in June of 2023 at the European Hematology Association 2023 Congress, and BEACON data from all patients will be presented in December 2023 at the 65th American Society of Hematology Annual Meeting and Exposition, or ASH 2023, and we expect to present topline AURORA data in early 2024. We plan to request an end of Phase 2 meeting with the FDA in 2024. We entered into a collaborative research and development agreement with the National Institutes of Health, or NIH, to conduct an NIH-sponsored clinical trial of bitopertin in DBA. The FDA authorized the clinical trial to proceed and we announced on July 27, 2023 that the first patient was enrolled in this trial. We are planning additional trials of bitopertin in other indications.</w:t>
      </w:r>
    </w:p>
    <w:p>
      <w:pPr>
        <w:spacing w:after="0" w:line="186"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MF and anemia, or MF Trial, and initiated a separate Phase 1b/2 clinical trial in February 2023 in patients with non-dialysis dependent CKD and anemia, or CKD Trial. We plan to present initial data from the MF Trial at ASH 2023, and initial data from the 28 mg dose cohort of the patients of the CKD Trial in a management call in December 2023. In addition, we are developing a preclinical anti-hemojuvelin, or HJV, monoclonal antibody, DISC-0998, which also targets hepcidin suppression and was in-licensed from AbbVie Deutschland GmbH &amp; Co. KG, or AbbVie. DISC-0998 is designed to increase serum iron levels and has an extended serum half-life as compared to DISC-0974. We believe this profile may be desirable in certain subsets of patients with anemia associated with inflammatory diseases.</w:t>
      </w:r>
    </w:p>
    <w:p>
      <w:pPr>
        <w:spacing w:after="0" w:line="166"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we initiated a Phase 1 clinical trial in healthy adult volunteers in October 2023. We were granted fast track designation by the FDA for DISC-3405 for the treatment of PV in September 2023. We expect to develop DISC-3405 for the treatment of PV and other hematologic disorders.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Reverse Merger with Gemini</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August 9, 2022, Disc Medicine, Inc., a Delaware corporation, or Private Disc, entered into an Agreement and Plan of Merger and Reorganization, or the Merger Agreement, with Gemini Therapeutics, Inc., a Delaware corporation, or Gemini, Gemstone Merger Sub, Inc., a Delaware corporation and a wholly owned subsidiary of Gemini, or Merger Sub.</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December 29, 2022, Private Disc completed the merger with Gemini, or the merger. Gemini changed its name to Disc Medicine Inc., and Private Disc changed its name to Disc Medicine Opco, Inc., a wholly-owned subsidiary of Disc Medicine, Inc. On December 30, 2022, our common stock began trading on The Nasdaq Capital Market under the ticker symbol “IRON.”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consist primarily of costs incurred in connection with the research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expenses include:</w:t>
      </w:r>
    </w:p>
    <w:p>
      <w:pPr>
        <w:spacing w:after="0" w:line="103" w:lineRule="exact"/>
        <w:rPr>
          <w:sz w:val="20"/>
          <w:szCs w:val="20"/>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in connection with our research and development activities, including under agreements with third parties such as consultants, contractors and CROs;</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7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and manufacturing preclinical study and clinical trial materials, including manufacturing registration and validation batches;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compliance with quality and regulatory requirements;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typically use our employee and infrastructure resources across product candidates and development programs. We track outsourced development costs by product candidate or development program, but we do not allocate personnel costs or other internal costs to specific product candidates or development programs.</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product candidates we may develop. The successful development of any product candidate is highly uncertain. This is due to the numerous risks and uncertainties associated with product development, including the following:</w:t>
      </w:r>
    </w:p>
    <w:p>
      <w:pPr>
        <w:spacing w:after="0" w:line="62"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 and the progress of the development efforts of third parties with whom we may enter into such arrangements;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programs;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 for any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raw materials for use in production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supply of product candidate components for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obtain and maintain patents, trade secret protection and regulatory exclusivity, both in the United States and internationally;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other rights in our intellectual property portfolio;</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third-party insurance coverage and adequate reimbursement for any approved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including noncapitalizable transaction costs; professional fees for accounting, auditing, tax and administrative consulting services; insurance costs, facility related expenses including maintenance and allocated expenses for rent and other operating costs.</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substantially in the future as we increase our headcount to support our continued research and development and potential commercialization of our product candidates. We also expect that we will incur increased expenses associated with being a public company, including costs of accounting, audit, legal, regulatory and tax compliance services, director and officer insurance costs and investor and public relations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Interest income primarily consists of interest earned on cash equivalents, consisting of money market funds, U.S. treasury notes and certificates of deposit.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Value Right Liability</w:t>
      </w:r>
    </w:p>
    <w:p>
      <w:pPr>
        <w:spacing w:after="0" w:line="225"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In December 2022, we entered into the CVR Agreement, described in more detail in Notes 1 and 4 to our unaudited condensed consolidated financial statements, which provided a CVR to Gemini’s pre-merger common stockholders to receive common stock from the Company upon its receipt of certain proceeds, calculated in accordance with the CVR Agreement, resulting from a disposition of Gemini’s pre-merger assets within one year after the closing of the merger. The CVR liability was measured at fair value as of each reporting date and the change in the fair value for the period was recorded in the condensed consolidated statements of operations and comprehensive loss in the change in fair value of contingent value right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May 2021, we entered into the Roche Agreement, described in more detail in Notes 4 and 8 to our unaudited condensed consolidated financial statements, which included an obligation to issue a variable number of shares of our common stock to Roche for no additional consideration upon the completion of a Roche Qualified Transaction as defined by the Roche Agreement.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liability was measured at fair value as of each reporting date and the change in the fair value for the period was recorded in the condensed consolidated statements of operations and comprehensive loss in the change in fair value of derivative liability. The liability was settled upon the completion of the merger on December 29,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14,419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7,886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6,533</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4,539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2,593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1,946</w:t>
            </w:r>
          </w:p>
        </w:tc>
      </w:tr>
      <w:tr>
        <w:trPr>
          <w:trHeight w:val="236"/>
        </w:trPr>
        <w:tc>
          <w:tcPr>
            <w:tcW w:w="6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18,958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10,479</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8,479</w:t>
            </w: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(18,958 )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(10,479 )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(8,479 )</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4,843</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4,574</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Change in fair value of contingent value right liability</w:t>
            </w:r>
          </w:p>
        </w:tc>
        <w:tc>
          <w:tcPr>
            <w:tcW w:w="32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5,940</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r>
      <w:tr>
        <w:trPr>
          <w:trHeight w:val="237"/>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4,856</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10,527</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(14,102 )</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(16,150 )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2,048</w:t>
            </w:r>
          </w:p>
        </w:tc>
      </w:tr>
      <w:tr>
        <w:trPr>
          <w:trHeight w:val="237"/>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(14,122 )</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(16,150 )</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2,028</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-1773555</wp:posOffset>
            </wp:positionV>
            <wp:extent cx="10287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-1773555</wp:posOffset>
            </wp:positionV>
            <wp:extent cx="939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-513715</wp:posOffset>
            </wp:positionV>
            <wp:extent cx="10287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-513715</wp:posOffset>
            </wp:positionV>
            <wp:extent cx="939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research and development expenses for the three months ended September 30, 2023 and 2022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Bitopertin</w:t>
            </w: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5,018</w:t>
            </w:r>
          </w:p>
        </w:tc>
        <w:tc>
          <w:tcPr>
            <w:tcW w:w="16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1,777</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3,241</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DISC-0974</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2,103</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2,585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(482 )</w:t>
            </w: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DISC-3405</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1,806</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1,806</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3,879</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2,226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1,653</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research programs and expenses</w:t>
            </w: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1,613</w:t>
            </w: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1,298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315</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14,419</w:t>
            </w:r>
          </w:p>
        </w:tc>
        <w:tc>
          <w:tcPr>
            <w:tcW w:w="100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7,886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6,533</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Research and development expenses were $14.4 million for the three months ended September 30, 2023, compared to $7.9 million for the three months ended September 30, 2022. The increase of $6.5 million in research and development expenses was primarily due to a $3.2 million increase in bitopertin development expense related to increased clinical study and drug manufacturing activity, a $1.8 million increase related to the DISC-3405 program which was in-licensed during the first quarter of 2023, and a $1.7 million increase in personnel-related costs related to higher research and development headcount.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general and administrative expenses for the three months ended September 30, 2023 and 2022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180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2,195</w:t>
            </w:r>
          </w:p>
        </w:tc>
        <w:tc>
          <w:tcPr>
            <w:tcW w:w="16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1,334</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Legal, consulting and professional fees</w:t>
            </w:r>
          </w:p>
        </w:tc>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1,478</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18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866</w:t>
            </w: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6"/>
        </w:trPr>
        <w:tc>
          <w:tcPr>
            <w:tcW w:w="4840" w:type="dxa"/>
            <w:vAlign w:val="bottom"/>
          </w:tcPr>
          <w:p>
            <w:pPr>
              <w:ind w:left="200"/>
              <w:spacing w:after="0"/>
              <w:rPr>
                <w:sz w:val="20"/>
                <w:szCs w:val="20"/>
                <w:color w:val="auto"/>
              </w:rPr>
            </w:pPr>
            <w:r>
              <w:rPr>
                <w:rFonts w:ascii="Arial" w:cs="Arial" w:eastAsia="Arial" w:hAnsi="Arial"/>
                <w:sz w:val="18"/>
                <w:szCs w:val="18"/>
                <w:color w:val="auto"/>
              </w:rPr>
              <w:t>Total general and administrative expenses</w:t>
            </w:r>
          </w:p>
        </w:tc>
        <w:tc>
          <w:tcPr>
            <w:tcW w:w="266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4,539</w:t>
            </w:r>
          </w:p>
        </w:tc>
        <w:tc>
          <w:tcPr>
            <w:tcW w:w="100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2,593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0" w:type="dxa"/>
            <w:vAlign w:val="bottom"/>
            <w:vMerge w:val="restart"/>
          </w:tcPr>
          <w:p>
            <w:pPr>
              <w:jc w:val="right"/>
              <w:ind w:right="830"/>
              <w:spacing w:after="0"/>
              <w:rPr>
                <w:sz w:val="20"/>
                <w:szCs w:val="20"/>
                <w:color w:val="auto"/>
              </w:rPr>
            </w:pPr>
            <w:r>
              <w:rPr>
                <w:rFonts w:ascii="Arial" w:cs="Arial" w:eastAsia="Arial" w:hAnsi="Arial"/>
                <w:sz w:val="18"/>
                <w:szCs w:val="18"/>
                <w:color w:val="auto"/>
              </w:rPr>
              <w:t>24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-685165</wp:posOffset>
            </wp:positionV>
            <wp:extent cx="10287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-685165</wp:posOffset>
            </wp:positionV>
            <wp:extent cx="939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jc w:val="both"/>
        <w:ind w:firstLine="509"/>
        <w:spacing w:after="0" w:line="259" w:lineRule="auto"/>
        <w:rPr>
          <w:sz w:val="20"/>
          <w:szCs w:val="20"/>
          <w:color w:val="auto"/>
        </w:rPr>
      </w:pPr>
      <w:r>
        <w:rPr>
          <w:rFonts w:ascii="Arial" w:cs="Arial" w:eastAsia="Arial" w:hAnsi="Arial"/>
          <w:sz w:val="18"/>
          <w:szCs w:val="18"/>
          <w:color w:val="auto"/>
        </w:rPr>
        <w:t>General and administrative expenses were $4.5 million for the three months ended September 30, 2023, compared to $2.6 million for the three months ended September 30, 2022. The increase of $1.9 million in general and administrative expenses was primarily due to an increase of $0.9 million in personnel-related costs due to higher general and administrative headcount and an increase of $0.6 million in legal, consulting and professional fees primarily due to an increase in financing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Other income (expense), net was income of $4.9 million for the three months ended September 30, 2023, compared to expense of $5.7 million for the three months ended September 30, 2022. The change of $10.5 million was primarily due to the change in fair value of the contingent value right liability of $1.5 million and an increase in interest income based on a larger cash and cash equivalents balance and higher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Income tax expense was less than $0.1 million for the three months ended September 30, 2023, compared to no expense for the three months ended September 30, 2022. The increase in expense relates to state income tax resulting from the increase in interest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46,699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23,421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23,278</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14,712</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9,033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5,679</w:t>
            </w: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61,411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32,454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28,957</w:t>
            </w: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(61,411 )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(28,957 )</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10,120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9,799</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Change in fair value of contingent value right liability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(1,500 )</w:t>
            </w: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3,450</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r>
      <w:tr>
        <w:trPr>
          <w:trHeight w:val="236"/>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8,628</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(3,129 )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11,757</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(52,783 )</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(35,583 )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(17,200 )</w:t>
            </w:r>
          </w:p>
        </w:tc>
      </w:tr>
      <w:tr>
        <w:trPr>
          <w:trHeight w:val="236"/>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(67 )</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(52,850 )</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(35,583 )</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(17,267 )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-1773555</wp:posOffset>
            </wp:positionV>
            <wp:extent cx="10287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-1773555</wp:posOffset>
            </wp:positionV>
            <wp:extent cx="939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-513715</wp:posOffset>
            </wp:positionV>
            <wp:extent cx="10287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-513715</wp:posOffset>
            </wp:positionV>
            <wp:extent cx="939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research and development expenses for the nine months ended September 30, 2023 and 2022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6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6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Bitopertin</w:t>
            </w: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11,780</w:t>
            </w:r>
          </w:p>
        </w:tc>
        <w:tc>
          <w:tcPr>
            <w:tcW w:w="16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6,224</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5,556</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DISC-0974</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6,730</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6,875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(145 )</w:t>
            </w: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DISC-3405</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12,373</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12,373</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10,467</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6,518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3,949</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research programs and expenses</w:t>
            </w: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5,349</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3,804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1,545</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46,699</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23,421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23,278</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8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Research and development expenses were $46.7 million for the nine months ended September 30, 2023, compared to $23.4 million for the nine months ended September 30, 2022. The increase of $23.3 million in research and development expenses was primarily due to initial development expenses of DISC-3405 primarily a $10.0 million upfront payment under the Mabwell license agreement, as well as a $5.6 million increase in bitopertin related to increased clinical study and drug manufacturing activity and a $3.9 million increase in personnel-related costs related to higher research and development headcount.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general and administrative expenses for the nine months ended September 30, 2023 and 2022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6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6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6,772</w:t>
            </w:r>
          </w:p>
        </w:tc>
        <w:tc>
          <w:tcPr>
            <w:tcW w:w="16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3,622</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3,150</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Legal, consulting and professional fees</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5,197</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4,631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566</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2,743</w:t>
            </w: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1,963</w:t>
            </w:r>
          </w:p>
        </w:tc>
      </w:tr>
      <w:tr>
        <w:trPr>
          <w:trHeight w:val="236"/>
        </w:trPr>
        <w:tc>
          <w:tcPr>
            <w:tcW w:w="6640" w:type="dxa"/>
            <w:vAlign w:val="bottom"/>
          </w:tcPr>
          <w:p>
            <w:pPr>
              <w:ind w:left="200"/>
              <w:spacing w:after="0"/>
              <w:rPr>
                <w:sz w:val="20"/>
                <w:szCs w:val="20"/>
                <w:color w:val="auto"/>
              </w:rPr>
            </w:pPr>
            <w:r>
              <w:rPr>
                <w:rFonts w:ascii="Arial" w:cs="Arial" w:eastAsia="Arial" w:hAnsi="Arial"/>
                <w:sz w:val="18"/>
                <w:szCs w:val="18"/>
                <w:color w:val="auto"/>
              </w:rPr>
              <w:t>Total general and administrative expenses</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14,712</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9,033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5,679</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General and administrative expenses were $14.7 million for the nine months ended September 30, 2023, compared to $9.0 million for the nine months ended September 30, 2022. The increase of $5.7 million in general and administrative expenses was primarily due to a $3.2 million increase in personnel-related costs related to higher general and administrative headcount, as well as an increase of $2.0 million in other expenses related to increased costs as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Other income (expense), net was income of $8.6 million for the nine months ended September 30, 2023, compared to expense of $3.1 million for the nine months ended September 30, 2022. The change of $11.8 million in other income (expense), net was primarily due to an increase in interest income based on a larger cash and cash equivalents balance and higher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right="20" w:firstLine="560"/>
        <w:spacing w:after="0" w:line="277" w:lineRule="auto"/>
        <w:rPr>
          <w:sz w:val="20"/>
          <w:szCs w:val="20"/>
          <w:color w:val="auto"/>
        </w:rPr>
      </w:pPr>
      <w:r>
        <w:rPr>
          <w:rFonts w:ascii="Arial" w:cs="Arial" w:eastAsia="Arial" w:hAnsi="Arial"/>
          <w:sz w:val="18"/>
          <w:szCs w:val="18"/>
          <w:color w:val="auto"/>
        </w:rPr>
        <w:t>Income tax expense was less than $0.1 million for the nine months ended September 30, 2023, compared to no expense for the nine months ended September 30, 2022. The increase in expense relates to state income tax resulting from the increase in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spacing w:after="0" w:line="8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To date, we have funded our operations primarily with proceeds from the sale of our convertible preferred stock and common stock, the proceeds from the merger with Gemini, proceeds from at-the-market offerings, proceeds from a registered direct offering and proceeds from a follow-on public offering. Through September 30, 2023, we have received net proceeds of $144.5 million from sales of our Series Seed, Series A and Series B convertible preferred stock, $89.5 million from the merger with Gemini, $53.5 million from sales of common stock in a pre-closing private financing, $62.4 million from sales of common stock and pre-funded warrants in a registered direct offering, $147.9 million from sales of common stock and pre-funded warrants in a public follow-on offering and $19.5 million from at-the-market offerings. As of September 30, 2023, we had cash and cash equivalents of $370.5 million.</w:t>
      </w:r>
    </w:p>
    <w:p>
      <w:pPr>
        <w:spacing w:after="0" w:line="5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incurred significant operating losses since inception and, as of September 30, 2023, had an accumulated deficit of $165.1 million. In addition, we expect to continue to incur significant and increasing expenses and operating losses for the foreseeable future. We believe that our current cash resources will enable us to fund our current planned operating expense and capital expenditure requirements well into 2026. We may also pursue additional cash resources through public or private equity, collaborations or debt financings.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230"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96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(55,666 )</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(32,587 )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231,621</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163</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175,869</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111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During the nine months ended September 30, 2023, net cash used in operating activities of $55.7 million was primarily due to our net loss of $52.9 million and a decrease in operating liabilities of $8.5 million primarily related to the payment of merger-related costs which were included in accounts payable at December 31, 2022, partially offset by non-cash expenses of $5.4 million primarily related to stock-based compensation expense of $3.6 million and the change in fair value of the contingent value right liability of $1.5 million.</w:t>
      </w:r>
    </w:p>
    <w:p>
      <w:pPr>
        <w:spacing w:after="0" w:line="18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During the nine months ended September 30, 2022, net cash used in operating activities of $32.6 million was primarily due to our net loss of $35.6 million and changes in operating assets and liabilities of $1.7 million, partially offset by non-cash expenses of $4.7 million. The change in operating assets and liabilities was primarily driven by an increase in prepaid CRO contracts and an increase in deferred transaction costs for the planned merger, offset by the recognition of deferred costs for the planned equity financing. The change in non-cash expenses was primarily driven by a $3.5 million change in the fair value of the derivative liability and $1.1 million in stock-based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nine months ended September 30, 2023 and 2022, net cash used in investing activities was related to purchases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During the nine months ended September 30, 2023, net cash provided by financing activities of $231.6 million consisted primarily of aggregate net proceeds of $147.9 million from sales of common stock and pre-funded warrants in a public follow-on offering, aggregate net proceeds of $62.4 million from sales of common stock and pre-funded warrants in a registered direct offering and aggregate net proceeds of $19.5 million from the at-the-market offerings.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nine months ended September 30, 2022, net cash provided by financing activities was due to proceeds from stock option exercises.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76" w:lineRule="exact"/>
        <w:rPr>
          <w:sz w:val="20"/>
          <w:szCs w:val="20"/>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or any future product candidates we may develop;</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or regulations applicable to any product candidates we may develop, including but not limited to clinical trial requirements for approvals;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obtaining materials to produce adequate product supply for any preclinical or clinical development of any product candidate we may develop;</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arrangements;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revenue, if any, received from commercial sales of our product candidates for which we receive marketing approval;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8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2023 and the effects that such obligations are expected to have on our liquidity and cash flows in future periods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w w:val="90"/>
              </w:rPr>
              <w:t>Payments Due by Period</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281"/>
              <w:spacing w:after="0" w:line="133" w:lineRule="exact"/>
              <w:rPr>
                <w:sz w:val="20"/>
                <w:szCs w:val="20"/>
                <w:color w:val="auto"/>
              </w:rPr>
            </w:pPr>
            <w:r>
              <w:rPr>
                <w:rFonts w:ascii="Arial" w:cs="Arial" w:eastAsia="Arial" w:hAnsi="Arial"/>
                <w:sz w:val="14"/>
                <w:szCs w:val="14"/>
                <w:b w:val="1"/>
                <w:bCs w:val="1"/>
                <w:color w:val="auto"/>
                <w:w w:val="98"/>
              </w:rPr>
              <w:t>Less Than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1 to 3</w:t>
            </w:r>
          </w:p>
        </w:tc>
        <w:tc>
          <w:tcPr>
            <w:tcW w:w="3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99"/>
              <w:spacing w:after="0" w:line="133" w:lineRule="exact"/>
              <w:rPr>
                <w:sz w:val="20"/>
                <w:szCs w:val="20"/>
                <w:color w:val="auto"/>
              </w:rPr>
            </w:pPr>
            <w:r>
              <w:rPr>
                <w:rFonts w:ascii="Arial" w:cs="Arial" w:eastAsia="Arial" w:hAnsi="Arial"/>
                <w:sz w:val="14"/>
                <w:szCs w:val="14"/>
                <w:b w:val="1"/>
                <w:bCs w:val="1"/>
                <w:color w:val="auto"/>
              </w:rPr>
              <w:t>3 to 5</w:t>
            </w:r>
          </w:p>
        </w:tc>
        <w:tc>
          <w:tcPr>
            <w:tcW w:w="2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right="199"/>
              <w:spacing w:after="0" w:line="133"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401"/>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300" w:type="dxa"/>
            <w:vAlign w:val="bottom"/>
            <w:gridSpan w:val="2"/>
            <w:vMerge w:val="continue"/>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Years</w:t>
            </w:r>
          </w:p>
        </w:tc>
        <w:tc>
          <w:tcPr>
            <w:tcW w:w="260" w:type="dxa"/>
            <w:vAlign w:val="bottom"/>
            <w:gridSpan w:val="2"/>
            <w:vMerge w:val="continue"/>
          </w:tcPr>
          <w:p>
            <w:pPr>
              <w:spacing w:after="0"/>
              <w:rPr>
                <w:sz w:val="16"/>
                <w:szCs w:val="16"/>
                <w:color w:val="auto"/>
              </w:rPr>
            </w:pPr>
          </w:p>
        </w:tc>
        <w:tc>
          <w:tcPr>
            <w:tcW w:w="1040" w:type="dxa"/>
            <w:vAlign w:val="bottom"/>
          </w:tcPr>
          <w:p>
            <w:pPr>
              <w:jc w:val="center"/>
              <w:ind w:right="159"/>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FF0FC"/>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4"/>
                <w:szCs w:val="24"/>
                <w:color w:val="auto"/>
                <w:vertAlign w:val="superscript"/>
              </w:rPr>
              <w:t>(1)</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2,329</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18"/>
                <w:szCs w:val="18"/>
                <w:color w:val="auto"/>
              </w:rPr>
              <w:t>539</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1,715</w:t>
            </w: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2,329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61"/>
              <w:spacing w:after="0"/>
              <w:rPr>
                <w:sz w:val="20"/>
                <w:szCs w:val="20"/>
                <w:color w:val="auto"/>
              </w:rPr>
            </w:pPr>
            <w:r>
              <w:rPr>
                <w:rFonts w:ascii="Arial" w:cs="Arial" w:eastAsia="Arial" w:hAnsi="Arial"/>
                <w:sz w:val="18"/>
                <w:szCs w:val="18"/>
                <w:color w:val="auto"/>
              </w:rPr>
              <w:t>539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1,715</w:t>
            </w:r>
          </w:p>
        </w:tc>
        <w:tc>
          <w:tcPr>
            <w:tcW w:w="6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-154305</wp:posOffset>
            </wp:positionV>
            <wp:extent cx="410591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05910" cy="188595"/>
                    </a:xfrm>
                    <a:prstGeom prst="rect">
                      <a:avLst/>
                    </a:prstGeom>
                    <a:noFill/>
                  </pic:spPr>
                </pic:pic>
              </a:graphicData>
            </a:graphic>
          </wp:anchor>
        </w:drawing>
      </w:r>
    </w:p>
    <w:p>
      <w:pPr>
        <w:spacing w:after="0" w:line="14" w:lineRule="exact"/>
        <w:rPr>
          <w:sz w:val="20"/>
          <w:szCs w:val="20"/>
          <w:color w:val="auto"/>
        </w:rPr>
      </w:pPr>
    </w:p>
    <w:p>
      <w:pPr>
        <w:ind w:firstLine="8"/>
        <w:spacing w:after="0" w:line="253" w:lineRule="auto"/>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reflect payments due for our two leased office spaces in Watertown, Massachusetts as of September 30, 2023. The lease terms began in November 2021 and June 2023, and both end in November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-211455</wp:posOffset>
            </wp:positionV>
            <wp:extent cx="41059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2022 for more </w:t>
      </w:r>
      <w:r>
        <w:rPr>
          <w:rFonts w:ascii="Arial" w:cs="Arial" w:eastAsia="Arial" w:hAnsi="Arial"/>
          <w:sz w:val="17"/>
          <w:szCs w:val="17"/>
          <w:color w:val="212529"/>
        </w:rPr>
        <w:t>information about critical accounting policies as well as a description of our other</w:t>
      </w:r>
      <w:r>
        <w:rPr>
          <w:rFonts w:ascii="Arial" w:cs="Arial" w:eastAsia="Arial" w:hAnsi="Arial"/>
          <w:sz w:val="17"/>
          <w:szCs w:val="17"/>
          <w:color w:val="auto"/>
        </w:rPr>
        <w:t xml:space="preserve"> </w:t>
      </w:r>
      <w:r>
        <w:rPr>
          <w:rFonts w:ascii="Arial" w:cs="Arial" w:eastAsia="Arial" w:hAnsi="Arial"/>
          <w:sz w:val="17"/>
          <w:szCs w:val="17"/>
          <w:color w:val="212529"/>
        </w:rPr>
        <w:t>significant accounting policies</w:t>
      </w:r>
      <w:r>
        <w:rPr>
          <w:rFonts w:ascii="Arial" w:cs="Arial" w:eastAsia="Arial" w:hAnsi="Arial"/>
          <w:sz w:val="17"/>
          <w:szCs w:val="17"/>
          <w:color w:val="000000"/>
        </w:rPr>
        <w:t>.</w:t>
      </w:r>
    </w:p>
    <w:p>
      <w:pPr>
        <w:spacing w:after="0" w:line="7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 description of recently issued and certain recently adopted accounting pronouncements that have or may potentially impact our financial position and results of operations is included in Note 2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 (1) the last day of the fiscal year (a) following the fifth anniversary of the closing of our initial public offering which occurred in August 2020,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7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of September 30, 2023 and December 31, 2022, we had cash and cash equivalents of $370.5 million and $194.6 million, respectively, which consisted of cash and money market accounts.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Inflation generally affects us by increasing our cost of labor and contract research. We do not believe that inflation had a material effect on our business, financial condition or results of operations during the nine months ended September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70"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Principal Executive Officer and Principal Financial Officer concluded that, as of such date, our disclosure controls and procedures were effective at the reasonable assurance level.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509"/>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nine months ended September 30, 2023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in this Quarterly Report on Form 10-Q.</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net losses since our inception and anticipate that we will continue to incur losses for the foreseeable future.</w:t>
      </w:r>
    </w:p>
    <w:p>
      <w:pPr>
        <w:spacing w:after="0" w:line="12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net losses were $52.9 million and $35.6 million for the nine months ended September 30, 2023 and 2022, respectively. We had an accumulated deficit of $165.1 million as of September 30, 2023.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62" w:lineRule="exact"/>
        <w:rPr>
          <w:sz w:val="20"/>
          <w:szCs w:val="20"/>
          <w:color w:val="auto"/>
        </w:rPr>
      </w:pPr>
    </w:p>
    <w:p>
      <w:pPr>
        <w:ind w:left="760" w:right="20" w:hanging="378"/>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38" w:lineRule="exact"/>
        <w:rPr>
          <w:rFonts w:ascii="Arial" w:cs="Arial" w:eastAsia="Arial" w:hAnsi="Arial"/>
          <w:sz w:val="17"/>
          <w:szCs w:val="17"/>
          <w:color w:val="auto"/>
        </w:rPr>
      </w:pPr>
    </w:p>
    <w:p>
      <w:pPr>
        <w:ind w:left="760" w:right="2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open clinical trial sites and recruit and retain subjects for clinical trials and any delays caused by difficulties in such efforts;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760" w:right="2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products should they receive regulatory approval, which may vary significantly;</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including as a result of the COVID-19 pandemic;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w:t>
      </w:r>
    </w:p>
    <w:p>
      <w:pPr>
        <w:spacing w:after="0" w:line="63"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complete our ongoing and planned preclinical studies for our current and future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file and receive acceptance of our Investigational New Drug applications, or INDs, in order to commence our planned clinical trials or future clinical trials;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enroll subjects in and complete, our ongoing and planned clinical trials;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efficacy studies necessary to obtain U.S. and foreign regulatory approval for our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address the prevalence, duration and severity of potential side effects or other safety issues experienced with our product candidates, if any;</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file New Drug Applications, or NDAs, and Biologic License Applications, or BLAs, and receive regulatory approvals for our product candidates from the U.S. Food and Drug Administration, or the FDA, and comparable foreign regulatory authorities;</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clinical and commercial manufacturing capabilities or make arrangements with third-party manufacturers for clinical supply and commercial manufacturing;</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position our product candidates to effectively compete with other therapies;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enforce and defend intellectual property rights and claims;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products following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ind w:right="20" w:firstLine="509"/>
        <w:spacing w:after="0" w:line="263"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incur additional costs associated with operating as a newly-public company. Accordingly, we will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5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believe that we have cash and cash equivalents that will enable us to fund operating expenses and capital expenditure requirements well into 2026.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57"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programs;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 for any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raw materials for use in production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supply of product candidate components for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obtain and maintain patents, trade secret protection and regulatory exclusivity, both in the United States and internationally;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our other rights in our intellectual property portfolio;</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third-party insurance coverage and adequate reimbursement for any approved products;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additional expenses attributable to adjusting our development plans (including any supply related matters) to any health crises.</w:t>
      </w:r>
    </w:p>
    <w:p>
      <w:pPr>
        <w:spacing w:after="0" w:line="12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several years, if at all. Accordingly, we will need to continue to rely on additional financing to achieve our business objectives.</w:t>
      </w:r>
    </w:p>
    <w:p>
      <w:pPr>
        <w:spacing w:after="0" w:line="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Stockholders who hold contingent value rights, or CVRs, potentially may not receive any payment on the CVRs and the CVRs may otherwise expire valueless.</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December 29, 2022, prior to the effective time of our merger with Gemini, we entered into a Contingent Value Rights Agreement, or the CVR Agreement, with a rights agent pursuant to which Gemini’s pre-merger common stockholders received one CVR for each outstanding share of Gemini common stock held by such stockholders on December 29, 2022. Each CVR represents the contractual right to receive payments, in the form of shares of our stock, upon the actual receipt by us or our affiliates of certain proceeds derived from consideration paid to us as a result of the disposition of Gemini’s pre-merger legacy assets, net of certain expenses and other deductions. Any payments under the CVR Agreement will be in the form of shares of our stock, determined on the basis of a volume weighted average for the five (5) trading days prior to the date of issuance.</w:t>
      </w:r>
    </w:p>
    <w:p>
      <w:pPr>
        <w:spacing w:after="0" w:line="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may not be able to achieve successful results from the disposition of such assets as described above. If this is not achieved for any reason within the time periods specified in the CVR Agreement, no payments will be made under the CVRs, and the CVRs will expire valueless. There can be no assurance that any payment of any of our shares will be made or that any holders of CVRs will receive any amounts with respect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24"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have completed one Phase 1 clinical trial and have not yet demonstrated our continued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clinical development. Our clinical programs may not advance to the next stage of clinical development, and our preclinical programs may never advance to clinical development or through clinical development, as applicable. We currently only have two product candidates in clinical development. In July 2022, we initiated BEACON, a Phase 2 open-label, parallel-dose clinical trial of bitopertin in EPP and XLP patients that is being conducted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line="284" w:lineRule="auto"/>
        <w:rPr>
          <w:sz w:val="20"/>
          <w:szCs w:val="20"/>
          <w:color w:val="auto"/>
        </w:rPr>
      </w:pPr>
      <w:r>
        <w:rPr>
          <w:rFonts w:ascii="Arial" w:cs="Arial" w:eastAsia="Arial" w:hAnsi="Arial"/>
          <w:sz w:val="16"/>
          <w:szCs w:val="16"/>
          <w:color w:val="auto"/>
        </w:rPr>
        <w:t>at sites in Australia. Separately, in October 2022, we initiated AURORA, a Phase 2, randomized, double-blind, placebo-controlled clinical trial of bitopertin in EPP patients that is being conducted at sites in the United States. We completed our Phase 1 clinical trial of DISC-0974 in healthy volunteers. We initiated a Phase 1b/2 clinical trial of DISC-0974 in June 2022 in patients with anemia of MF, and initiated a separate Phase 1b/2 clinical trial in February 2023 in patients with non-dialysis dependent CKD and anemia. We initiated a Phase 1 clinical trial of DISC-3405 in healthy volunteers in the October 2023.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F. Hoffmann-La Roche Ltd. and 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2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9"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regulatory approval for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regulatory approval at all;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be subject to post-marketing testing requirements; or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having the product removed from the market after obtaining regulatory approval.</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1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and commercialize our product candidates and achieve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80" w:firstLine="509"/>
        <w:spacing w:after="0" w:line="269" w:lineRule="auto"/>
        <w:rPr>
          <w:sz w:val="20"/>
          <w:szCs w:val="20"/>
          <w:color w:val="auto"/>
        </w:rPr>
      </w:pPr>
      <w:r>
        <w:rPr>
          <w:rFonts w:ascii="Arial" w:cs="Arial" w:eastAsia="Arial" w:hAnsi="Arial"/>
          <w:sz w:val="17"/>
          <w:szCs w:val="17"/>
          <w:color w:val="auto"/>
        </w:rPr>
        <w:t>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182"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16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DISC-3405, for which preclinical results may not be indicative or predictive of future clinical trial results.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7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20"/>
        <w:spacing w:after="0" w:line="342" w:lineRule="auto"/>
        <w:rPr>
          <w:sz w:val="20"/>
          <w:szCs w:val="20"/>
          <w:color w:val="auto"/>
        </w:rPr>
      </w:pPr>
      <w:r>
        <w:rPr>
          <w:rFonts w:ascii="Arial" w:cs="Arial" w:eastAsia="Arial" w:hAnsi="Arial"/>
          <w:sz w:val="16"/>
          <w:szCs w:val="16"/>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2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top-line results from the Phase 1 DISC-0974 clinical trial in June 2022 and initial results from our Phase 2 BEACON clinical trial of bitopertin in June 2023.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179"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61"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68" w:lineRule="exact"/>
        <w:rPr>
          <w:sz w:val="20"/>
          <w:szCs w:val="20"/>
          <w:color w:val="auto"/>
        </w:rPr>
      </w:pPr>
    </w:p>
    <w:p>
      <w:pPr>
        <w:ind w:left="76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preclinical studies or clinical trials of our product candidates may not produce differentiated or clinically significant results across indications;</w:t>
      </w:r>
    </w:p>
    <w:p>
      <w:pPr>
        <w:spacing w:after="0" w:line="140"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jc w:val="both"/>
        <w:ind w:left="760" w:hanging="378"/>
        <w:spacing w:after="0" w:line="259"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8"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anticipated;</w:t>
      </w:r>
    </w:p>
    <w:p>
      <w:pPr>
        <w:spacing w:after="0" w:line="117" w:lineRule="exact"/>
        <w:rPr>
          <w:rFonts w:ascii="Arial" w:cs="Arial" w:eastAsia="Arial" w:hAnsi="Arial"/>
          <w:sz w:val="18"/>
          <w:szCs w:val="18"/>
          <w:color w:val="auto"/>
        </w:rPr>
      </w:pPr>
    </w:p>
    <w:p>
      <w:pPr>
        <w:ind w:left="760" w:right="20" w:hanging="378"/>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38"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future collaborators may conduct clinical trials in ways they view as advantageous to them but that are suboptimal for us;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9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5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with specific rare hematologic diseases for the development of our product candidates, our ability to enroll eligible patients may be limited or may result in slower enrollment than we anticipate.</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7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factors we may not be able to control, including the impacts of any health crises, that may limit patients, principal investigators or staff or clinical site availability.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18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DISC-0974 has undergone testing in healthy volunteers, a Phase 1b/2 clinical trial in patients with anemia of MF was initiated in June 2022 and a separate Phase 1b/2 clinical trial in patients with non-dialysis dependent CKD and anemia was initiated in February 2023. However, there can be no assurance that DISC-0974 will achieve the desired effects in these indications. Additionally, DISC-3405 has only been evaluated in preclinical models,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9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38"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6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1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July 2022, we initiated BEACON, a Phase 2 open-label, parallel-dose clinical trial of bitopertin in EPP and XLP patients that is being conducted at sites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including the TGA,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9"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spacing w:after="0" w:line="288" w:lineRule="auto"/>
        <w:rPr>
          <w:sz w:val="20"/>
          <w:szCs w:val="20"/>
          <w:color w:val="auto"/>
        </w:rPr>
      </w:pPr>
      <w:r>
        <w:rPr>
          <w:rFonts w:ascii="Arial" w:cs="Arial" w:eastAsia="Arial" w:hAnsi="Arial"/>
          <w:sz w:val="16"/>
          <w:szCs w:val="16"/>
          <w:color w:val="auto"/>
        </w:rPr>
        <w:t>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70"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trials;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28"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COVID-19 pandemic, or a similar pandemic, epidemic, or outbreak of an infectious or highly contagious disease, may materially and adversely affect our business and financial results and could cause a disruption to the development of our product candidates.</w:t>
      </w:r>
    </w:p>
    <w:p>
      <w:pPr>
        <w:spacing w:after="0" w:line="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Public health crises such as pandemics, including the COVID-19 pandemic, or similar outbreaks could adversely impact our business. The extent to which COVID-19, or the future outbreak of other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the outbreak, actions taken to contain the outbreak or mitigate its impact, and the direct and indirect economic effects of the outbreak and containment measures, among others.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patient populations that our product candidates target may be particularly susceptible to COVID-19 or other highly infectious or contagious diseases, which may make it more difficult for us to identify patients able to enroll in our current and future clinical trials and may impact the ability of enrolled patients to complete any such trials.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8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12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initiated a Phase 1b/2 clinical trial of DISC-0974 in June 2022 in the United States in patients with anemia of MF, and initiated a separate Phase 1b/2 clinical trial in the February 2023 in patients with non-dialysis dependent CKD and anemia. We are initially focused on developing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520"/>
        <w:spacing w:after="0" w:line="308" w:lineRule="auto"/>
        <w:rPr>
          <w:sz w:val="20"/>
          <w:szCs w:val="20"/>
          <w:color w:val="auto"/>
        </w:rPr>
      </w:pPr>
      <w:r>
        <w:rPr>
          <w:rFonts w:ascii="Arial" w:cs="Arial" w:eastAsia="Arial" w:hAnsi="Arial"/>
          <w:sz w:val="17"/>
          <w:szCs w:val="17"/>
          <w:color w:val="auto"/>
        </w:rPr>
        <w:t>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146"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7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5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49"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of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 and the approved claims that we may make for the products;</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current product candidates and any future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safety, efficacy, and other potential advantages over, and availability of, alternative treatments already used or that may later be approved;</w:t>
      </w:r>
    </w:p>
    <w:p>
      <w:pPr>
        <w:spacing w:after="0" w:line="140"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market introduction of our current product candidates and any future product candidates, as well as competitive products;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our current product candidates and any future product candidates for sale at competitive prices;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adverse publicity about our current product candidates and any future product candidates or favorable publicity about competitive products; and</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Further, due to the COVID-19 pandemic, millions of individuals have lost or will be losing employer-based insurance coverage, which may adversely affect our ability to commercialize our products. It is unclear what effect, if any, the American Rescue Plan will have on the number of covered individuals.</w:t>
      </w:r>
    </w:p>
    <w:p>
      <w:pPr>
        <w:spacing w:after="0" w:line="6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76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128"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rely on third parties to conduct our Phase 2 clinical trials of bitopertin, Phase 1b/2 clinical trials of DISC-0974 and Phase 1 clinical trial of DISC-3405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8"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Phase 1b/2 clinical trials of DISC-0974 in patients with anemia of MF or non-dialysis dependent CKD and anemia, our Phase 1 trial of DISC-3405,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8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we might have gained had the investigator-sponsored trials been sponsored and conducted by us, then our ability to design and conduct any future clinical trials ourself may be adversely affected.</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8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Although we designed our Phase 1b/2 clinical trials of DISC-0974 and ongoing Phase 2 clinical trials of bitopertin and intend to design the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4"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b w:val="1"/>
          <w:bCs w:val="1"/>
          <w:i w:val="1"/>
          <w:iCs w:val="1"/>
          <w:color w:val="auto"/>
        </w:rPr>
        <w:t>We might not realize the anticipated benefits of our current collaborations with Mabwell or NIH, or any other collaborations we enter into in the future.</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Research, development, commercialization and/or strategic collaborations, including those that we have with Mabwell and NIH, are subject to numerous risks, which include the following:</w:t>
      </w:r>
    </w:p>
    <w:p>
      <w:pPr>
        <w:spacing w:after="0" w:line="62" w:lineRule="exact"/>
        <w:rPr>
          <w:sz w:val="20"/>
          <w:szCs w:val="20"/>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62" w:lineRule="exact"/>
        <w:rPr>
          <w:rFonts w:ascii="Arial" w:cs="Arial" w:eastAsia="Arial" w:hAnsi="Arial"/>
          <w:sz w:val="18"/>
          <w:szCs w:val="18"/>
          <w:color w:val="auto"/>
        </w:rPr>
      </w:pPr>
    </w:p>
    <w:p>
      <w:pPr>
        <w:jc w:val="both"/>
        <w:ind w:left="760" w:hanging="378"/>
        <w:spacing w:after="0" w:line="311"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3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7"/>
          <w:szCs w:val="17"/>
          <w:color w:val="auto"/>
        </w:rPr>
        <w:t>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5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4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Phase 1 trial of DISC-3405,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Phase 1 trial of DISC-3405.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spacing w:after="0" w:line="290" w:lineRule="auto"/>
        <w:rPr>
          <w:sz w:val="20"/>
          <w:szCs w:val="20"/>
          <w:color w:val="auto"/>
        </w:rPr>
      </w:pPr>
      <w:r>
        <w:rPr>
          <w:rFonts w:ascii="Arial" w:cs="Arial" w:eastAsia="Arial" w:hAnsi="Arial"/>
          <w:sz w:val="16"/>
          <w:szCs w:val="16"/>
          <w:color w:val="auto"/>
        </w:rPr>
        <w:t>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Further, our failure, or the failure of our CDMOs, to comply with applicable regulations could result in sanctions being imposed on it,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may be unable to establish any additional agreements with CDMOs or do so on acceptable terms. Reliance on CDMOs entails additional risks, including:</w:t>
      </w:r>
    </w:p>
    <w:p>
      <w:pPr>
        <w:spacing w:after="0" w:line="62"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ind w:right="20" w:firstLine="509"/>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1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CDMOs cannot perform as agreed, we may be required to replace such CDMOs. We may incur added costs and delays in identifying and qualifying any such replacement.</w:t>
      </w:r>
    </w:p>
    <w:p>
      <w:pPr>
        <w:spacing w:after="0" w:line="76"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Any negative impact of such matters on our third-party suppliers and manufacturers may also have an adverse impact on our results of operations or financial condition.</w:t>
      </w:r>
    </w:p>
    <w:p>
      <w:pPr>
        <w:spacing w:after="0" w:line="69"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5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7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7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7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7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7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9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6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5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7"/>
          <w:szCs w:val="17"/>
          <w:color w:val="auto"/>
        </w:rPr>
        <w:t>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5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6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jc w:val="both"/>
        <w:spacing w:after="0" w:line="287" w:lineRule="auto"/>
        <w:rPr>
          <w:sz w:val="20"/>
          <w:szCs w:val="20"/>
          <w:color w:val="auto"/>
        </w:rPr>
      </w:pPr>
      <w:r>
        <w:rPr>
          <w:rFonts w:ascii="Arial" w:cs="Arial" w:eastAsia="Arial" w:hAnsi="Arial"/>
          <w:sz w:val="16"/>
          <w:szCs w:val="16"/>
          <w:color w:val="auto"/>
        </w:rPr>
        <w:t xml:space="preserve">pharmaceutical industries, as well as administrative proceedings for challenging patents, including derivation,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6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7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62" w:lineRule="exact"/>
        <w:rPr>
          <w:sz w:val="20"/>
          <w:szCs w:val="20"/>
          <w:color w:val="auto"/>
        </w:rPr>
      </w:pPr>
    </w:p>
    <w:p>
      <w:pPr>
        <w:ind w:left="76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7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62"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3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jc w:val="both"/>
        <w:ind w:firstLine="509"/>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8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2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auto"/>
        </w:rPr>
        <w:t>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current or future licensors and us and our partners.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6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current or future product candidates.</w:t>
      </w:r>
    </w:p>
    <w:p>
      <w:pPr>
        <w:spacing w:after="0" w:line="15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6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5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3"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a patent application that we own or may in-license;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or our current or future licensors or collaborators, might not have been the first to file patent applications covering a particular invention;</w:t>
      </w:r>
    </w:p>
    <w:p>
      <w:pPr>
        <w:spacing w:after="0" w:line="128" w:lineRule="exact"/>
        <w:rPr>
          <w:rFonts w:ascii="Arial" w:cs="Arial" w:eastAsia="Arial" w:hAnsi="Arial"/>
          <w:sz w:val="17"/>
          <w:szCs w:val="17"/>
          <w:color w:val="auto"/>
        </w:rPr>
      </w:pPr>
    </w:p>
    <w:p>
      <w:pPr>
        <w:ind w:left="760" w:right="2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jc w:val="both"/>
        <w:ind w:left="760" w:hanging="378"/>
        <w:spacing w:after="0" w:line="286"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57" w:lineRule="exact"/>
        <w:rPr>
          <w:rFonts w:ascii="Arial" w:cs="Arial" w:eastAsia="Arial" w:hAnsi="Arial"/>
          <w:sz w:val="17"/>
          <w:szCs w:val="17"/>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licenses on reasonable terms or at all;</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trade secrets or know-how;</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jc w:val="both"/>
        <w:ind w:firstLine="509"/>
        <w:spacing w:after="0" w:line="296"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170"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We have received orphan drug designation from the FDA for bitopertin for the treatment of EPP.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6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and for which no satisfactory method of diagnosis, prevention, or treatment has been authorized for marketing in the European Union (or, if such a method exists, the product would be of a significant benefit to those affected by the condition).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the European Union, orphan designation entitles a party to financial incentives such as reduction of fees or fee waivers.</w:t>
      </w:r>
    </w:p>
    <w:p>
      <w:pPr>
        <w:spacing w:after="0" w:line="178"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84"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right="140"/>
        <w:spacing w:after="0" w:line="277" w:lineRule="auto"/>
        <w:rPr>
          <w:sz w:val="20"/>
          <w:szCs w:val="20"/>
          <w:color w:val="auto"/>
        </w:rPr>
      </w:pPr>
      <w:r>
        <w:rPr>
          <w:rFonts w:ascii="Arial" w:cs="Arial" w:eastAsia="Arial" w:hAnsi="Arial"/>
          <w:sz w:val="18"/>
          <w:szCs w:val="18"/>
          <w:color w:val="auto"/>
        </w:rPr>
        <w:t>approval process. While we may seek orphan drug designation for our product candidates, we may never receive such designations. Even if we do receive such designations, there is no guarantee that we will enjoy the benefits of those designations.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rare pediatric disease designation for bitopertin. However, a marketing application for bitopertin, if approved, may not meet the eligibility criteria for a rare pediatric disease priority review voucher.</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w:t>
      </w:r>
    </w:p>
    <w:p>
      <w:pPr>
        <w:spacing w:after="0" w:line="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6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were granted fast track designation by the FDA for DISC-3405 for the treatment of PV in September 2023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jc w:val="both"/>
        <w:ind w:firstLine="509"/>
        <w:spacing w:after="0" w:line="272" w:lineRule="auto"/>
        <w:rPr>
          <w:sz w:val="20"/>
          <w:szCs w:val="20"/>
          <w:color w:val="auto"/>
        </w:rPr>
      </w:pPr>
      <w:r>
        <w:rPr>
          <w:rFonts w:ascii="Arial" w:cs="Arial" w:eastAsia="Arial" w:hAnsi="Arial"/>
          <w:sz w:val="17"/>
          <w:szCs w:val="17"/>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8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3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6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5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jc w:val="both"/>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71" w:lineRule="exact"/>
        <w:rPr>
          <w:sz w:val="20"/>
          <w:szCs w:val="20"/>
          <w:color w:val="auto"/>
        </w:rPr>
      </w:pPr>
    </w:p>
    <w:p>
      <w:pPr>
        <w:jc w:val="both"/>
        <w:ind w:right="140" w:firstLine="509"/>
        <w:spacing w:after="0" w:line="257" w:lineRule="auto"/>
        <w:rPr>
          <w:sz w:val="20"/>
          <w:szCs w:val="20"/>
          <w:color w:val="auto"/>
        </w:rPr>
      </w:pPr>
      <w:r>
        <w:rPr>
          <w:rFonts w:ascii="Arial" w:cs="Arial" w:eastAsia="Arial" w:hAnsi="Arial"/>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6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Since the ACA’s enactment, there have been numerous judicial, administrative, executive and legislative challenges to certain aspects of the ACA and we expect that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other legislative and regulatory changes have been proposed and adopted in the United States since the ACA was enacted:</w:t>
      </w:r>
    </w:p>
    <w:p>
      <w:pPr>
        <w:spacing w:after="0" w:line="129" w:lineRule="exact"/>
        <w:rPr>
          <w:sz w:val="20"/>
          <w:szCs w:val="20"/>
          <w:color w:val="auto"/>
        </w:rPr>
      </w:pPr>
    </w:p>
    <w:p>
      <w:pPr>
        <w:jc w:val="both"/>
        <w:ind w:left="900" w:hanging="383"/>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Budget Control Act of 2011, among other things, included aggregate reductions of Medicare payments to providers of 2% per fiscal year, which will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left="900" w:hanging="383"/>
        <w:spacing w:after="0" w:line="308"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American Taxpayer Relief Act of 2012, among other things, further reduced Medicare payments to several types of providers and increased the statute of limitations period for the government to recover overpayments to providers from three to five years.</w:t>
      </w:r>
    </w:p>
    <w:p>
      <w:pPr>
        <w:spacing w:after="0" w:line="38" w:lineRule="exact"/>
        <w:rPr>
          <w:rFonts w:ascii="Arial" w:cs="Arial" w:eastAsia="Arial" w:hAnsi="Arial"/>
          <w:sz w:val="17"/>
          <w:szCs w:val="17"/>
          <w:color w:val="auto"/>
        </w:rPr>
      </w:pPr>
    </w:p>
    <w:p>
      <w:pPr>
        <w:jc w:val="both"/>
        <w:ind w:left="900" w:hanging="383"/>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to Try Act (2018),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9"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CMS has published a final rule to allow Medicare Advantage Plans the option of using step therapy for Part B drugs beginning January 1, 2020.</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66"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imposes new manufacturer financial liability on certain drugs under Medicare Part D, allows the U.S. government to negotiate Medicare Part B and Part D price caps for certain high-cost drugs and biologics without generic or biosimilar competition; requires companies to pay rebates to Medicare for certain drug prices that increase faster than inflation; and delays until January 1, 2032 the implementation of the HHS rebate rule that would have limited the fees that pharmacy benefit managers can charge. Further, under the IRA, orphan drugs are exempted from the Medicare drug price negotiation program, if they have one orphan designation and the only approved indication is for that rare disease or condition. If a product receives multiple rare disease designations or has multiple approved indications, it may not qualify for the orphan drug exemption. In August 2023, HHS selected the first 10 drugs to be subject to the Medicare drug price negotiation program, The implementation of which is currently subject to ongoing litigation challenging the constitutionality of the IRA’s Medicare drug price negotiation program. The effects of the IRA on our business and the healthcare industry in general is not yet known.</w:t>
      </w:r>
    </w:p>
    <w:p>
      <w:pPr>
        <w:spacing w:after="0" w:line="18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9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4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7" w:lineRule="exact"/>
        <w:rPr>
          <w:sz w:val="20"/>
          <w:szCs w:val="20"/>
          <w:color w:val="auto"/>
        </w:rPr>
      </w:pPr>
    </w:p>
    <w:p>
      <w:pPr>
        <w:jc w:val="both"/>
        <w:ind w:left="760" w:hanging="378"/>
        <w:spacing w:after="0" w:line="287"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59" w:lineRule="exact"/>
        <w:rPr>
          <w:rFonts w:ascii="Arial" w:cs="Arial" w:eastAsia="Arial" w:hAnsi="Arial"/>
          <w:sz w:val="16"/>
          <w:szCs w:val="16"/>
          <w:color w:val="auto"/>
        </w:rPr>
      </w:pPr>
    </w:p>
    <w:p>
      <w:pPr>
        <w:jc w:val="both"/>
        <w:ind w:left="760" w:hanging="378"/>
        <w:spacing w:after="0" w:line="290"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57" w:lineRule="exact"/>
        <w:rPr>
          <w:rFonts w:ascii="Arial" w:cs="Arial" w:eastAsia="Arial" w:hAnsi="Arial"/>
          <w:sz w:val="16"/>
          <w:szCs w:val="16"/>
          <w:color w:val="auto"/>
        </w:rPr>
      </w:pPr>
    </w:p>
    <w:p>
      <w:pPr>
        <w:jc w:val="both"/>
        <w:ind w:left="760" w:hanging="378"/>
        <w:spacing w:after="0" w:line="25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jc w:val="both"/>
        <w:ind w:left="760" w:hanging="378"/>
        <w:spacing w:after="0" w:line="275" w:lineRule="auto"/>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68"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6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7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both"/>
        <w:spacing w:after="0" w:line="263" w:lineRule="auto"/>
        <w:rPr>
          <w:sz w:val="20"/>
          <w:szCs w:val="20"/>
          <w:color w:val="auto"/>
        </w:rPr>
      </w:pPr>
      <w:r>
        <w:rPr>
          <w:rFonts w:ascii="Arial" w:cs="Arial" w:eastAsia="Arial" w:hAnsi="Arial"/>
          <w:sz w:val="18"/>
          <w:szCs w:val="18"/>
          <w:color w:val="auto"/>
        </w:rPr>
        <w:t>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7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16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We possess and process sensitive customer information. Other federal and state laws that restrict the use and protect the privacy and security of personally identifiable information,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such as the California Consumer Privacy Act, or CCPA, as amended by the California Privacy Rights Act, or CPRA, creates specific obligations with respect to processing and storing personal information, and the CPRA amendments created a new state agency that is vested with authority to implement and enforce the CCPA.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200" w:firstLine="509"/>
        <w:spacing w:after="0" w:line="287" w:lineRule="auto"/>
        <w:rPr>
          <w:sz w:val="20"/>
          <w:szCs w:val="20"/>
          <w:color w:val="auto"/>
        </w:rPr>
      </w:pPr>
      <w:r>
        <w:rPr>
          <w:rFonts w:ascii="Arial" w:cs="Arial" w:eastAsia="Arial" w:hAnsi="Arial"/>
          <w:sz w:val="16"/>
          <w:szCs w:val="16"/>
          <w:color w:val="auto"/>
        </w:rPr>
        <w:t>Laws similar to the CCPA have been passed in 12 additional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and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68" w:lineRule="exact"/>
        <w:rPr>
          <w:sz w:val="20"/>
          <w:szCs w:val="20"/>
          <w:color w:val="auto"/>
        </w:rPr>
      </w:pPr>
    </w:p>
    <w:p>
      <w:pPr>
        <w:ind w:right="120" w:firstLine="509"/>
        <w:spacing w:after="0" w:line="286" w:lineRule="auto"/>
        <w:rPr>
          <w:sz w:val="20"/>
          <w:szCs w:val="20"/>
          <w:color w:val="auto"/>
        </w:rPr>
      </w:pPr>
      <w:r>
        <w:rPr>
          <w:rFonts w:ascii="Arial" w:cs="Arial" w:eastAsia="Arial" w:hAnsi="Arial"/>
          <w:sz w:val="16"/>
          <w:szCs w:val="16"/>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or UK GDPR, with respect to individuals in the UK, and together with the EU GDPR,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7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184"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19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8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failed to comply with data protection laws, or breached our contractual obligations, even if we are not found liable, could be expensive and time-consuming to defend and could result in adverse publicity that could harm our business.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5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t>high-quality candidates than what we have to offer. If we are unable to continue to attract and retain high-quality personnel, the rate and success with which we can discover and develop product candidates and our business will be limited.</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46"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employees, contractors or other third-parties and industrial espionage, wire fraud and other forms of cyber fraud, the deployment of harmful malware, denial-of-service, social engineering fraud or other means to threaten systems or data security, confidentiality, integrity and availability.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compromises, incidents or breaches that would result in business, legal, financial or reputational harm to it, or would have a material adverse effect on our results of operations and financial condition. Any failure to prevent or mitigate security breaches, compromises or incidents or improper access to, use of, or disclosure of protected information, including our clinical data or patients’ personal data could result in significant liability through litigation and regulatory investigations and enforcement actions, including under state (e.g., state breach notification and consumer protection laws), federal (e.g., HIPAA, as amended by HITECH), and international law (e.g., the GDPR) and may cause a material adverse impact to our reputation, affect our ability to conduct new studies and potentially disrupt our business.</w:t>
      </w:r>
    </w:p>
    <w:p>
      <w:pPr>
        <w:spacing w:after="0" w:line="19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rely on our third-party providers to implement effective security measures and identify and correct for any such failures, deficiencies, vulnerabilities or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incidents, compromises or breaches, we could be exposed to litigation and governmental investigations,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The CCPA may increase our compliance costs and potential liability, and many similar laws have been proposed at the federal level and in other states.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As of October 31, 2023, we had 60 full-time employees and no part-time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5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jc w:val="both"/>
        <w:spacing w:after="0" w:line="259" w:lineRule="auto"/>
        <w:rPr>
          <w:sz w:val="20"/>
          <w:szCs w:val="20"/>
          <w:color w:val="auto"/>
        </w:rPr>
      </w:pPr>
      <w:r>
        <w:rPr>
          <w:rFonts w:ascii="Arial" w:cs="Arial" w:eastAsia="Arial" w:hAnsi="Arial"/>
          <w:sz w:val="18"/>
          <w:szCs w:val="18"/>
          <w:color w:val="auto"/>
        </w:rPr>
        <w:t>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7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22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taxable income may be subject to certain limitations.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As of December 31, 2022, we had federal and state net operating loss carryforwards of $69.3 million and $67.7 million, respectively, which begin to expire in various amounts in 2037. As of December 31, 2022, we also had federal and state research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jc w:val="both"/>
        <w:spacing w:after="0" w:line="268" w:lineRule="auto"/>
        <w:rPr>
          <w:sz w:val="20"/>
          <w:szCs w:val="20"/>
          <w:color w:val="auto"/>
        </w:rPr>
      </w:pPr>
      <w:r>
        <w:rPr>
          <w:rFonts w:ascii="Arial" w:cs="Arial" w:eastAsia="Arial" w:hAnsi="Arial"/>
          <w:sz w:val="17"/>
          <w:szCs w:val="17"/>
          <w:color w:val="auto"/>
        </w:rPr>
        <w:t>and development tax credit carryforwards of $2.7 million and $1.1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U.S. and international markets. See “Risks Related to the Discovery and Development of Our Product Candidates</w:t>
      </w:r>
      <w:r>
        <w:rPr>
          <w:rFonts w:ascii="Arial" w:cs="Arial" w:eastAsia="Arial" w:hAnsi="Arial"/>
          <w:sz w:val="17"/>
          <w:szCs w:val="17"/>
          <w:i w:val="1"/>
          <w:iCs w:val="1"/>
          <w:color w:val="auto"/>
        </w:rPr>
        <w:t>-</w:t>
      </w:r>
      <w:r>
        <w:rPr>
          <w:rFonts w:ascii="Arial" w:cs="Arial" w:eastAsia="Arial" w:hAnsi="Arial"/>
          <w:sz w:val="17"/>
          <w:szCs w:val="17"/>
          <w:color w:val="auto"/>
        </w:rPr>
        <w:t>The COVID-19 pandemic, or a similar pandemic, epidemic, or outbreak of an infectious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jc w:val="both"/>
        <w:spacing w:after="0" w:line="269" w:lineRule="auto"/>
        <w:rPr>
          <w:sz w:val="20"/>
          <w:szCs w:val="20"/>
          <w:color w:val="auto"/>
        </w:rPr>
      </w:pPr>
      <w:r>
        <w:rPr>
          <w:rFonts w:ascii="Arial" w:cs="Arial" w:eastAsia="Arial" w:hAnsi="Arial"/>
          <w:sz w:val="17"/>
          <w:szCs w:val="17"/>
          <w:color w:val="auto"/>
        </w:rPr>
        <w:t>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is expected to be volatile.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62"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results of clinical trials and preclinical studies of our product candidates, or those of our competitors or our existing or future collaborators;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meet or exceed the financial and development projections of the investment community;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do not achieve the perceived benefits of the merger as rapidly or to the extent anticipated by financial or industry analysts;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collaborations, joint ventures or capital commitments by us or our competitors;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40"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adverse or misleading opinions regarding our business and stock;</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market or macroeconomic conditions or market conditions in the pharmaceutical and biotechnology sectors;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securities by us or our securityholders in the future;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fail to raise an adequate amount of capital to fund our operations and continued development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competitors of new commercial products, clinical progress or lack thereof, significant contracts, commercial relationships or capital commitments;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publicity relating to precision medicine product candidates, including with respect to other products in such markets;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color w:val="auto"/>
        </w:rPr>
        <w:t>stock. In addition, a recession, depression or other sustained adverse market event resulting from a resurgence of COVID-19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additional costs and increased demands upon management as a result of complying with the laws and regulations affecting public companies.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will incur significant legal, accounting and other expenses as a public company that we did not incur as a private company, including costs associated with public company reporting obligations under the Securities Exchange Act of 1934, as amended, or the Exchange Act. Our management team consists of our executive officers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7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Even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on Form 10-Q and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62" w:lineRule="exact"/>
        <w:rPr>
          <w:sz w:val="20"/>
          <w:szCs w:val="20"/>
          <w:color w:val="auto"/>
        </w:rPr>
      </w:pPr>
    </w:p>
    <w:p>
      <w:pPr>
        <w:ind w:left="760" w:hanging="378"/>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ind w:left="760" w:hanging="378"/>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all stockholder action must be taken at an annual or special meeting of the stockholders;</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the board of directors;</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7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Prior to the merger, there had been no public market for shares of our capital stock. An active trading market for shares of our common stock may never develop or be sustained. If an active market for our common stock does not develop or is not sustained, it may be difficult for our stockholders to sell their shares at an attractive price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If our existing securityholders sell, or indicate an intention to sell, substantial amounts of our common stock in the public market after legal restrictions on resale discussed in our Annual Report on Form 10-K for the year ended December 31, 2022 lapse, the trading price of our common stock could decline. As of September 30, 2023, we had 24,139,078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executive officers, directors and principal stockholders, in the aggregate, beneficially own approximately 54%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our cash and cash equivalents and may invest or spend our cash and cash equivalents in ways with which you do not agree and in ways that may not increase the value of your investment.</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40" w:type="dxa"/>
            <w:vAlign w:val="bottom"/>
            <w:gridSpan w:val="5"/>
          </w:tcPr>
          <w:p>
            <w:pPr>
              <w:ind w:left="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5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80" w:type="dxa"/>
            <w:vAlign w:val="bottom"/>
            <w:gridSpan w:val="8"/>
          </w:tcPr>
          <w:p>
            <w:pPr>
              <w:spacing w:after="0" w:line="169" w:lineRule="exact"/>
              <w:rPr>
                <w:rFonts w:ascii="Arial" w:cs="Arial" w:eastAsia="Arial" w:hAnsi="Arial"/>
                <w:sz w:val="18"/>
                <w:szCs w:val="18"/>
                <w:color w:val="0000FF"/>
                <w:w w:val="94"/>
              </w:rPr>
            </w:pPr>
            <w:hyperlink r:id="rId207">
              <w:r>
                <w:rPr>
                  <w:rFonts w:ascii="Arial" w:cs="Arial" w:eastAsia="Arial" w:hAnsi="Arial"/>
                  <w:sz w:val="18"/>
                  <w:szCs w:val="18"/>
                  <w:color w:val="0000FF"/>
                  <w:w w:val="94"/>
                </w:rPr>
                <w:t>Agreement and Plan of Merger and Reorganization, dated as of August 9, 2022, by and among Gemini Therapeutics, Inc. Gemstone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w w:val="94"/>
              </w:rPr>
            </w:pPr>
            <w:hyperlink r:id="rId207">
              <w:r>
                <w:rPr>
                  <w:rFonts w:ascii="Arial" w:cs="Arial" w:eastAsia="Arial" w:hAnsi="Arial"/>
                  <w:sz w:val="18"/>
                  <w:szCs w:val="18"/>
                  <w:color w:val="0000FF"/>
                  <w:w w:val="94"/>
                </w:rPr>
                <w:t>Merger Sub, Inc. and Disc Medicine, Inc. (incorporated by reference to Exhibit 2.1 to the Registrant’s Proxy Statement/Prospectus 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rPr>
            </w:pPr>
            <w:hyperlink r:id="rId207">
              <w:r>
                <w:rPr>
                  <w:rFonts w:ascii="Arial" w:cs="Arial" w:eastAsia="Arial" w:hAnsi="Arial"/>
                  <w:sz w:val="18"/>
                  <w:szCs w:val="18"/>
                  <w:color w:val="0000FF"/>
                </w:rPr>
                <w:t>Form S-4 (File No. 333-267276) filed on September 2,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Arial" w:cs="Arial" w:eastAsia="Arial" w:hAnsi="Arial"/>
                <w:sz w:val="18"/>
                <w:szCs w:val="18"/>
                <w:color w:val="0000FF"/>
              </w:rPr>
            </w:pPr>
            <w:hyperlink r:id="rId208">
              <w:r>
                <w:rPr>
                  <w:rFonts w:ascii="Arial" w:cs="Arial" w:eastAsia="Arial" w:hAnsi="Arial"/>
                  <w:sz w:val="18"/>
                  <w:szCs w:val="18"/>
                  <w:color w:val="0000FF"/>
                </w:rPr>
                <w:t>Amended and Restated Certificate of Incorporation of Disc Medicine, Inc. (incorporated by reference to Annex B to Gemini</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rPr>
            </w:pPr>
            <w:hyperlink r:id="rId208">
              <w:r>
                <w:rPr>
                  <w:rFonts w:ascii="Arial" w:cs="Arial" w:eastAsia="Arial" w:hAnsi="Arial"/>
                  <w:sz w:val="18"/>
                  <w:szCs w:val="18"/>
                  <w:color w:val="0000FF"/>
                </w:rPr>
                <w:t>Therapeutics, Inc.’s Proxy Statement/Prospectus on Form S-4/A (File No. 333-249785)).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Arial" w:cs="Arial" w:eastAsia="Arial" w:hAnsi="Arial"/>
                <w:sz w:val="18"/>
                <w:szCs w:val="18"/>
                <w:color w:val="0000FF"/>
                <w:w w:val="94"/>
              </w:rPr>
            </w:pPr>
            <w:hyperlink r:id="rId209">
              <w:r>
                <w:rPr>
                  <w:rFonts w:ascii="Arial" w:cs="Arial" w:eastAsia="Arial" w:hAnsi="Arial"/>
                  <w:sz w:val="18"/>
                  <w:szCs w:val="18"/>
                  <w:color w:val="0000FF"/>
                  <w:w w:val="94"/>
                </w:rPr>
                <w:t>Certificate of Amendment to the Amended and Restated Certificate of Incorporation of Disc Medicine, Inc., dated December 28,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9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w w:val="94"/>
              </w:rPr>
            </w:pPr>
            <w:hyperlink r:id="rId209">
              <w:r>
                <w:rPr>
                  <w:rFonts w:ascii="Arial" w:cs="Arial" w:eastAsia="Arial" w:hAnsi="Arial"/>
                  <w:sz w:val="18"/>
                  <w:szCs w:val="18"/>
                  <w:color w:val="0000FF"/>
                  <w:w w:val="94"/>
                </w:rPr>
                <w:t>(incorporated by reference to Exhibit 3.1 to the Registrant’s Current Report on Form 8-K (File No. 001-39438) filed on December 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FF"/>
                <w:w w:val="82"/>
              </w:rPr>
            </w:pPr>
            <w:hyperlink r:id="rId209">
              <w:r>
                <w:rPr>
                  <w:rFonts w:ascii="Arial" w:cs="Arial" w:eastAsia="Arial" w:hAnsi="Arial"/>
                  <w:sz w:val="18"/>
                  <w:szCs w:val="18"/>
                  <w:color w:val="0000FF"/>
                  <w:w w:val="82"/>
                </w:rPr>
                <w:t>2022).</w:t>
              </w:r>
            </w:hyperlink>
          </w:p>
        </w:tc>
        <w:tc>
          <w:tcPr>
            <w:tcW w:w="2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Arial" w:cs="Arial" w:eastAsia="Arial" w:hAnsi="Arial"/>
                <w:sz w:val="18"/>
                <w:szCs w:val="18"/>
                <w:color w:val="0000FF"/>
                <w:w w:val="94"/>
              </w:rPr>
            </w:pPr>
            <w:hyperlink r:id="rId210">
              <w:r>
                <w:rPr>
                  <w:rFonts w:ascii="Arial" w:cs="Arial" w:eastAsia="Arial" w:hAnsi="Arial"/>
                  <w:sz w:val="18"/>
                  <w:szCs w:val="18"/>
                  <w:color w:val="0000FF"/>
                  <w:w w:val="94"/>
                </w:rPr>
                <w:t>Certificate of Amendment to the Amended and Restated Certificate of Incorporation of Disc Medicine, Inc., dated December 29,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9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w w:val="94"/>
              </w:rPr>
            </w:pPr>
            <w:hyperlink r:id="rId210">
              <w:r>
                <w:rPr>
                  <w:rFonts w:ascii="Arial" w:cs="Arial" w:eastAsia="Arial" w:hAnsi="Arial"/>
                  <w:sz w:val="18"/>
                  <w:szCs w:val="18"/>
                  <w:color w:val="0000FF"/>
                  <w:w w:val="94"/>
                </w:rPr>
                <w:t>(incorporated by reference to Exhibit 3.2 to the Registrant’s Current Report on Form 8-K (File No. 001-39438) filed on December 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FF"/>
                <w:w w:val="82"/>
              </w:rPr>
            </w:pPr>
            <w:hyperlink r:id="rId210">
              <w:r>
                <w:rPr>
                  <w:rFonts w:ascii="Arial" w:cs="Arial" w:eastAsia="Arial" w:hAnsi="Arial"/>
                  <w:sz w:val="18"/>
                  <w:szCs w:val="18"/>
                  <w:color w:val="0000FF"/>
                  <w:w w:val="82"/>
                </w:rPr>
                <w:t>2022).</w:t>
              </w:r>
            </w:hyperlink>
          </w:p>
        </w:tc>
        <w:tc>
          <w:tcPr>
            <w:tcW w:w="2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Arial" w:cs="Arial" w:eastAsia="Arial" w:hAnsi="Arial"/>
                <w:sz w:val="18"/>
                <w:szCs w:val="18"/>
                <w:color w:val="0000FF"/>
                <w:w w:val="96"/>
              </w:rPr>
            </w:pPr>
            <w:hyperlink r:id="rId208">
              <w:r>
                <w:rPr>
                  <w:rFonts w:ascii="Arial" w:cs="Arial" w:eastAsia="Arial" w:hAnsi="Arial"/>
                  <w:sz w:val="18"/>
                  <w:szCs w:val="18"/>
                  <w:color w:val="0000FF"/>
                  <w:w w:val="96"/>
                </w:rPr>
                <w:t>Amended and Restated By-laws of Disc Medicine, Inc. (incorporated by reference to Annex C to Gemini Therapeutics, Inc.’s Proxy</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9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rPr>
            </w:pPr>
            <w:hyperlink r:id="rId208">
              <w:r>
                <w:rPr>
                  <w:rFonts w:ascii="Arial" w:cs="Arial" w:eastAsia="Arial" w:hAnsi="Arial"/>
                  <w:sz w:val="18"/>
                  <w:szCs w:val="18"/>
                  <w:color w:val="0000FF"/>
                </w:rPr>
                <w:t>Statement/Prospectus on Form S-4/A (File No. 333-249785)).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40" w:type="dxa"/>
            <w:vAlign w:val="bottom"/>
            <w:tcBorders>
              <w:left w:val="single" w:sz="8" w:color="0000EE"/>
            </w:tcBorders>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rFonts w:ascii="Arial" w:cs="Arial" w:eastAsia="Arial" w:hAnsi="Arial"/>
                <w:sz w:val="18"/>
                <w:szCs w:val="18"/>
                <w:color w:val="0000FF"/>
                <w:w w:val="94"/>
              </w:rPr>
            </w:pPr>
            <w:hyperlink r:id="rId211">
              <w:r>
                <w:rPr>
                  <w:rFonts w:ascii="Arial" w:cs="Arial" w:eastAsia="Arial" w:hAnsi="Arial"/>
                  <w:sz w:val="18"/>
                  <w:szCs w:val="18"/>
                  <w:color w:val="0000FF"/>
                  <w:w w:val="94"/>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940" w:type="dxa"/>
            <w:vAlign w:val="bottom"/>
            <w:tcBorders>
              <w:right w:val="single" w:sz="8" w:color="0000FF"/>
            </w:tcBorders>
            <w:gridSpan w:val="3"/>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rPr>
            </w:pPr>
            <w:hyperlink r:id="rId211">
              <w:r>
                <w:rPr>
                  <w:rFonts w:ascii="Arial" w:cs="Arial" w:eastAsia="Arial" w:hAnsi="Arial"/>
                  <w:sz w:val="18"/>
                  <w:szCs w:val="18"/>
                  <w:color w:val="0000FF"/>
                </w:rPr>
                <w:t>39438) filed on February 14,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940" w:type="dxa"/>
            <w:vAlign w:val="bottom"/>
            <w:tcBorders>
              <w:right w:val="single" w:sz="8" w:color="0000FF"/>
            </w:tcBorders>
            <w:gridSpan w:val="3"/>
            <w:shd w:val="clear" w:color="auto" w:fill="0000FF"/>
          </w:tcPr>
          <w:p>
            <w:pPr>
              <w:spacing w:after="0" w:line="20" w:lineRule="exact"/>
              <w:rPr>
                <w:sz w:val="1"/>
                <w:szCs w:val="1"/>
                <w:color w:val="auto"/>
              </w:rPr>
            </w:pPr>
          </w:p>
        </w:tc>
        <w:tc>
          <w:tcPr>
            <w:tcW w:w="25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940" w:type="dxa"/>
            <w:vAlign w:val="bottom"/>
            <w:tcBorders>
              <w:right w:val="single" w:sz="8" w:color="0000EE"/>
            </w:tcBorders>
            <w:gridSpan w:val="3"/>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FF"/>
                <w:w w:val="93"/>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5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8"/>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60" w:hanging="1239"/>
        <w:spacing w:after="0"/>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7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18"/>
          <w:szCs w:val="18"/>
          <w:color w:val="auto"/>
        </w:rPr>
      </w:pPr>
    </w:p>
    <w:p>
      <w:pPr>
        <w:jc w:val="both"/>
        <w:ind w:firstLine="8"/>
        <w:spacing w:after="0" w:line="263" w:lineRule="auto"/>
        <w:tabs>
          <w:tab w:leader="none" w:pos="2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9512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6" w:lineRule="exact"/>
        <w:rPr>
          <w:sz w:val="20"/>
          <w:szCs w:val="20"/>
          <w:color w:val="auto"/>
        </w:rPr>
      </w:pPr>
    </w:p>
    <w:p>
      <w:pPr>
        <w:ind w:firstLine="8"/>
        <w:spacing w:after="0" w:line="277" w:lineRule="auto"/>
        <w:tabs>
          <w:tab w:leader="none" w:pos="1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60" w:type="dxa"/>
            <w:vAlign w:val="bottom"/>
            <w:gridSpan w:val="2"/>
          </w:tcPr>
          <w:p>
            <w:pPr>
              <w:ind w:left="1980"/>
              <w:spacing w:after="0"/>
              <w:rPr>
                <w:sz w:val="20"/>
                <w:szCs w:val="20"/>
                <w:color w:val="auto"/>
              </w:rPr>
            </w:pPr>
            <w:r>
              <w:rPr>
                <w:rFonts w:ascii="Arial" w:cs="Arial" w:eastAsia="Arial" w:hAnsi="Arial"/>
                <w:sz w:val="18"/>
                <w:szCs w:val="18"/>
                <w:b w:val="1"/>
                <w:bCs w:val="1"/>
                <w:color w:val="auto"/>
              </w:rPr>
              <w:t>DISC MEDICINE, INC.</w:t>
            </w:r>
          </w:p>
        </w:tc>
      </w:tr>
      <w:tr>
        <w:trPr>
          <w:trHeight w:val="466"/>
        </w:trPr>
        <w:tc>
          <w:tcPr>
            <w:tcW w:w="3760" w:type="dxa"/>
            <w:vAlign w:val="bottom"/>
          </w:tcPr>
          <w:p>
            <w:pPr>
              <w:spacing w:after="0"/>
              <w:rPr>
                <w:sz w:val="20"/>
                <w:szCs w:val="20"/>
                <w:color w:val="auto"/>
              </w:rPr>
            </w:pPr>
            <w:r>
              <w:rPr>
                <w:rFonts w:ascii="Arial" w:cs="Arial" w:eastAsia="Arial" w:hAnsi="Arial"/>
                <w:sz w:val="18"/>
                <w:szCs w:val="18"/>
                <w:color w:val="auto"/>
              </w:rPr>
              <w:t>Date: November 9, 2023</w:t>
            </w:r>
          </w:p>
        </w:tc>
        <w:tc>
          <w:tcPr>
            <w:tcW w:w="2420" w:type="dxa"/>
            <w:vAlign w:val="bottom"/>
          </w:tcPr>
          <w:p>
            <w:pPr>
              <w:ind w:left="19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Quisel</w:t>
            </w:r>
          </w:p>
        </w:tc>
      </w:tr>
      <w:tr>
        <w:trPr>
          <w:trHeight w:val="215"/>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0"/>
              </w:rPr>
              <w:t>John Quisel, J.D., Ph.D.</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601"/>
        </w:trPr>
        <w:tc>
          <w:tcPr>
            <w:tcW w:w="3760" w:type="dxa"/>
            <w:vAlign w:val="bottom"/>
          </w:tcPr>
          <w:p>
            <w:pPr>
              <w:spacing w:after="0"/>
              <w:rPr>
                <w:sz w:val="20"/>
                <w:szCs w:val="20"/>
                <w:color w:val="auto"/>
              </w:rPr>
            </w:pPr>
            <w:r>
              <w:rPr>
                <w:rFonts w:ascii="Arial" w:cs="Arial" w:eastAsia="Arial" w:hAnsi="Arial"/>
                <w:sz w:val="18"/>
                <w:szCs w:val="18"/>
                <w:color w:val="auto"/>
              </w:rPr>
              <w:t>Date: November 9, 2023</w:t>
            </w:r>
          </w:p>
        </w:tc>
        <w:tc>
          <w:tcPr>
            <w:tcW w:w="2420" w:type="dxa"/>
            <w:vAlign w:val="bottom"/>
          </w:tcPr>
          <w:p>
            <w:pPr>
              <w:ind w:left="19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Joanne Bryce</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Joanne Bryce, CPA</w:t>
            </w:r>
          </w:p>
        </w:tc>
      </w:tr>
    </w:tbl>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w:t>
      </w:r>
      <w:r>
        <w:rPr>
          <w:rFonts w:ascii="Arial" w:cs="Arial" w:eastAsia="Arial" w:hAnsi="Arial"/>
          <w:sz w:val="13"/>
          <w:szCs w:val="13"/>
          <w:b w:val="1"/>
          <w:bCs w:val="1"/>
          <w:color w:val="auto"/>
        </w:rPr>
        <w:t>A</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 RULE 15</w:t>
      </w:r>
      <w:r>
        <w:rPr>
          <w:rFonts w:ascii="Arial" w:cs="Arial" w:eastAsia="Arial" w:hAnsi="Arial"/>
          <w:sz w:val="13"/>
          <w:szCs w:val="13"/>
          <w:b w:val="1"/>
          <w:bCs w:val="1"/>
          <w:color w:val="auto"/>
        </w:rPr>
        <w:t>D</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Quisel, J.D., Ph.D., certify that:</w:t>
      </w:r>
    </w:p>
    <w:p>
      <w:pPr>
        <w:spacing w:after="0" w:line="22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Disc Medicine,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5" w:name="page86"/>
    <w:bookmarkEnd w:id="85"/>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w:t>
      </w:r>
      <w:r>
        <w:rPr>
          <w:rFonts w:ascii="Arial" w:cs="Arial" w:eastAsia="Arial" w:hAnsi="Arial"/>
          <w:sz w:val="13"/>
          <w:szCs w:val="13"/>
          <w:b w:val="1"/>
          <w:bCs w:val="1"/>
          <w:color w:val="auto"/>
        </w:rPr>
        <w:t>A</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 RULE 15</w:t>
      </w:r>
      <w:r>
        <w:rPr>
          <w:rFonts w:ascii="Arial" w:cs="Arial" w:eastAsia="Arial" w:hAnsi="Arial"/>
          <w:sz w:val="13"/>
          <w:szCs w:val="13"/>
          <w:b w:val="1"/>
          <w:bCs w:val="1"/>
          <w:color w:val="auto"/>
        </w:rPr>
        <w:t>D</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Joanne Bryce, CPA,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Disc Medicine,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6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Joanne 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Joanne Bryce, CPA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6" w:name="page87"/>
    <w:bookmarkEnd w:id="86"/>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 OF PRINCIPAL EXECUTIVE OFFICER AND PRINCIPAL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29"/>
        <w:spacing w:after="0" w:line="286" w:lineRule="auto"/>
        <w:rPr>
          <w:sz w:val="20"/>
          <w:szCs w:val="20"/>
          <w:color w:val="auto"/>
        </w:rPr>
      </w:pPr>
      <w:r>
        <w:rPr>
          <w:rFonts w:ascii="Arial" w:cs="Arial" w:eastAsia="Arial" w:hAnsi="Arial"/>
          <w:sz w:val="17"/>
          <w:szCs w:val="17"/>
          <w:color w:val="auto"/>
        </w:rPr>
        <w:t>In connection with this Quarterly Report on Form 10-Q of Disc Medicine, Inc. (the “Company”) for the quarter ended September 30, 2023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57" w:lineRule="exact"/>
        <w:rPr>
          <w:sz w:val="20"/>
          <w:szCs w:val="20"/>
          <w:color w:val="auto"/>
        </w:rPr>
      </w:pPr>
    </w:p>
    <w:p>
      <w:pPr>
        <w:ind w:left="1140" w:hanging="50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Joanne 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Joanne Bryce, CPA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lvl w:ilvl="1">
      <w:lvlJc w:val="left"/>
      <w:lvlText w:val="%2"/>
      <w:numFmt w:val="decimal"/>
      <w:start w:val="104"/>
    </w:lvl>
  </w:abstractNum>
  <w:abstractNum w:abstractNumId="41">
    <w:nsid w:val="6DE91B18"/>
    <w:multiLevelType w:val="hybridMultilevel"/>
    <w:lvl w:ilvl="0">
      <w:lvlJc w:val="left"/>
      <w:lvlText w:val="**"/>
      <w:numFmt w:val="bullet"/>
      <w:start w:val="1"/>
    </w:lvl>
    <w:lvl w:ilvl="1">
      <w:lvlJc w:val="left"/>
      <w:lvlText w:val="%2"/>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decimal"/>
      <w:start w:val="5"/>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decimal"/>
      <w:start w:val="5"/>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07" Type="http://schemas.openxmlformats.org/officeDocument/2006/relationships/hyperlink" Target="https://www.sec.gov/Archives/edgar/data/1816736/000114036122032239/ny20005172x1_s4.htm#tANNEXA" TargetMode="External"/><Relationship Id="rId208" Type="http://schemas.openxmlformats.org/officeDocument/2006/relationships/hyperlink" Target="https://www.sec.gov/Archives/edgar/data/1816736/000114036122032239/ny20005172x1_ex3-1.htm" TargetMode="External"/><Relationship Id="rId209" Type="http://schemas.openxmlformats.org/officeDocument/2006/relationships/hyperlink" Target="https://www.sec.gov/Archives/edgar/data/1816736/000114036122047453/brhc10045896_ex3-1.htm" TargetMode="External"/><Relationship Id="rId210" Type="http://schemas.openxmlformats.org/officeDocument/2006/relationships/hyperlink" Target="https://www.sec.gov/Archives/edgar/data/1816736/000114036122047453/brhc10045896_ex3-2.htm" TargetMode="External"/><Relationship Id="rId211" Type="http://schemas.openxmlformats.org/officeDocument/2006/relationships/hyperlink" Target="https://www.sec.gov/Archives/edgar/data/1816736/000119312523037151/d28963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2023-11-09T07:51:17Z</dcterms:created>
  <dcterms:modified xsi:type="dcterms:W3CDTF">2023-11-09T07:51:17Z</dcterms:modified>
</cp:coreProperties>
</file>