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10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85-1612845</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4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300 One Kendall Square, 3</w:t>
            </w:r>
            <w:r>
              <w:rPr>
                <w:rFonts w:ascii="Times New Roman" w:cs="Times New Roman" w:eastAsia="Times New Roman" w:hAnsi="Times New Roman"/>
                <w:sz w:val="29"/>
                <w:szCs w:val="29"/>
                <w:b w:val="1"/>
                <w:bCs w:val="1"/>
                <w:color w:val="auto"/>
                <w:w w:val="98"/>
                <w:vertAlign w:val="superscript"/>
              </w:rPr>
              <w:t>rd</w:t>
            </w:r>
            <w:r>
              <w:rPr>
                <w:rFonts w:ascii="Times New Roman" w:cs="Times New Roman" w:eastAsia="Times New Roman" w:hAnsi="Times New Roman"/>
                <w:sz w:val="18"/>
                <w:szCs w:val="18"/>
                <w:b w:val="1"/>
                <w:bCs w:val="1"/>
                <w:color w:val="auto"/>
                <w:w w:val="98"/>
              </w:rPr>
              <w:t xml:space="preserve"> Floor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45"/>
        </w:trPr>
        <w:tc>
          <w:tcPr>
            <w:tcW w:w="448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448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1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98" w:lineRule="exact"/>
        <w:rPr>
          <w:sz w:val="24"/>
          <w:szCs w:val="24"/>
          <w:color w:val="auto"/>
        </w:rPr>
      </w:pPr>
    </w:p>
    <w:p>
      <w:pPr>
        <w:ind w:left="380" w:right="2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8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5, 2021, Gemini Therapeutics, Inc. (f/k/a FS Development Corp.), a Delaware corporation (the “Company”), completed the transactions contemplated by the Merger Agreement, dated as of October 15, 2020, among the Company, FSG Merger Sub, Inc., a Delaware corporation and a wholly-owned subsidiary of the Company (“Merger Sub”), Gemini Therapeutics Sub, Inc., a Delaware corporation (“Old Gemini”), and Shareholder Representative Services LLC, pursuant to which Merger Sub merged with and into Old Gemini, with Old Gemini surviving the merger as a wholly-owned subsidiary of the Company.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2021</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2021-02-05T16:33:56Z</dcterms:created>
  <dcterms:modified xsi:type="dcterms:W3CDTF">2021-02-05T16:33:56Z</dcterms:modified>
</cp:coreProperties>
</file>