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81241d8k.htm"/>
      <w:bookmarkStart w:id="1" w:name="ksd48124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001-39438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85-1612845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5420"/>
        <w:gridCol w:w="60"/>
        <w:gridCol w:w="1145"/>
      </w:tblGrid>
      <w:tr>
        <w:trPr/>
        <w:tc>
          <w:tcPr>
            <w:tcW w:w="5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283"/>
              <w:jc w:val="center"/>
              <w:rPr>
                <w:b/>
              </w:rPr>
            </w:pPr>
            <w:r>
              <w:rPr>
                <w:b/>
              </w:rPr>
              <w:t>321 Arsenal Street, Suite 101, Watertown, MA 02472</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54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674-9274</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245"/>
        <w:gridCol w:w="8885"/>
      </w:tblGrid>
      <w:tr>
        <w:trPr/>
        <w:tc>
          <w:tcPr>
            <w:tcW w:w="245"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 under the Exchange Act (17 CFR 240.13e-4©)</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265"/>
        <w:gridCol w:w="60"/>
        <w:gridCol w:w="62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IRON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980"/>
        <w:gridCol w:w="4025"/>
      </w:tblGrid>
      <w:tr>
        <w:trPr/>
        <w:tc>
          <w:tcPr>
            <w:tcW w:w="98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On May 15, 2023, Disc Medicine, Inc. (the “Company”) announced its financial results for the quarter ended March 31, 2023 and provided a corporate update. A copy of the press release in connection with the announcement is being furnished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 relating to Item 2.02 of this Current Report on Form 8-K shall be deemed to be furnished and not filed: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81241dex991.htm">
              <w:r>
                <w:rPr>
                  <w:rStyle w:val="InternetLink"/>
                </w:rPr>
                <w:t xml:space="preserve">Press Release issued by Disc Medicine, Inc. on May 15,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93" w:type="dxa"/>
        <w:jc w:val="left"/>
        <w:tblInd w:w="0" w:type="dxa"/>
        <w:tblLayout w:type="fixed"/>
        <w:tblCellMar>
          <w:top w:w="0" w:type="dxa"/>
          <w:left w:w="0" w:type="dxa"/>
          <w:bottom w:w="0" w:type="dxa"/>
          <w:right w:w="0" w:type="dxa"/>
        </w:tblCellMar>
      </w:tblPr>
      <w:tblGrid>
        <w:gridCol w:w="1940"/>
        <w:gridCol w:w="60"/>
        <w:gridCol w:w="23"/>
        <w:gridCol w:w="60"/>
        <w:gridCol w:w="650"/>
        <w:gridCol w:w="60"/>
        <w:gridCol w:w="230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pPr>
            <w:r>
              <w:rPr/>
              <w:t>DISC MEDICINE,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Quisel</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John Quisel, J.D. Ph.D.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481241dex991.htm"/>
      <w:bookmarkStart w:id="3" w:name="ksd48124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2385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38500" cy="5810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Disc Medicine Reports First Quarter 2023 Financial Results and Provides Business Update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Two ongoing Phase 2 studies of bitopertin in EPP; initial safety and efficacy data from open-label BEACON trial to be presented at the European Hematology Association (EHA) Congress in June 2023; topline data from both BEACON and AURORA studies expected by end of 2023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Two separate, ongoing Phase 1b/2 studies of DISC-0974 in patients with anemia of chronic kidney disease who are not receiving dialysis (NDD-CKD) and also in patients with myelofibrosis and anemia; interim data expected by end of 2023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In-licensed anti-TMPRSS6 monoclonal antibodies from Mabwell Therapeutics; Phase 1 trial expected to start 2H 2023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Completed $62.5</w:t>
            </w:r>
            <w:r>
              <w:rPr>
                <w:rFonts w:ascii="Times New Roman" w:hAnsi="Times New Roman"/>
                <w:sz w:val="20"/>
              </w:rPr>
              <w:t> </w:t>
            </w:r>
            <w:r>
              <w:rPr>
                <w:rFonts w:ascii="Times New Roman" w:hAnsi="Times New Roman"/>
                <w:i/>
                <w:sz w:val="20"/>
              </w:rPr>
              <w:t>million financing led by Bain Capital Life Sciences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WATERTOWN, Mass. (May 15, 2023)  Disc Medicine, Inc. (NASDAQ:IRON), a clinical-stage biopharmaceutical company focused on the discovery, development, and commercialization of novel treatments for patients suffering from serious hematologic diseases, today reported financial results for the first quarter ending March 31, 2023 and provided an update on recent program and corporate developments. </w:t>
      </w:r>
    </w:p>
    <w:p>
      <w:pPr>
        <w:pStyle w:val="TextBody"/>
        <w:bidi w:val="0"/>
        <w:spacing w:before="240" w:after="0"/>
        <w:jc w:val="left"/>
        <w:rPr>
          <w:rFonts w:ascii="Times New Roman" w:hAnsi="Times New Roman"/>
          <w:sz w:val="20"/>
        </w:rPr>
      </w:pPr>
      <w:r>
        <w:rPr>
          <w:rFonts w:ascii="Times New Roman" w:hAnsi="Times New Roman"/>
          <w:sz w:val="20"/>
        </w:rPr>
        <w:t xml:space="preserve">We have had an excellent start to 2023 with each of our development programs on-track; multiple clinical studies ongoing, including new indications such as CKD anemia and Diamond-Blackfan anemia; and growing our pipeline by in-licensing a third, Phase-1 ready program, said John Quisel, J.D., Ph.D., President and Chief Executive Officer of Disc. We are positioned to deliver a series of important catalysts across our portfolio through the rest of 2023 and into next year, beginning with the presentation of initial data from the BEACON study at EHA.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Recent Business Highlights and Upcoming Milestones: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Bitopertin: GlyT1 Inhibitor (Heme Synthesis Modulator) </w:t>
      </w:r>
    </w:p>
    <w:p>
      <w:pPr>
        <w:pStyle w:val="TextBody"/>
        <w:bidi w:val="0"/>
        <w:spacing w:before="120" w:after="0"/>
        <w:jc w:val="left"/>
        <w:rPr>
          <w:rFonts w:ascii="Times New Roman" w:hAnsi="Times New Roman"/>
          <w:sz w:val="20"/>
        </w:rPr>
      </w:pPr>
      <w:r>
        <w:rPr>
          <w:rFonts w:ascii="Times New Roman" w:hAnsi="Times New Roman"/>
          <w:sz w:val="20"/>
        </w:rPr>
        <w:t xml:space="preserve">Bitopertin is an investigational, clinical-stage, orally-administered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of BEACON, an open-label Phase 2 clinical study of bitopertin in patients with EPP and X-linked protoporphyria (XLP).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data will be presented at EHA Congress on June 9, 2023, with an accompanying management call at 7:30 am ET the same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 expects topline data from BEACON by end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for AURORA, a Phase 2 randomized, placebo-controlled clinical study of bitopertin in adults with EPP. Disc expects topline data from AURORA by end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Received a positive opinion on Orphan Designation for bitopertin for treatment of EPP from the European Committee for Orphan Medical Products in January 2023. Orphan Drug Designation was previously granted by the FDA in 2022.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323850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38500" cy="5810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a collaboration with NIH to study bitopertin in patients with Diamond-Blackfan Anemia in March 2023; the study is expected to initiate mid-year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DISC-0974: Anti-Hemojuvelin Antibody (Hepcidin Suppression) </w:t>
      </w:r>
    </w:p>
    <w:p>
      <w:pPr>
        <w:pStyle w:val="TextBody"/>
        <w:bidi w:val="0"/>
        <w:spacing w:before="120" w:after="0"/>
        <w:jc w:val="left"/>
        <w:rPr>
          <w:rFonts w:ascii="Times New Roman" w:hAnsi="Times New Roman"/>
          <w:sz w:val="20"/>
        </w:rPr>
      </w:pPr>
      <w:r>
        <w:rPr>
          <w:rFonts w:ascii="Times New Roman" w:hAnsi="Times New Roman"/>
          <w:sz w:val="20"/>
        </w:rPr>
        <w:t xml:space="preserve">DISC-0974 is an investigational anti-hemojuvelin monoclonal antibody (mAb) and is designed to suppress hepcidin production and increase serum iron levels in patients suffering from anemia of inflammation.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Initiated and enrollment is ongoing for a Phase 1b/2 clinical study of patients with anemia of chronic kidney disease who are not receiving dialysis (NDD-CKD) in February 2023; interim data expected by end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in a Phase 1b/2 clinical study in MF patients with severe anemia on stable background therapy; interim data expected by end of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MWTX-003: Anti-TMPRSS6 Antibody (Hepcidin Induction) </w:t>
      </w:r>
    </w:p>
    <w:p>
      <w:pPr>
        <w:pStyle w:val="TextBody"/>
        <w:bidi w:val="0"/>
        <w:spacing w:before="120" w:after="0"/>
        <w:jc w:val="left"/>
        <w:rPr>
          <w:rFonts w:ascii="Times New Roman" w:hAnsi="Times New Roman"/>
          <w:sz w:val="20"/>
        </w:rPr>
      </w:pPr>
      <w:r>
        <w:rPr>
          <w:rFonts w:ascii="Times New Roman" w:hAnsi="Times New Roman"/>
          <w:sz w:val="20"/>
        </w:rPr>
        <w:t xml:space="preserve">MWTX-003 is an investigational, anti-TMPRSS6 (Transmembrane Serine Protease 6, also known as Matriptase-2) monoclonal antibody designed to increase hepcidin production and suppress serum iron.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Entered into an exclusive licensing agreement with Mabwell Therapeutics in January 2023 to obtain an exclusive license to rights outside of Greater China for a portfolio of monoclonal antibodies targeting TMPRSS6 including a Phase 1-ready drug candidate, MWTX-003.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 was accepted in November 2022 and Disc plans to initiate a Phase 1 study of MWTX-003 in healthy volunteers during the second half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 plans to develop MWTX-003 initially as a treatment for polycythemia vera as well as other indications.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Corporate: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a $62.5 million registered direct offering of our common stock led by Bain Capital Life Sciences, with participation from Access Biotechnology and OrbiMed, in February 2023.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First Quarter 2023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 xml:space="preserve">Cash and cash equivalents were $236.4 million as of March 31, 2023 compared to $194.6 million as of December 31, 2022. The increase was due to $62.5 million in gross proceeds from a registered direct offering led by Bain Capital Life Sciences in February 2023, as well as $15.0 million in gross proceeds from ATM offerings completed in Q1 2023. Disc expects its cash and cash equivalents to fund its operational plans into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 xml:space="preserve">R&amp;D expenses were $20.2 million for the quarter ending March 31, 2023, as compared to $7.8 million for the quarter ending March 31, 2022. The increase in R&amp;D expenses were primarily driven by a one-time $10.0 million upfront payment under the Mabwell license agreement and the progression of Discs portfolio, including increased headcount, the advancement of DISC-0974 into an additional Phase 1b/2 clinical study, and bitopertins ongoing two Phase 2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General and Administrative Expenses: </w:t>
            </w:r>
            <w:r>
              <w:rPr>
                <w:rFonts w:ascii="Times New Roman" w:hAnsi="Times New Roman"/>
                <w:sz w:val="20"/>
              </w:rPr>
              <w:t xml:space="preserve">G&amp;A expenses were $4.9 million for the quarter ending March 31, 2023, as compared to $2.1 million for the same period in 2022. The increase in G&amp;A expenses was primarily due to increased headcount and legal and market research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The net loss was $22.8 million for the first quarter of 2023, as compared to $9.9 million for the first quarter of 2022. The increase was primarily due to higher operating costs in the current period to support the continued advancement of the Companys pipeline.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323850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238500" cy="581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Disc Medicine </w:t>
      </w:r>
    </w:p>
    <w:p>
      <w:pPr>
        <w:pStyle w:val="TextBody"/>
        <w:bidi w:val="0"/>
        <w:spacing w:before="120" w:after="0"/>
        <w:jc w:val="left"/>
        <w:rPr>
          <w:rFonts w:ascii="Times New Roman" w:hAnsi="Times New Roman"/>
          <w:sz w:val="20"/>
        </w:rPr>
      </w:pPr>
      <w:r>
        <w:rPr>
          <w:rFonts w:ascii="Times New Roman" w:hAnsi="Times New Roman"/>
          <w:sz w:val="20"/>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hAnsi="Times New Roman"/>
          <w:sz w:val="20"/>
          <w:u w:val="single"/>
        </w:rPr>
        <w:t>www.discmedicine.com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 </w:t>
      </w:r>
    </w:p>
    <w:p>
      <w:pPr>
        <w:pStyle w:val="TextBody"/>
        <w:bidi w:val="0"/>
        <w:spacing w:before="360" w:after="0"/>
        <w:jc w:val="left"/>
        <w:rPr>
          <w:rFonts w:ascii="Times New Roman" w:hAnsi="Times New Roman"/>
          <w:b/>
          <w:sz w:val="20"/>
        </w:rPr>
      </w:pPr>
      <w:r>
        <w:rPr>
          <w:rFonts w:ascii="Times New Roman" w:hAnsi="Times New Roman"/>
          <w:b/>
          <w:sz w:val="20"/>
        </w:rPr>
        <w:t xml:space="preserve">Disc 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anticipated study of bitopertin in Diamond-Blackfan Anemia, its Phase 1b/2 clinical study of DISC-0974 in NDD-CKD patients with anemia, its anticipated Phase 1 study of MWTX-003 and potential development of MWTX-003 as a treatment for polycythemia vera and other indications, projected timelines for the initiation and completion of its clinical trials, anticipated timing of release of data, and other clinical activities; Discs business plans and objectives; and Discs beliefs about operating expenses and that it will have capital to fund Disc into 2025.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238500"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38500" cy="581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future studies or clinical trials and may not support further development and marketing approval; the other risks and uncertainties described in the Risk Factors section of our Annual Report on Form 10-K for the year ended December 31, 2022 and other documents filed by Disc from time to time with the Securities and Exchange Commission, as well as discussions of potential risks, uncertainties, and other important factors in Discs subsequent filings with the Securities and Exchange Commission.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3"/>
        <w:gridCol w:w="306"/>
        <w:gridCol w:w="140"/>
        <w:gridCol w:w="1103"/>
        <w:gridCol w:w="155"/>
        <w:gridCol w:w="262"/>
        <w:gridCol w:w="140"/>
        <w:gridCol w:w="809"/>
        <w:gridCol w:w="157"/>
      </w:tblGrid>
      <w:tr>
        <w:trPr/>
        <w:tc>
          <w:tcPr>
            <w:tcW w:w="7133"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3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Ended March 31,</w:t>
            </w:r>
          </w:p>
        </w:tc>
        <w:tc>
          <w:tcPr>
            <w:tcW w:w="157" w:type="dxa"/>
            <w:tcBorders/>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20,180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7,821</w:t>
            </w:r>
          </w:p>
        </w:tc>
        <w:tc>
          <w:tcPr>
            <w:tcW w:w="157"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4,945</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2,139</w:t>
            </w:r>
          </w:p>
        </w:tc>
        <w:tc>
          <w:tcPr>
            <w:tcW w:w="157" w:type="dxa"/>
            <w:tcBorders/>
            <w:shd w:fill="CCEEFF" w:val="clear"/>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25,125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9,960</w:t>
            </w:r>
          </w:p>
        </w:tc>
        <w:tc>
          <w:tcPr>
            <w:tcW w:w="157" w:type="dxa"/>
            <w:tcBorders/>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(25,125</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(9,960</w:t>
            </w:r>
          </w:p>
        </w:tc>
        <w:tc>
          <w:tcPr>
            <w:tcW w:w="157"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2,367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107</w:t>
            </w:r>
          </w:p>
        </w:tc>
        <w:tc>
          <w:tcPr>
            <w:tcW w:w="157"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(22,781</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(9,853</w:t>
            </w:r>
          </w:p>
        </w:tc>
        <w:tc>
          <w:tcPr>
            <w:tcW w:w="157" w:type="dxa"/>
            <w:tcBorders/>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 and diluted</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18,954,914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923,750</w:t>
            </w:r>
          </w:p>
        </w:tc>
        <w:tc>
          <w:tcPr>
            <w:tcW w:w="157" w:type="dxa"/>
            <w:tcBorders/>
            <w:shd w:fill="CCEEFF" w:val="clear"/>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share-basic and diluted</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(10.67</w:t>
            </w:r>
          </w:p>
        </w:tc>
        <w:tc>
          <w:tcPr>
            <w:tcW w:w="157" w:type="dxa"/>
            <w:tcBorders/>
            <w:vAlign w:val="bottom"/>
          </w:tcPr>
          <w:p>
            <w:pPr>
              <w:pStyle w:val="TableContents"/>
              <w:bidi w:val="0"/>
              <w:spacing w:before="0" w:after="283"/>
              <w:jc w:val="left"/>
              <w:rPr/>
            </w:pPr>
            <w:r>
              <w:rPr/>
              <w:t>) </w:t>
            </w:r>
          </w:p>
        </w:tc>
      </w:tr>
      <w:tr>
        <w:trPr/>
        <w:tc>
          <w:tcPr>
            <w:tcW w:w="71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3238500"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38500" cy="581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02"/>
        <w:gridCol w:w="235"/>
        <w:gridCol w:w="150"/>
        <w:gridCol w:w="891"/>
        <w:gridCol w:w="60"/>
        <w:gridCol w:w="235"/>
        <w:gridCol w:w="201"/>
        <w:gridCol w:w="1168"/>
        <w:gridCol w:w="63"/>
      </w:tblGrid>
      <w:tr>
        <w:trPr/>
        <w:tc>
          <w:tcPr>
            <w:tcW w:w="720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0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72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0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236,422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194,611</w:t>
            </w:r>
          </w:p>
        </w:tc>
        <w:tc>
          <w:tcPr>
            <w:tcW w:w="63" w:type="dxa"/>
            <w:tcBorders/>
            <w:vAlign w:val="bottom"/>
          </w:tcPr>
          <w:p>
            <w:pPr>
              <w:pStyle w:val="TableContents"/>
              <w:bidi w:val="0"/>
              <w:spacing w:before="0" w:after="283"/>
              <w:jc w:val="left"/>
              <w:rPr/>
            </w:pPr>
            <w:r>
              <w:rPr/>
              <w:t> </w:t>
            </w:r>
          </w:p>
        </w:tc>
      </w:tr>
      <w:tr>
        <w:trPr/>
        <w:tc>
          <w:tcPr>
            <w:tcW w:w="7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5,716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3,880</w:t>
            </w:r>
          </w:p>
        </w:tc>
        <w:tc>
          <w:tcPr>
            <w:tcW w:w="63" w:type="dxa"/>
            <w:tcBorders/>
            <w:shd w:fill="CCEEFF" w:val="clear"/>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0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242,138</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198,491</w:t>
            </w:r>
          </w:p>
        </w:tc>
        <w:tc>
          <w:tcPr>
            <w:tcW w:w="63" w:type="dxa"/>
            <w:tcBorders/>
            <w:vAlign w:val="bottom"/>
          </w:tcPr>
          <w:p>
            <w:pPr>
              <w:pStyle w:val="TableContents"/>
              <w:bidi w:val="0"/>
              <w:spacing w:before="0" w:after="283"/>
              <w:jc w:val="left"/>
              <w:rPr/>
            </w:pPr>
            <w:r>
              <w:rPr/>
              <w:t> </w:t>
            </w:r>
          </w:p>
        </w:tc>
      </w:tr>
      <w:tr>
        <w:trPr/>
        <w:tc>
          <w:tcPr>
            <w:tcW w:w="7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23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1,642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1,714</w:t>
            </w:r>
          </w:p>
        </w:tc>
        <w:tc>
          <w:tcPr>
            <w:tcW w:w="63" w:type="dxa"/>
            <w:tcBorders/>
            <w:shd w:fill="CCEEFF" w:val="clear"/>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0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243,780</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200,205</w:t>
            </w:r>
          </w:p>
        </w:tc>
        <w:tc>
          <w:tcPr>
            <w:tcW w:w="63" w:type="dxa"/>
            <w:tcBorders/>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3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0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9,980</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22,578</w:t>
            </w:r>
          </w:p>
        </w:tc>
        <w:tc>
          <w:tcPr>
            <w:tcW w:w="63" w:type="dxa"/>
            <w:tcBorders/>
            <w:vAlign w:val="bottom"/>
          </w:tcPr>
          <w:p>
            <w:pPr>
              <w:pStyle w:val="TableContents"/>
              <w:bidi w:val="0"/>
              <w:spacing w:before="0" w:after="283"/>
              <w:jc w:val="left"/>
              <w:rPr/>
            </w:pPr>
            <w:r>
              <w:rPr/>
              <w:t> </w:t>
            </w:r>
          </w:p>
        </w:tc>
      </w:tr>
      <w:tr>
        <w:trPr/>
        <w:tc>
          <w:tcPr>
            <w:tcW w:w="7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23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945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1,027</w:t>
            </w:r>
          </w:p>
        </w:tc>
        <w:tc>
          <w:tcPr>
            <w:tcW w:w="63" w:type="dxa"/>
            <w:tcBorders/>
            <w:shd w:fill="CCEEFF" w:val="clear"/>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0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10,925</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23,605</w:t>
            </w:r>
          </w:p>
        </w:tc>
        <w:tc>
          <w:tcPr>
            <w:tcW w:w="63" w:type="dxa"/>
            <w:tcBorders/>
            <w:vAlign w:val="bottom"/>
          </w:tcPr>
          <w:p>
            <w:pPr>
              <w:pStyle w:val="TableContents"/>
              <w:bidi w:val="0"/>
              <w:spacing w:before="0" w:after="283"/>
              <w:jc w:val="left"/>
              <w:rPr/>
            </w:pPr>
            <w:r>
              <w:rPr/>
              <w:t> </w:t>
            </w:r>
          </w:p>
        </w:tc>
      </w:tr>
      <w:tr>
        <w:trPr/>
        <w:tc>
          <w:tcPr>
            <w:tcW w:w="72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3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232,855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176,600</w:t>
            </w:r>
          </w:p>
        </w:tc>
        <w:tc>
          <w:tcPr>
            <w:tcW w:w="63" w:type="dxa"/>
            <w:tcBorders/>
            <w:shd w:fill="CCEEFF" w:val="clear"/>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0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243,780</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200,205</w:t>
            </w:r>
          </w:p>
        </w:tc>
        <w:tc>
          <w:tcPr>
            <w:tcW w:w="63" w:type="dxa"/>
            <w:tcBorders/>
            <w:vAlign w:val="bottom"/>
          </w:tcPr>
          <w:p>
            <w:pPr>
              <w:pStyle w:val="TableContents"/>
              <w:bidi w:val="0"/>
              <w:spacing w:before="0" w:after="283"/>
              <w:jc w:val="left"/>
              <w:rPr/>
            </w:pPr>
            <w:r>
              <w:rPr/>
              <w:t> </w:t>
            </w:r>
          </w:p>
        </w:tc>
      </w:tr>
      <w:tr>
        <w:trPr/>
        <w:tc>
          <w:tcPr>
            <w:tcW w:w="7202"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rPr>
      </w:pPr>
      <w:r>
        <w:rPr>
          <w:rFonts w:ascii="Times New Roman" w:hAnsi="Times New Roman"/>
          <w:sz w:val="20"/>
        </w:rPr>
        <w:t xml:space="preserve">Verge Scientific Communications </w:t>
      </w:r>
    </w:p>
    <w:p>
      <w:pPr>
        <w:pStyle w:val="TextBody"/>
        <w:bidi w:val="0"/>
        <w:spacing w:before="0" w:after="0"/>
        <w:jc w:val="left"/>
        <w:rPr>
          <w:rFonts w:ascii="Times New Roman" w:hAnsi="Times New Roman"/>
          <w:sz w:val="20"/>
        </w:rPr>
      </w:pPr>
      <w:r>
        <w:rPr>
          <w:rFonts w:ascii="Times New Roman" w:hAnsi="Times New Roman"/>
          <w:sz w:val="20"/>
        </w:rPr>
        <w:t xml:space="preserve">prusconi@vergescientific.com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Suzanne Messere </w:t>
      </w:r>
    </w:p>
    <w:p>
      <w:pPr>
        <w:pStyle w:val="TextBody"/>
        <w:bidi w:val="0"/>
        <w:spacing w:before="0" w:after="0"/>
        <w:jc w:val="left"/>
        <w:rPr>
          <w:rFonts w:ascii="Times New Roman" w:hAnsi="Times New Roman"/>
          <w:sz w:val="20"/>
        </w:rPr>
      </w:pPr>
      <w:r>
        <w:rPr>
          <w:rFonts w:ascii="Times New Roman" w:hAnsi="Times New Roman"/>
          <w:sz w:val="20"/>
        </w:rPr>
        <w:t xml:space="preserve">Stern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suzanne.messere@sternir.com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2525</Words>
  <Characters>13876</Characters>
  <CharactersWithSpaces>16563</CharactersWithSpaces>
  <Paragraphs>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